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BEB1A" w14:textId="30D5D186" w:rsidR="00495DAD" w:rsidRPr="00E470E1" w:rsidRDefault="00E470E1" w:rsidP="00DF663F">
      <w:pPr>
        <w:jc w:val="both"/>
        <w:rPr>
          <w:b/>
          <w:bCs/>
        </w:rPr>
      </w:pPr>
      <w:r w:rsidRPr="00E470E1">
        <w:rPr>
          <w:b/>
          <w:bCs/>
        </w:rPr>
        <w:t>Comparative Essay</w:t>
      </w:r>
    </w:p>
    <w:p w14:paraId="15D3CBDD" w14:textId="4D0091FB" w:rsidR="00E470E1" w:rsidRDefault="00E470E1" w:rsidP="00DF663F">
      <w:pPr>
        <w:jc w:val="both"/>
        <w:rPr>
          <w:b/>
          <w:bCs/>
        </w:rPr>
      </w:pPr>
      <w:r w:rsidRPr="00E470E1">
        <w:rPr>
          <w:b/>
          <w:bCs/>
        </w:rPr>
        <w:t>Heritage Legislation and Organisations in England and Wales</w:t>
      </w:r>
    </w:p>
    <w:p w14:paraId="29ED369B" w14:textId="77777777" w:rsidR="002D68DA" w:rsidRDefault="002D68DA" w:rsidP="00DF663F">
      <w:pPr>
        <w:jc w:val="both"/>
        <w:rPr>
          <w:b/>
          <w:bCs/>
        </w:rPr>
      </w:pPr>
    </w:p>
    <w:p w14:paraId="58B5BD5D" w14:textId="77777777" w:rsidR="00272750" w:rsidRDefault="002D68DA" w:rsidP="00DF663F">
      <w:pPr>
        <w:spacing w:line="480" w:lineRule="auto"/>
        <w:jc w:val="both"/>
      </w:pPr>
      <w:r>
        <w:t xml:space="preserve">Prior to the inception of the Welsh </w:t>
      </w:r>
      <w:r w:rsidR="003E0157">
        <w:t>A</w:t>
      </w:r>
      <w:r>
        <w:t xml:space="preserve">ssembly </w:t>
      </w:r>
      <w:r w:rsidR="003E0157">
        <w:t>G</w:t>
      </w:r>
      <w:r>
        <w:t xml:space="preserve">overnment in 1999, legislation concerning heritage </w:t>
      </w:r>
      <w:r w:rsidR="003E0157">
        <w:t xml:space="preserve">issues </w:t>
      </w:r>
      <w:r w:rsidR="00443124">
        <w:t xml:space="preserve">in Wales and England </w:t>
      </w:r>
      <w:r>
        <w:t xml:space="preserve">was created by the United Kingdom </w:t>
      </w:r>
      <w:r w:rsidR="00A60C48">
        <w:t>P</w:t>
      </w:r>
      <w:r>
        <w:t>arliament</w:t>
      </w:r>
      <w:r w:rsidR="00715BB5">
        <w:t xml:space="preserve"> </w:t>
      </w:r>
      <w:r w:rsidR="00C109E2">
        <w:t xml:space="preserve">which </w:t>
      </w:r>
      <w:r w:rsidR="00715BB5">
        <w:t>applied to both Wales and England.</w:t>
      </w:r>
      <w:r w:rsidR="00676A78">
        <w:t xml:space="preserve"> Heritage</w:t>
      </w:r>
      <w:r>
        <w:t xml:space="preserve"> </w:t>
      </w:r>
      <w:r w:rsidR="00676A78">
        <w:t>legislation did</w:t>
      </w:r>
      <w:r>
        <w:t xml:space="preserve"> however increasingly contain separate sections referring specifically to the individual </w:t>
      </w:r>
      <w:r w:rsidR="002B5464">
        <w:t>nations</w:t>
      </w:r>
      <w:r>
        <w:t xml:space="preserve"> of the </w:t>
      </w:r>
      <w:r w:rsidR="00492060">
        <w:t>United Kingdom</w:t>
      </w:r>
      <w:r>
        <w:t xml:space="preserve">. An example of this was </w:t>
      </w:r>
      <w:r w:rsidR="00587C65" w:rsidRPr="00587C65">
        <w:rPr>
          <w:i/>
          <w:iCs/>
        </w:rPr>
        <w:t>T</w:t>
      </w:r>
      <w:r w:rsidRPr="00587C65">
        <w:rPr>
          <w:i/>
          <w:iCs/>
        </w:rPr>
        <w:t xml:space="preserve">he </w:t>
      </w:r>
      <w:r w:rsidR="00492060" w:rsidRPr="00587C65">
        <w:rPr>
          <w:i/>
          <w:iCs/>
        </w:rPr>
        <w:t xml:space="preserve">Historic Buildings and Ancient Monuments Act, 1953 </w:t>
      </w:r>
      <w:r w:rsidR="00492060">
        <w:t xml:space="preserve">in which section one concerns England, section </w:t>
      </w:r>
      <w:r w:rsidR="00920EA0">
        <w:t>two</w:t>
      </w:r>
      <w:r w:rsidR="00492060">
        <w:t xml:space="preserve"> Scotland and section </w:t>
      </w:r>
      <w:r w:rsidR="00920EA0">
        <w:t>three</w:t>
      </w:r>
      <w:r w:rsidR="00492060">
        <w:t xml:space="preserve"> Wales.</w:t>
      </w:r>
      <w:r w:rsidR="00492060">
        <w:rPr>
          <w:rStyle w:val="FootnoteReference"/>
        </w:rPr>
        <w:footnoteReference w:id="1"/>
      </w:r>
      <w:r w:rsidR="003E0157">
        <w:t xml:space="preserve"> However, </w:t>
      </w:r>
      <w:r w:rsidR="00E30311">
        <w:t xml:space="preserve">the uniformity and </w:t>
      </w:r>
      <w:r w:rsidR="00771B68">
        <w:t>commonality of</w:t>
      </w:r>
      <w:r w:rsidR="00E30311">
        <w:t xml:space="preserve"> all heritage legislation in England and Wales </w:t>
      </w:r>
      <w:r w:rsidR="00D46E90">
        <w:t xml:space="preserve">present </w:t>
      </w:r>
      <w:r w:rsidR="00E30311">
        <w:t xml:space="preserve">prior to 1999 </w:t>
      </w:r>
      <w:r w:rsidR="00D46E90">
        <w:t>was</w:t>
      </w:r>
      <w:r w:rsidR="00E30311">
        <w:t xml:space="preserve"> no longer the case</w:t>
      </w:r>
      <w:r w:rsidR="00D46E90">
        <w:t>.</w:t>
      </w:r>
      <w:r w:rsidR="00E30311">
        <w:t xml:space="preserve"> </w:t>
      </w:r>
      <w:r w:rsidR="00D46E90">
        <w:t>S</w:t>
      </w:r>
      <w:r w:rsidR="00CA6C69">
        <w:t xml:space="preserve">ince 2006 </w:t>
      </w:r>
      <w:r w:rsidR="00E30311">
        <w:t>the Welsh Assembly</w:t>
      </w:r>
      <w:r w:rsidR="00771B68">
        <w:t xml:space="preserve"> </w:t>
      </w:r>
      <w:r w:rsidR="00D46E90">
        <w:t xml:space="preserve">Government </w:t>
      </w:r>
      <w:r w:rsidR="00771B68">
        <w:t>control</w:t>
      </w:r>
      <w:r w:rsidR="00D46E90">
        <w:t>led</w:t>
      </w:r>
      <w:r w:rsidR="009A3507">
        <w:t xml:space="preserve"> heritage</w:t>
      </w:r>
      <w:r w:rsidR="00771B68">
        <w:t xml:space="preserve"> policies in Wales ‘the process of devolution in the U.K. since 1999 has created differences in policy and practice between the different parts of the U</w:t>
      </w:r>
      <w:r w:rsidR="00A60C48">
        <w:t xml:space="preserve">nited </w:t>
      </w:r>
      <w:r w:rsidR="00771B68">
        <w:t>K</w:t>
      </w:r>
      <w:r w:rsidR="00A60C48">
        <w:t>ingdom</w:t>
      </w:r>
      <w:r w:rsidR="00771B68">
        <w:t>’</w:t>
      </w:r>
      <w:r w:rsidR="00771B68">
        <w:rPr>
          <w:rStyle w:val="FootnoteReference"/>
        </w:rPr>
        <w:footnoteReference w:id="2"/>
      </w:r>
      <w:r w:rsidR="006A36D0">
        <w:t xml:space="preserve"> The current situation concerning national heritage bodies is in a similar fashion to legislation</w:t>
      </w:r>
      <w:r w:rsidR="00D46E90">
        <w:t>,</w:t>
      </w:r>
      <w:r w:rsidR="006A36D0">
        <w:t xml:space="preserve"> becoming  increasingly </w:t>
      </w:r>
      <w:r w:rsidR="00EF49A6">
        <w:t>divergent across the home nations.</w:t>
      </w:r>
      <w:r w:rsidR="00342816">
        <w:rPr>
          <w:rStyle w:val="FootnoteReference"/>
        </w:rPr>
        <w:footnoteReference w:id="3"/>
      </w:r>
      <w:r w:rsidR="00EF49A6">
        <w:t xml:space="preserve"> </w:t>
      </w:r>
      <w:r w:rsidR="002B5464">
        <w:t>It must be noted that initially in the post devolution er</w:t>
      </w:r>
      <w:r w:rsidR="00D00C12">
        <w:t>a</w:t>
      </w:r>
      <w:r w:rsidR="002B5464">
        <w:t xml:space="preserve"> there was still some collaborative working between Wales and England. The </w:t>
      </w:r>
      <w:r w:rsidR="00A60C48">
        <w:t>W</w:t>
      </w:r>
      <w:r w:rsidR="002B5464">
        <w:t xml:space="preserve">hite </w:t>
      </w:r>
      <w:r w:rsidR="00A60C48">
        <w:t>P</w:t>
      </w:r>
      <w:r w:rsidR="002B5464">
        <w:t>aper</w:t>
      </w:r>
      <w:r w:rsidR="009823AC">
        <w:t xml:space="preserve"> </w:t>
      </w:r>
      <w:r w:rsidR="002B5464" w:rsidRPr="00443124">
        <w:rPr>
          <w:i/>
          <w:iCs/>
        </w:rPr>
        <w:t xml:space="preserve">Heritage Protection for the </w:t>
      </w:r>
      <w:r w:rsidR="009823AC" w:rsidRPr="00443124">
        <w:rPr>
          <w:i/>
          <w:iCs/>
        </w:rPr>
        <w:t>T</w:t>
      </w:r>
      <w:r w:rsidR="002B5464" w:rsidRPr="00443124">
        <w:rPr>
          <w:i/>
          <w:iCs/>
        </w:rPr>
        <w:t xml:space="preserve">wenty </w:t>
      </w:r>
      <w:r w:rsidR="009823AC" w:rsidRPr="00443124">
        <w:rPr>
          <w:i/>
          <w:iCs/>
        </w:rPr>
        <w:t>F</w:t>
      </w:r>
      <w:r w:rsidR="002B5464" w:rsidRPr="00443124">
        <w:rPr>
          <w:i/>
          <w:iCs/>
        </w:rPr>
        <w:t xml:space="preserve">irst </w:t>
      </w:r>
      <w:r w:rsidR="009823AC" w:rsidRPr="00443124">
        <w:rPr>
          <w:i/>
          <w:iCs/>
        </w:rPr>
        <w:t>C</w:t>
      </w:r>
      <w:r w:rsidR="002B5464" w:rsidRPr="00443124">
        <w:rPr>
          <w:i/>
          <w:iCs/>
        </w:rPr>
        <w:t>entury</w:t>
      </w:r>
      <w:r w:rsidR="002B5464">
        <w:t xml:space="preserve"> which was presented to Parliament in March 2007</w:t>
      </w:r>
      <w:r w:rsidR="009823AC">
        <w:t>,</w:t>
      </w:r>
      <w:r w:rsidR="002B5464">
        <w:t xml:space="preserve"> was a joint collaboration between both nations.</w:t>
      </w:r>
      <w:r w:rsidR="00D00C12">
        <w:rPr>
          <w:rStyle w:val="FootnoteReference"/>
        </w:rPr>
        <w:footnoteReference w:id="4"/>
      </w:r>
      <w:r w:rsidR="002B5464">
        <w:t xml:space="preserve"> </w:t>
      </w:r>
    </w:p>
    <w:p w14:paraId="6391892D" w14:textId="7F2C5161" w:rsidR="001301F4" w:rsidRDefault="00272750" w:rsidP="00DF663F">
      <w:pPr>
        <w:spacing w:line="480" w:lineRule="auto"/>
        <w:jc w:val="both"/>
      </w:pPr>
      <w:r>
        <w:t>Currently</w:t>
      </w:r>
      <w:r w:rsidR="002B5464">
        <w:t xml:space="preserve">, it is true to say that </w:t>
      </w:r>
      <w:r w:rsidR="00EF49A6">
        <w:t xml:space="preserve">England, Northern Ireland, Scotland and Wales all have different systems </w:t>
      </w:r>
      <w:r w:rsidR="00443124">
        <w:t>in place for dealing with heritage</w:t>
      </w:r>
      <w:r w:rsidR="00EF49A6">
        <w:t>.</w:t>
      </w:r>
      <w:r w:rsidR="00CB638B">
        <w:t xml:space="preserve"> S</w:t>
      </w:r>
      <w:r w:rsidR="00F42BE6">
        <w:t>ome c</w:t>
      </w:r>
      <w:r w:rsidR="00342816">
        <w:t xml:space="preserve">haritable heritage bodies such as the National Trust </w:t>
      </w:r>
      <w:r w:rsidR="00CB638B">
        <w:t xml:space="preserve">do </w:t>
      </w:r>
      <w:r w:rsidR="00342816">
        <w:t xml:space="preserve">continue to deal with Wales and England </w:t>
      </w:r>
      <w:r w:rsidR="004E6CC4">
        <w:t xml:space="preserve">as one entity. This is demonstrated </w:t>
      </w:r>
      <w:r w:rsidR="00715BB5">
        <w:t xml:space="preserve">as </w:t>
      </w:r>
      <w:r w:rsidR="004E6CC4">
        <w:t>the</w:t>
      </w:r>
      <w:r w:rsidR="00F25180">
        <w:t xml:space="preserve"> information </w:t>
      </w:r>
      <w:r w:rsidR="00F25180">
        <w:lastRenderedPageBreak/>
        <w:t xml:space="preserve">across all </w:t>
      </w:r>
      <w:r w:rsidR="004E6CC4">
        <w:t xml:space="preserve">their </w:t>
      </w:r>
      <w:r w:rsidR="00F25180">
        <w:t xml:space="preserve">sites </w:t>
      </w:r>
      <w:r w:rsidR="004E6CC4">
        <w:t xml:space="preserve">within Wales and England </w:t>
      </w:r>
      <w:r w:rsidR="00715BB5">
        <w:t>are detailed</w:t>
      </w:r>
      <w:r w:rsidR="004E6CC4">
        <w:t xml:space="preserve"> on</w:t>
      </w:r>
      <w:r w:rsidR="00F25180">
        <w:t xml:space="preserve"> one online site.</w:t>
      </w:r>
      <w:r w:rsidR="00CC3844">
        <w:rPr>
          <w:rStyle w:val="FootnoteReference"/>
        </w:rPr>
        <w:footnoteReference w:id="5"/>
      </w:r>
      <w:r w:rsidR="00F25180">
        <w:t xml:space="preserve"> </w:t>
      </w:r>
      <w:r w:rsidR="00CC3844">
        <w:t>Similarly the Victorian Society is concerned with buildings across both Wales and England.</w:t>
      </w:r>
      <w:r w:rsidR="00CC3844">
        <w:rPr>
          <w:rStyle w:val="FootnoteReference"/>
        </w:rPr>
        <w:footnoteReference w:id="6"/>
      </w:r>
      <w:r w:rsidR="00CC3844">
        <w:t xml:space="preserve"> Other charities deal specifically with properties within England or Wales.</w:t>
      </w:r>
      <w:r w:rsidR="00674F3C">
        <w:t xml:space="preserve"> The Churches </w:t>
      </w:r>
      <w:r w:rsidR="00E0010A">
        <w:t>C</w:t>
      </w:r>
      <w:r w:rsidR="00674F3C">
        <w:t>onservation Trust, for example is only concerned with Church of England churches.</w:t>
      </w:r>
      <w:r w:rsidR="00674F3C">
        <w:rPr>
          <w:rStyle w:val="FootnoteReference"/>
        </w:rPr>
        <w:footnoteReference w:id="7"/>
      </w:r>
      <w:r w:rsidR="003829B2">
        <w:t xml:space="preserve"> The consequence of this </w:t>
      </w:r>
      <w:r w:rsidR="00B5684E">
        <w:t>divergence of provision both legislation and charitable is to create a complex picture of heritage provision across Wales and England which since Welsh devolution</w:t>
      </w:r>
      <w:r w:rsidR="004E6CC4">
        <w:t xml:space="preserve"> in 1999,</w:t>
      </w:r>
      <w:r w:rsidR="00B5684E">
        <w:t xml:space="preserve"> has become increasingly di</w:t>
      </w:r>
      <w:r w:rsidR="004E6CC4">
        <w:t>fferent</w:t>
      </w:r>
      <w:r w:rsidR="00B5684E">
        <w:t xml:space="preserve"> from each other.</w:t>
      </w:r>
      <w:r w:rsidR="006F75B0">
        <w:t xml:space="preserve"> It is important in studying the current </w:t>
      </w:r>
      <w:r w:rsidR="007A1FBF">
        <w:t>legal pattern</w:t>
      </w:r>
      <w:r w:rsidR="006F75B0">
        <w:t xml:space="preserve"> to note the laws prior to Welsh devolution in 1999</w:t>
      </w:r>
      <w:r w:rsidR="007A1FBF">
        <w:t xml:space="preserve"> to fully understand the historiography of heritage legislation.</w:t>
      </w:r>
    </w:p>
    <w:p w14:paraId="690B24B7" w14:textId="084353AB" w:rsidR="00585062" w:rsidRDefault="00585062" w:rsidP="00DF663F">
      <w:pPr>
        <w:spacing w:line="480" w:lineRule="auto"/>
        <w:jc w:val="both"/>
      </w:pPr>
      <w:r>
        <w:t>As stated in the introduction</w:t>
      </w:r>
      <w:r w:rsidR="00715BB5">
        <w:t>,</w:t>
      </w:r>
      <w:r>
        <w:t xml:space="preserve"> heritage legislation initially included both England and Wales. </w:t>
      </w:r>
      <w:r w:rsidR="009E08F5">
        <w:t xml:space="preserve">The earliest piece of heritage legislation was </w:t>
      </w:r>
      <w:bookmarkStart w:id="1" w:name="_Hlk101102241"/>
      <w:r w:rsidR="00587C65" w:rsidRPr="00587C65">
        <w:rPr>
          <w:i/>
          <w:iCs/>
        </w:rPr>
        <w:t>T</w:t>
      </w:r>
      <w:r w:rsidR="009E08F5" w:rsidRPr="00587C65">
        <w:rPr>
          <w:i/>
          <w:iCs/>
        </w:rPr>
        <w:t xml:space="preserve">he Ancient Monuments Protection Act </w:t>
      </w:r>
      <w:bookmarkEnd w:id="1"/>
      <w:r w:rsidR="009E08F5" w:rsidRPr="00587C65">
        <w:rPr>
          <w:i/>
          <w:iCs/>
        </w:rPr>
        <w:t>1882</w:t>
      </w:r>
      <w:r w:rsidR="009E08F5">
        <w:t>.</w:t>
      </w:r>
      <w:r w:rsidR="004F6A1A">
        <w:rPr>
          <w:rStyle w:val="FootnoteReference"/>
        </w:rPr>
        <w:footnoteReference w:id="8"/>
      </w:r>
      <w:r w:rsidR="00D4439A">
        <w:t xml:space="preserve"> </w:t>
      </w:r>
      <w:r w:rsidR="001301F4">
        <w:t>However, o</w:t>
      </w:r>
      <w:r w:rsidR="00D4439A">
        <w:t>f the fifty prehistoric sites covered by this legislation</w:t>
      </w:r>
      <w:r w:rsidR="001301F4">
        <w:t xml:space="preserve"> only </w:t>
      </w:r>
      <w:r w:rsidR="00D4439A">
        <w:t>t</w:t>
      </w:r>
      <w:r w:rsidR="00CE2A0B">
        <w:t>hree</w:t>
      </w:r>
      <w:r w:rsidR="00D4439A">
        <w:t xml:space="preserve"> were </w:t>
      </w:r>
      <w:r w:rsidR="00CE2A0B">
        <w:t xml:space="preserve">located </w:t>
      </w:r>
      <w:r w:rsidR="00D4439A">
        <w:t>in Wales</w:t>
      </w:r>
      <w:r w:rsidR="00CE2A0B">
        <w:t>,</w:t>
      </w:r>
      <w:r w:rsidR="00D4439A">
        <w:t xml:space="preserve"> </w:t>
      </w:r>
      <w:proofErr w:type="spellStart"/>
      <w:r w:rsidR="00D4439A">
        <w:t>Plas</w:t>
      </w:r>
      <w:proofErr w:type="spellEnd"/>
      <w:r w:rsidR="00D4439A">
        <w:t xml:space="preserve"> Newydd Burial Chambers</w:t>
      </w:r>
      <w:r w:rsidR="00CE2A0B">
        <w:t xml:space="preserve"> on Anglesey, </w:t>
      </w:r>
      <w:hyperlink r:id="rId7" w:anchor="Arthur's_Stone" w:tooltip="Cefn Bryn" w:history="1">
        <w:r w:rsidR="00CE2A0B" w:rsidRPr="00CE2A0B">
          <w:t>Arthur's Stone</w:t>
        </w:r>
      </w:hyperlink>
      <w:r w:rsidR="00CE2A0B">
        <w:t xml:space="preserve"> on Gower and </w:t>
      </w:r>
      <w:hyperlink r:id="rId8" w:tooltip="Pentre Ifan" w:history="1">
        <w:r w:rsidR="00CE2A0B" w:rsidRPr="00CE2A0B">
          <w:t xml:space="preserve">Pentre </w:t>
        </w:r>
        <w:proofErr w:type="spellStart"/>
        <w:r w:rsidR="00CE2A0B" w:rsidRPr="00CE2A0B">
          <w:t>Ifan</w:t>
        </w:r>
        <w:proofErr w:type="spellEnd"/>
      </w:hyperlink>
      <w:r w:rsidR="00CE2A0B">
        <w:t xml:space="preserve"> in Pembrokeshire.</w:t>
      </w:r>
      <w:r w:rsidR="00CF4CFA">
        <w:t xml:space="preserve"> The similarly </w:t>
      </w:r>
      <w:r w:rsidR="00A07993">
        <w:t>en</w:t>
      </w:r>
      <w:r w:rsidR="00CF4CFA">
        <w:t xml:space="preserve">titled </w:t>
      </w:r>
      <w:r w:rsidR="00587C65">
        <w:rPr>
          <w:i/>
          <w:iCs/>
        </w:rPr>
        <w:t>T</w:t>
      </w:r>
      <w:r w:rsidR="00A07993" w:rsidRPr="00587C65">
        <w:rPr>
          <w:i/>
          <w:iCs/>
        </w:rPr>
        <w:t>he Ancient Monuments Protection Act 1900</w:t>
      </w:r>
      <w:r w:rsidR="00A07993">
        <w:t xml:space="preserve"> broadened the scope of the original </w:t>
      </w:r>
      <w:r w:rsidR="001301F4">
        <w:t>A</w:t>
      </w:r>
      <w:r w:rsidR="00A07993">
        <w:t>ct</w:t>
      </w:r>
      <w:r w:rsidR="002A2614">
        <w:t>.</w:t>
      </w:r>
      <w:r w:rsidR="002A2614">
        <w:rPr>
          <w:rStyle w:val="FootnoteReference"/>
        </w:rPr>
        <w:footnoteReference w:id="9"/>
      </w:r>
      <w:r w:rsidR="00715BB5">
        <w:t xml:space="preserve"> </w:t>
      </w:r>
      <w:r w:rsidR="00EA153B">
        <w:t>Structures other than pre historic were then afforded protection ‘In this Act the expression “monument” means any structure, erection, or monument of historic or architectural interest, or any remains thereof.’</w:t>
      </w:r>
      <w:r w:rsidR="001E6046">
        <w:rPr>
          <w:rStyle w:val="FootnoteReference"/>
        </w:rPr>
        <w:footnoteReference w:id="10"/>
      </w:r>
      <w:r w:rsidR="001E6046">
        <w:t xml:space="preserve"> </w:t>
      </w:r>
      <w:r w:rsidR="00EA153B">
        <w:t>In addition to wider protection for a greater range of structures, the right of public access was written into law.</w:t>
      </w:r>
      <w:r w:rsidR="00C63999">
        <w:t xml:space="preserve"> It is noteworthy that Ireland was expressly not covered by this legislation </w:t>
      </w:r>
      <w:r w:rsidR="00673F80">
        <w:t>although</w:t>
      </w:r>
      <w:r w:rsidR="00C63999">
        <w:t xml:space="preserve"> an explanatory note regarding Scottish county councils was included. Wales seemingly was simply included as a part of England.</w:t>
      </w:r>
      <w:r w:rsidR="00A64684">
        <w:t xml:space="preserve"> The 1910 Act was quickly superseded by</w:t>
      </w:r>
      <w:r w:rsidR="00A64684" w:rsidRPr="00587C65">
        <w:rPr>
          <w:i/>
          <w:iCs/>
        </w:rPr>
        <w:t xml:space="preserve"> </w:t>
      </w:r>
      <w:proofErr w:type="gramStart"/>
      <w:r w:rsidR="00587C65" w:rsidRPr="00587C65">
        <w:rPr>
          <w:i/>
          <w:iCs/>
        </w:rPr>
        <w:t>T</w:t>
      </w:r>
      <w:r w:rsidR="00A64684" w:rsidRPr="00587C65">
        <w:rPr>
          <w:i/>
          <w:iCs/>
        </w:rPr>
        <w:t>he</w:t>
      </w:r>
      <w:proofErr w:type="gramEnd"/>
      <w:r w:rsidR="00A64684" w:rsidRPr="00587C65">
        <w:rPr>
          <w:i/>
          <w:iCs/>
        </w:rPr>
        <w:t xml:space="preserve"> 1913 Ancient Monuments Act </w:t>
      </w:r>
      <w:r w:rsidR="00A64684">
        <w:t xml:space="preserve">as dissatisfaction was expressed regarding the </w:t>
      </w:r>
      <w:r w:rsidR="005468D2">
        <w:t xml:space="preserve">lack of comprehensive coverage to </w:t>
      </w:r>
      <w:r w:rsidR="005468D2">
        <w:lastRenderedPageBreak/>
        <w:t>ensure the safety of heritage sites and their surroundings.</w:t>
      </w:r>
      <w:r w:rsidR="006A1AA7">
        <w:rPr>
          <w:rStyle w:val="FootnoteReference"/>
        </w:rPr>
        <w:footnoteReference w:id="11"/>
      </w:r>
      <w:r w:rsidR="005468D2">
        <w:t xml:space="preserve"> </w:t>
      </w:r>
      <w:r w:rsidR="00B44373">
        <w:t xml:space="preserve">As a result the Ancient </w:t>
      </w:r>
      <w:r w:rsidR="00B44F4A">
        <w:t>M</w:t>
      </w:r>
      <w:r w:rsidR="00B44373">
        <w:t xml:space="preserve">onuments </w:t>
      </w:r>
      <w:r w:rsidR="00B44F4A">
        <w:t>B</w:t>
      </w:r>
      <w:r w:rsidR="00B44373">
        <w:t xml:space="preserve">oard was set up to oversee that adequate protection was being offered to the monuments covered by the 1913 legislation. </w:t>
      </w:r>
      <w:r w:rsidR="009414C0" w:rsidRPr="007274B1">
        <w:rPr>
          <w:i/>
          <w:iCs/>
        </w:rPr>
        <w:t>The Ancient Monuments Act</w:t>
      </w:r>
      <w:r w:rsidR="00F26FDA" w:rsidRPr="007274B1">
        <w:rPr>
          <w:i/>
          <w:iCs/>
        </w:rPr>
        <w:t xml:space="preserve"> </w:t>
      </w:r>
      <w:r w:rsidR="009414C0" w:rsidRPr="007274B1">
        <w:rPr>
          <w:i/>
          <w:iCs/>
        </w:rPr>
        <w:t>1931</w:t>
      </w:r>
      <w:r w:rsidR="009414C0">
        <w:t xml:space="preserve"> was given royal assent on 11</w:t>
      </w:r>
      <w:r w:rsidR="009414C0" w:rsidRPr="009414C0">
        <w:rPr>
          <w:vertAlign w:val="superscript"/>
        </w:rPr>
        <w:t>th</w:t>
      </w:r>
      <w:r w:rsidR="009414C0">
        <w:t xml:space="preserve"> June 1931. It differed from the 1913 Act referred to above</w:t>
      </w:r>
      <w:r w:rsidR="00400506">
        <w:t>,</w:t>
      </w:r>
      <w:r w:rsidR="009414C0">
        <w:t xml:space="preserve"> as it broadened the definition of a monument and gave powers to limit development around a monument which might cause damage and have a negative visual impact.</w:t>
      </w:r>
      <w:r w:rsidR="009414C0">
        <w:rPr>
          <w:rStyle w:val="FootnoteReference"/>
        </w:rPr>
        <w:footnoteReference w:id="12"/>
      </w:r>
    </w:p>
    <w:p w14:paraId="1C714693" w14:textId="16479AF0" w:rsidR="00D216AC" w:rsidRDefault="00D216AC" w:rsidP="00DF663F">
      <w:pPr>
        <w:spacing w:line="480" w:lineRule="auto"/>
        <w:jc w:val="both"/>
      </w:pPr>
      <w:r>
        <w:t xml:space="preserve">As we have seen, all legislation from the first act passed in 1882 </w:t>
      </w:r>
      <w:r w:rsidR="00B05DAD">
        <w:t xml:space="preserve">and subsequent acts </w:t>
      </w:r>
      <w:r>
        <w:t>up until 1931</w:t>
      </w:r>
      <w:r w:rsidR="004A0CD8">
        <w:t>,</w:t>
      </w:r>
      <w:r>
        <w:t xml:space="preserve"> combined England and Wales</w:t>
      </w:r>
      <w:r w:rsidR="004A0CD8">
        <w:t xml:space="preserve"> </w:t>
      </w:r>
      <w:r>
        <w:t xml:space="preserve">almost as if they were one nation. </w:t>
      </w:r>
      <w:r w:rsidR="00592378">
        <w:t xml:space="preserve">The setting up of the National Land </w:t>
      </w:r>
      <w:r w:rsidR="00B05DAD">
        <w:t>F</w:t>
      </w:r>
      <w:r w:rsidR="00592378">
        <w:t>und in 1946 resulted in the acquisition of several properties in lieu of death duties. These properties were managed by the National Trust</w:t>
      </w:r>
      <w:r w:rsidR="00400506">
        <w:t>. T</w:t>
      </w:r>
      <w:r w:rsidR="00592378">
        <w:t>he subsequent Gowers Report of 1950 saw a change of policy as regards Welsh and English heritage management.</w:t>
      </w:r>
      <w:r w:rsidR="00592378">
        <w:rPr>
          <w:rStyle w:val="FootnoteReference"/>
        </w:rPr>
        <w:footnoteReference w:id="13"/>
      </w:r>
      <w:r w:rsidR="0040338C">
        <w:t xml:space="preserve"> This change of emphasis was reflected in the Historic </w:t>
      </w:r>
      <w:r w:rsidR="00113919">
        <w:t>B</w:t>
      </w:r>
      <w:r w:rsidR="0040338C">
        <w:t>uildings and Ancient Monuments Act 1953.</w:t>
      </w:r>
      <w:r w:rsidR="0040338C">
        <w:rPr>
          <w:rStyle w:val="FootnoteReference"/>
        </w:rPr>
        <w:footnoteReference w:id="14"/>
      </w:r>
      <w:r w:rsidR="00F26FDA">
        <w:t xml:space="preserve"> </w:t>
      </w:r>
      <w:r w:rsidR="00BA45B9">
        <w:t>The addition of ‘Historic Buildings’ to the legal framework concerned with heritage</w:t>
      </w:r>
      <w:r w:rsidR="001729FB">
        <w:t>,</w:t>
      </w:r>
      <w:r w:rsidR="00BA45B9">
        <w:t xml:space="preserve"> was of considerable significance. Prior to this Act, heritage had been </w:t>
      </w:r>
      <w:r w:rsidR="000B06A1">
        <w:t xml:space="preserve">largely concerned with ancient monuments. The importance of the built environment was recognised in the Act and resulted in the creation of separate Historic Building Councils for England and Wales. </w:t>
      </w:r>
      <w:r w:rsidR="00B770F5">
        <w:t xml:space="preserve">Effectively this was the first </w:t>
      </w:r>
      <w:r w:rsidR="00067AC2">
        <w:t xml:space="preserve">piece of </w:t>
      </w:r>
      <w:r w:rsidR="00B770F5">
        <w:t xml:space="preserve">heritage legislation which recognised Wales as a separate nation. </w:t>
      </w:r>
      <w:r w:rsidR="000B06A1">
        <w:t>In addition, a separate body was set up in Scotland.</w:t>
      </w:r>
      <w:r w:rsidR="007107B8">
        <w:t xml:space="preserve"> The purpose of the Councils was made clear prior to the passing of the Act ‘The object of those Councils is to advise the Minister of </w:t>
      </w:r>
      <w:r w:rsidR="007107B8">
        <w:lastRenderedPageBreak/>
        <w:t>Works on the performance of his functions under the Bill. Those functions will be, broadly, to make grants, either capital or maintenance, for buildings of historic interest and architectural beauty.’</w:t>
      </w:r>
      <w:r w:rsidR="007107B8">
        <w:rPr>
          <w:rStyle w:val="FootnoteReference"/>
        </w:rPr>
        <w:footnoteReference w:id="15"/>
      </w:r>
    </w:p>
    <w:p w14:paraId="54F9D7FD" w14:textId="65165340" w:rsidR="00024438" w:rsidRDefault="0008166B" w:rsidP="00DF663F">
      <w:pPr>
        <w:spacing w:line="480" w:lineRule="auto"/>
        <w:jc w:val="both"/>
      </w:pPr>
      <w:r>
        <w:t xml:space="preserve">As a </w:t>
      </w:r>
      <w:r w:rsidR="00530E47">
        <w:t>result,</w:t>
      </w:r>
      <w:r>
        <w:t xml:space="preserve"> country houses </w:t>
      </w:r>
      <w:r w:rsidR="00EE165F">
        <w:t>which</w:t>
      </w:r>
      <w:r>
        <w:t xml:space="preserve"> might otherwise have been demolished or fallen into ruinous disrepair</w:t>
      </w:r>
      <w:r w:rsidR="00EE165F">
        <w:t>,</w:t>
      </w:r>
      <w:r>
        <w:t xml:space="preserve"> were saved. However, the provision of funds via the National Land </w:t>
      </w:r>
      <w:r w:rsidR="00530E47">
        <w:t>F</w:t>
      </w:r>
      <w:r>
        <w:t xml:space="preserve">und </w:t>
      </w:r>
      <w:r w:rsidR="00530E47">
        <w:t>proved to be inadequate</w:t>
      </w:r>
      <w:r w:rsidR="00EE165F">
        <w:t xml:space="preserve"> to save all great houses. </w:t>
      </w:r>
      <w:r w:rsidR="00530E47">
        <w:t>Rose Staveley- Wadham states that since 1900 more than one thousand two hundred English country houses have been demolished.</w:t>
      </w:r>
      <w:r w:rsidR="00530E47">
        <w:rPr>
          <w:rStyle w:val="FootnoteReference"/>
        </w:rPr>
        <w:footnoteReference w:id="16"/>
      </w:r>
      <w:r w:rsidR="00712D92">
        <w:t xml:space="preserve"> Staveley</w:t>
      </w:r>
      <w:r w:rsidR="00577ECE">
        <w:t xml:space="preserve"> - Wadham</w:t>
      </w:r>
      <w:r w:rsidR="00712D92">
        <w:t xml:space="preserve"> asserts that the reasons behind the loss of so many great houses is complex. Taxation</w:t>
      </w:r>
      <w:r w:rsidR="00691459">
        <w:t xml:space="preserve"> in the form </w:t>
      </w:r>
      <w:r w:rsidR="007274B1">
        <w:t>of income</w:t>
      </w:r>
      <w:r w:rsidR="00712D92">
        <w:t xml:space="preserve"> </w:t>
      </w:r>
      <w:r w:rsidR="00691459">
        <w:t xml:space="preserve">tax </w:t>
      </w:r>
      <w:r w:rsidR="00712D92">
        <w:t>and death duties allied to a societal shift regarding the desirability of working in these country houses meant that families which were once wealthy</w:t>
      </w:r>
      <w:r w:rsidR="00691459">
        <w:t>,</w:t>
      </w:r>
      <w:r w:rsidR="00712D92">
        <w:t xml:space="preserve"> then became unable to support the upkeep of their homes. Correspondingly, Wales has lost </w:t>
      </w:r>
      <w:r w:rsidR="00EE165F">
        <w:t>three hundred and ninety country homes over the same period seemingly for largely the same reasons.</w:t>
      </w:r>
      <w:r w:rsidR="00EE165F">
        <w:rPr>
          <w:rStyle w:val="FootnoteReference"/>
        </w:rPr>
        <w:footnoteReference w:id="17"/>
      </w:r>
      <w:r w:rsidR="00712D92">
        <w:t xml:space="preserve"> </w:t>
      </w:r>
      <w:r w:rsidR="00577ECE">
        <w:t>Many of these important buildings were demolished in the 1950s. Staveley – Wadham contends that by the 1970s a new attitude was taken to the</w:t>
      </w:r>
      <w:r w:rsidR="00691459">
        <w:t xml:space="preserve">se </w:t>
      </w:r>
      <w:r w:rsidR="00577ECE">
        <w:t xml:space="preserve">buildings. Their commercial tourist value was seen </w:t>
      </w:r>
      <w:r w:rsidR="00691459">
        <w:t xml:space="preserve">as </w:t>
      </w:r>
      <w:r w:rsidR="00577ECE">
        <w:t>‘They began to pay for themselves via tourism, with fifty million people visiting six hundred stately homes in Britain by 1992.’</w:t>
      </w:r>
      <w:r w:rsidR="00DF39A4">
        <w:rPr>
          <w:rStyle w:val="FootnoteReference"/>
        </w:rPr>
        <w:footnoteReference w:id="18"/>
      </w:r>
    </w:p>
    <w:p w14:paraId="04149A88" w14:textId="3EF9F5DD" w:rsidR="00750FE0" w:rsidRDefault="00750FE0" w:rsidP="00780052">
      <w:pPr>
        <w:spacing w:line="480" w:lineRule="auto"/>
      </w:pPr>
      <w:r>
        <w:t>Evidently, legislation concerned with heritage in Wales and England prior to devolution was widening its remit. No longer constrained to ancient monuments</w:t>
      </w:r>
      <w:r w:rsidR="00365687">
        <w:t>,</w:t>
      </w:r>
      <w:r>
        <w:t xml:space="preserve"> attention was taken of the built environment in </w:t>
      </w:r>
      <w:r w:rsidR="00B55E65">
        <w:rPr>
          <w:i/>
          <w:iCs/>
        </w:rPr>
        <w:t>T</w:t>
      </w:r>
      <w:r w:rsidRPr="00B55E65">
        <w:rPr>
          <w:i/>
          <w:iCs/>
        </w:rPr>
        <w:t>he Historic Buildings and Ancient Monuments Act 1953</w:t>
      </w:r>
      <w:r>
        <w:t xml:space="preserve">. </w:t>
      </w:r>
      <w:r w:rsidR="00B20F08">
        <w:t>Subsequent legislation in the 1980s was concerned with broadening protection for heritage sites other t</w:t>
      </w:r>
      <w:r w:rsidR="00365687">
        <w:t>h</w:t>
      </w:r>
      <w:r w:rsidR="00B20F08">
        <w:t>an country houses.</w:t>
      </w:r>
      <w:r w:rsidR="00F47734">
        <w:t xml:space="preserve"> </w:t>
      </w:r>
      <w:r w:rsidR="00F47734" w:rsidRPr="00B55E65">
        <w:rPr>
          <w:i/>
          <w:iCs/>
        </w:rPr>
        <w:t>The 1980 National Heritage Act</w:t>
      </w:r>
      <w:r w:rsidR="00F47734">
        <w:t xml:space="preserve"> established the National Heritage Memorial Fund, which superseded </w:t>
      </w:r>
      <w:r w:rsidR="00F47734">
        <w:lastRenderedPageBreak/>
        <w:t xml:space="preserve">the National Land </w:t>
      </w:r>
      <w:r w:rsidR="00DF663F">
        <w:t>F</w:t>
      </w:r>
      <w:r w:rsidR="00F47734">
        <w:t>und set up in 1946.</w:t>
      </w:r>
      <w:r w:rsidR="00F47734">
        <w:rPr>
          <w:rStyle w:val="FootnoteReference"/>
        </w:rPr>
        <w:footnoteReference w:id="19"/>
      </w:r>
      <w:r w:rsidR="005C1F30">
        <w:t xml:space="preserve"> Similarly to the 1946 Land </w:t>
      </w:r>
      <w:r w:rsidR="009439D9">
        <w:t>F</w:t>
      </w:r>
      <w:r w:rsidR="005C1F30">
        <w:t>und, this Act was primarily concerned with fulfilling death duty liability by handing over properties to the state.</w:t>
      </w:r>
      <w:r w:rsidR="009450C1">
        <w:t xml:space="preserve"> </w:t>
      </w:r>
      <w:r w:rsidR="009450C1" w:rsidRPr="00192F26">
        <w:rPr>
          <w:i/>
          <w:iCs/>
        </w:rPr>
        <w:t xml:space="preserve">The 1983 National Heritage Act </w:t>
      </w:r>
      <w:r w:rsidR="009450C1">
        <w:t>served a more specific purpose</w:t>
      </w:r>
      <w:r w:rsidR="00754C19">
        <w:t xml:space="preserve"> than previous </w:t>
      </w:r>
      <w:r w:rsidR="00192F26">
        <w:t>legislation in</w:t>
      </w:r>
      <w:r w:rsidR="009450C1">
        <w:t xml:space="preserve"> that it stated that the Science Museum, the Victoria and Albert Museum, the Royal Botanic Gardens and the Armouries should be governed by boards of trustees rather than the Department of the Environment. The Historic Buildings and Monuments Commission (HBMC) was set up to oversee this work. </w:t>
      </w:r>
      <w:r w:rsidR="00367232">
        <w:t xml:space="preserve">The Board </w:t>
      </w:r>
      <w:r w:rsidR="00076768">
        <w:t xml:space="preserve">subsequently </w:t>
      </w:r>
      <w:r w:rsidR="00367232">
        <w:t>became known as English Heritage.</w:t>
      </w:r>
      <w:r w:rsidR="00367232">
        <w:rPr>
          <w:rStyle w:val="FootnoteReference"/>
        </w:rPr>
        <w:footnoteReference w:id="20"/>
      </w:r>
      <w:r w:rsidR="00365687">
        <w:t xml:space="preserve"> </w:t>
      </w:r>
      <w:r w:rsidR="00866C58" w:rsidRPr="00534041">
        <w:rPr>
          <w:i/>
          <w:iCs/>
        </w:rPr>
        <w:t xml:space="preserve">The National Heritage Act 1997 </w:t>
      </w:r>
      <w:r w:rsidR="00365687">
        <w:t>prior to Welsh devolution in 1999</w:t>
      </w:r>
      <w:r w:rsidR="007A44E0">
        <w:t>,</w:t>
      </w:r>
      <w:r w:rsidR="00365687">
        <w:t xml:space="preserve"> again widened heritage concerns.</w:t>
      </w:r>
      <w:r w:rsidR="00045101">
        <w:t xml:space="preserve"> The Act specifie</w:t>
      </w:r>
      <w:r w:rsidR="00866C58">
        <w:t>d</w:t>
      </w:r>
      <w:r w:rsidR="00045101">
        <w:t xml:space="preserve"> that it g</w:t>
      </w:r>
      <w:r w:rsidR="00866C58">
        <w:t>ave</w:t>
      </w:r>
      <w:r w:rsidR="00045101">
        <w:t xml:space="preserve"> ‘</w:t>
      </w:r>
      <w:r w:rsidR="00045101" w:rsidRPr="00045101">
        <w:t>The powers of the Trustees to give financial assistance under this section are exercisable in the case of things of any kind which are of scenic, historic, archaeological, aesthetic, architectural, engineering, artistic or scientific interest, including animals and plants which are of zoological or botanical interest.</w:t>
      </w:r>
      <w:r w:rsidR="00045101">
        <w:t>’</w:t>
      </w:r>
      <w:r w:rsidR="00045101">
        <w:rPr>
          <w:rStyle w:val="FootnoteReference"/>
        </w:rPr>
        <w:footnoteReference w:id="21"/>
      </w:r>
      <w:r w:rsidR="00B06664">
        <w:t xml:space="preserve"> This represent</w:t>
      </w:r>
      <w:r w:rsidR="00866C58">
        <w:t>ed</w:t>
      </w:r>
      <w:r w:rsidR="00B06664">
        <w:t xml:space="preserve"> a substantial increase in the view taken regarding what constitutes heritage worthy of legal protection. The Act </w:t>
      </w:r>
      <w:r w:rsidR="007F0178">
        <w:t>was</w:t>
      </w:r>
      <w:r w:rsidR="00B06664">
        <w:t xml:space="preserve"> the final piece of heritage legislation </w:t>
      </w:r>
      <w:r w:rsidR="007F0178">
        <w:t xml:space="preserve">concerning both England and Wales </w:t>
      </w:r>
      <w:r w:rsidR="00B06664">
        <w:t>which was approved by the Westminster Government. Welsh devolution in 1999 brought about different views as to what legislation needed to be amended</w:t>
      </w:r>
      <w:r w:rsidR="007A44E0">
        <w:t xml:space="preserve"> or introduced. Welsh Heritage</w:t>
      </w:r>
      <w:r w:rsidR="00B06664">
        <w:t xml:space="preserve"> </w:t>
      </w:r>
      <w:r w:rsidR="009439D9">
        <w:t xml:space="preserve">legislation </w:t>
      </w:r>
      <w:r w:rsidR="000C7254">
        <w:t>was the</w:t>
      </w:r>
      <w:r w:rsidR="00B06664">
        <w:t xml:space="preserve"> </w:t>
      </w:r>
      <w:r w:rsidR="007A44E0">
        <w:t xml:space="preserve">responsibility of the </w:t>
      </w:r>
      <w:r w:rsidR="00B06664">
        <w:t>Welsh Assembly Government</w:t>
      </w:r>
      <w:r w:rsidR="007A44E0">
        <w:t xml:space="preserve"> after </w:t>
      </w:r>
      <w:r w:rsidR="00333EB4">
        <w:t>2006</w:t>
      </w:r>
      <w:r w:rsidR="00B06664">
        <w:t>.</w:t>
      </w:r>
    </w:p>
    <w:p w14:paraId="79E160C6" w14:textId="588D2EE2" w:rsidR="009852BD" w:rsidRDefault="000C7254" w:rsidP="00EE2340">
      <w:pPr>
        <w:spacing w:line="480" w:lineRule="auto"/>
        <w:jc w:val="both"/>
      </w:pPr>
      <w:r>
        <w:t xml:space="preserve">Although much of the legislation already </w:t>
      </w:r>
      <w:r w:rsidR="0029383A">
        <w:t xml:space="preserve">referred to </w:t>
      </w:r>
      <w:r>
        <w:t>applie</w:t>
      </w:r>
      <w:r w:rsidR="0029383A">
        <w:t>d</w:t>
      </w:r>
      <w:r>
        <w:t xml:space="preserve"> to both Wales and England, after devolution in 1999 it is possible to make comparisons regarding heritage legislation </w:t>
      </w:r>
      <w:r w:rsidR="0029383A">
        <w:t>in</w:t>
      </w:r>
      <w:r>
        <w:t xml:space="preserve"> the two nations. It is also possible to make comparisons as to how both nations chose to enact the legislation as there are considerable differences between them.</w:t>
      </w:r>
      <w:r w:rsidR="00826306">
        <w:t xml:space="preserve"> </w:t>
      </w:r>
      <w:r w:rsidR="00656768">
        <w:t xml:space="preserve">However, one further </w:t>
      </w:r>
      <w:r w:rsidR="00E374FA">
        <w:t xml:space="preserve">legal </w:t>
      </w:r>
      <w:r w:rsidR="00656768">
        <w:t>collaborati</w:t>
      </w:r>
      <w:r w:rsidR="00E374FA">
        <w:t xml:space="preserve">on between Wales and England brought about the March 2007 </w:t>
      </w:r>
      <w:r w:rsidR="0029383A">
        <w:t>W</w:t>
      </w:r>
      <w:r w:rsidR="00E374FA">
        <w:t xml:space="preserve">hite Paper entitled </w:t>
      </w:r>
      <w:r w:rsidR="00E374FA" w:rsidRPr="00E374FA">
        <w:rPr>
          <w:i/>
          <w:iCs/>
        </w:rPr>
        <w:t xml:space="preserve">Heritage Protection for the Twenty </w:t>
      </w:r>
      <w:r w:rsidR="00E374FA" w:rsidRPr="00E374FA">
        <w:rPr>
          <w:i/>
          <w:iCs/>
        </w:rPr>
        <w:lastRenderedPageBreak/>
        <w:t>First Century</w:t>
      </w:r>
      <w:r w:rsidR="00E374FA">
        <w:t>.</w:t>
      </w:r>
      <w:r w:rsidR="00E374FA">
        <w:rPr>
          <w:rStyle w:val="FootnoteReference"/>
        </w:rPr>
        <w:footnoteReference w:id="22"/>
      </w:r>
      <w:r w:rsidR="00E374FA">
        <w:t xml:space="preserve"> This white paper was regarded as </w:t>
      </w:r>
      <w:r w:rsidR="00780052">
        <w:t xml:space="preserve">a </w:t>
      </w:r>
      <w:r w:rsidR="00BD6B17">
        <w:t>consolidation of several attempts over the prior decade to move away from the elitist and professionals</w:t>
      </w:r>
      <w:r w:rsidR="00317F20">
        <w:t>’</w:t>
      </w:r>
      <w:r w:rsidR="00BD6B17">
        <w:t xml:space="preserve"> view of heritage by attempting to engage with the public</w:t>
      </w:r>
      <w:r w:rsidR="00317F20">
        <w:t xml:space="preserve"> view</w:t>
      </w:r>
      <w:r w:rsidR="00BD6B17">
        <w:t xml:space="preserve">. Emma Waterton and </w:t>
      </w:r>
      <w:proofErr w:type="spellStart"/>
      <w:r w:rsidR="00BD6B17">
        <w:t>Laurajane</w:t>
      </w:r>
      <w:proofErr w:type="spellEnd"/>
      <w:r w:rsidR="00BD6B17">
        <w:t xml:space="preserve"> Smith strongly assert that the White Paper took on a much wider remit than preceding legislation ‘The Heritage Review Process and White Paper are explicitly underpinned by the challenge of incorp</w:t>
      </w:r>
      <w:r w:rsidR="008B4D20">
        <w:t>orating wider governmental commitments for tackling social exclusion and recognising cultural diversity and public value into their remit.’</w:t>
      </w:r>
      <w:r w:rsidR="008B4D20">
        <w:rPr>
          <w:rStyle w:val="FootnoteReference"/>
        </w:rPr>
        <w:footnoteReference w:id="23"/>
      </w:r>
      <w:r w:rsidR="00317F20">
        <w:t xml:space="preserve"> Waterton and Smith further contend that the White Paper was an attempt to ‘overhaul the frameworks used to define, manage and conserve heritage.’</w:t>
      </w:r>
      <w:r w:rsidR="00317F20">
        <w:rPr>
          <w:rStyle w:val="FootnoteReference"/>
        </w:rPr>
        <w:footnoteReference w:id="24"/>
      </w:r>
      <w:r w:rsidR="00010156">
        <w:t xml:space="preserve"> </w:t>
      </w:r>
      <w:r w:rsidR="00B05D19">
        <w:t xml:space="preserve"> </w:t>
      </w:r>
      <w:proofErr w:type="spellStart"/>
      <w:r w:rsidR="00010156">
        <w:t>Wales’</w:t>
      </w:r>
      <w:proofErr w:type="spellEnd"/>
      <w:r w:rsidR="00010156">
        <w:t xml:space="preserve"> and England’s response to the white paper </w:t>
      </w:r>
      <w:r w:rsidR="00B05D19">
        <w:t>differed</w:t>
      </w:r>
      <w:r w:rsidR="004D7B58">
        <w:t>,</w:t>
      </w:r>
      <w:r w:rsidR="00B05D19">
        <w:t xml:space="preserve"> which resulted in </w:t>
      </w:r>
      <w:r w:rsidR="004D7B58">
        <w:t>varying</w:t>
      </w:r>
      <w:r w:rsidR="00B05D19">
        <w:t xml:space="preserve"> legislation in the two nations.</w:t>
      </w:r>
      <w:r w:rsidR="00010156">
        <w:t xml:space="preserve"> </w:t>
      </w:r>
      <w:r w:rsidR="004D7B58">
        <w:t>The</w:t>
      </w:r>
      <w:r w:rsidR="00010156">
        <w:t xml:space="preserve"> W</w:t>
      </w:r>
      <w:r w:rsidR="004D7B58">
        <w:t>elsh</w:t>
      </w:r>
      <w:r w:rsidR="00B05D19">
        <w:t xml:space="preserve"> response</w:t>
      </w:r>
      <w:r w:rsidR="00010156">
        <w:t xml:space="preserve"> result</w:t>
      </w:r>
      <w:r w:rsidR="00B05D19">
        <w:t xml:space="preserve">ed in </w:t>
      </w:r>
      <w:r w:rsidR="00B05D19" w:rsidRPr="00333EB4">
        <w:rPr>
          <w:i/>
          <w:iCs/>
        </w:rPr>
        <w:t>The H</w:t>
      </w:r>
      <w:r w:rsidR="00010156" w:rsidRPr="00333EB4">
        <w:rPr>
          <w:i/>
          <w:iCs/>
        </w:rPr>
        <w:t>istoric Environment (Wales) Act 2016</w:t>
      </w:r>
      <w:r w:rsidR="00010156">
        <w:t>.</w:t>
      </w:r>
      <w:r w:rsidR="00010156">
        <w:rPr>
          <w:rStyle w:val="FootnoteReference"/>
        </w:rPr>
        <w:footnoteReference w:id="25"/>
      </w:r>
      <w:r w:rsidR="00C4546E">
        <w:t xml:space="preserve"> </w:t>
      </w:r>
    </w:p>
    <w:p w14:paraId="04959844" w14:textId="7252D0D9" w:rsidR="000C7254" w:rsidRDefault="009852BD" w:rsidP="0000052D">
      <w:pPr>
        <w:spacing w:line="480" w:lineRule="auto"/>
        <w:jc w:val="both"/>
      </w:pPr>
      <w:r>
        <w:t>It is important to note however, that although this Act was seen as primary legislation it was allied</w:t>
      </w:r>
      <w:r w:rsidR="00FA350A">
        <w:t xml:space="preserve"> </w:t>
      </w:r>
      <w:r w:rsidR="008A22AC">
        <w:t>closely to</w:t>
      </w:r>
      <w:r>
        <w:t xml:space="preserve"> other pieces of legislation already in existence.</w:t>
      </w:r>
      <w:r>
        <w:rPr>
          <w:rStyle w:val="FootnoteReference"/>
        </w:rPr>
        <w:footnoteReference w:id="26"/>
      </w:r>
      <w:r>
        <w:t xml:space="preserve"> The other five pieces of primary </w:t>
      </w:r>
      <w:r w:rsidR="00A93D9C">
        <w:t xml:space="preserve">legislation were </w:t>
      </w:r>
      <w:r w:rsidR="00333EB4" w:rsidRPr="00333EB4">
        <w:rPr>
          <w:i/>
          <w:iCs/>
        </w:rPr>
        <w:t>T</w:t>
      </w:r>
      <w:r w:rsidR="00A93D9C" w:rsidRPr="00333EB4">
        <w:rPr>
          <w:i/>
          <w:iCs/>
        </w:rPr>
        <w:t xml:space="preserve">he Wellbeing of Future Generations (Wales) Act 2015, Planning (Wales) Act 2015, Town and </w:t>
      </w:r>
      <w:r w:rsidR="008B4083" w:rsidRPr="00333EB4">
        <w:rPr>
          <w:i/>
          <w:iCs/>
        </w:rPr>
        <w:t>C</w:t>
      </w:r>
      <w:r w:rsidR="00A93D9C" w:rsidRPr="00333EB4">
        <w:rPr>
          <w:i/>
          <w:iCs/>
        </w:rPr>
        <w:t xml:space="preserve">ountry Planning Act 1990, Planning (Listed buildings and Conservation Areas) Act 1990, Ancient Monuments and Archaeological Areas Act 1979 </w:t>
      </w:r>
      <w:r w:rsidR="00A93D9C" w:rsidRPr="00333EB4">
        <w:t>and</w:t>
      </w:r>
      <w:r w:rsidR="00A93D9C" w:rsidRPr="00333EB4">
        <w:rPr>
          <w:i/>
          <w:iCs/>
        </w:rPr>
        <w:t xml:space="preserve"> the Protection of Wreck</w:t>
      </w:r>
      <w:r w:rsidR="007D6FF8" w:rsidRPr="00333EB4">
        <w:rPr>
          <w:i/>
          <w:iCs/>
        </w:rPr>
        <w:t>s</w:t>
      </w:r>
      <w:r w:rsidR="00A93D9C" w:rsidRPr="00333EB4">
        <w:rPr>
          <w:i/>
          <w:iCs/>
        </w:rPr>
        <w:t xml:space="preserve"> Act 1973.</w:t>
      </w:r>
      <w:r w:rsidR="008B4083">
        <w:t xml:space="preserve"> Clearly the first two of these listed pieces of legislation were only concerned with Wales.</w:t>
      </w:r>
      <w:r w:rsidR="00101D67">
        <w:t xml:space="preserve"> From these six pieces of legislation, statutory guidance, planning policy and advice alongside standards and conservation philosophy were developed. </w:t>
      </w:r>
      <w:r w:rsidR="00E95D48">
        <w:t xml:space="preserve">These points then led to best practice guidance covering all </w:t>
      </w:r>
      <w:r w:rsidR="00406E1A">
        <w:t xml:space="preserve">aspects of </w:t>
      </w:r>
      <w:r w:rsidR="00406E1A">
        <w:lastRenderedPageBreak/>
        <w:t xml:space="preserve">heritage management and conservation in Wales. </w:t>
      </w:r>
      <w:r w:rsidR="00F05945">
        <w:t>It should be noted that this legislation relates to tangible heritage, essentially buildings and monuments.</w:t>
      </w:r>
    </w:p>
    <w:p w14:paraId="1D5FF58C" w14:textId="1499791F" w:rsidR="00CA21AA" w:rsidRDefault="001B4E0B" w:rsidP="0000052D">
      <w:pPr>
        <w:spacing w:line="480" w:lineRule="auto"/>
        <w:jc w:val="both"/>
      </w:pPr>
      <w:r>
        <w:t>In addition to the provisions of the pre-existing primary legislation</w:t>
      </w:r>
      <w:r w:rsidR="00076B25">
        <w:t xml:space="preserve"> in Wales,</w:t>
      </w:r>
      <w:r>
        <w:t xml:space="preserve"> the 2016 Act sought to extend protection </w:t>
      </w:r>
      <w:r w:rsidR="00076B25">
        <w:t xml:space="preserve">afforded </w:t>
      </w:r>
      <w:r>
        <w:t>for heritage sites. Effectively</w:t>
      </w:r>
      <w:r w:rsidR="00EE2340">
        <w:t>,</w:t>
      </w:r>
      <w:r>
        <w:t xml:space="preserve"> it delivered a more streamlined and therefore rapid system to stop unauthorised work on scheduled monuments. Furthermore</w:t>
      </w:r>
      <w:r w:rsidR="00076B25">
        <w:t>,</w:t>
      </w:r>
      <w:r>
        <w:t xml:space="preserve"> the Act enabled a simpler system to take action against those who have deliberately carried out </w:t>
      </w:r>
      <w:r w:rsidR="00FE177F">
        <w:t>unauthorised work.</w:t>
      </w:r>
      <w:r>
        <w:t xml:space="preserve">  </w:t>
      </w:r>
      <w:r w:rsidR="00076B25">
        <w:t xml:space="preserve">An emphasis was placed on repurposing unlisted historic buildings with the intent to guarantee their long-term future. </w:t>
      </w:r>
      <w:r w:rsidR="008B6224">
        <w:t>Additionally, ‘a duty to compile and maintain a historic environment record for each Welsh local authority area</w:t>
      </w:r>
      <w:r w:rsidR="00243B83">
        <w:t>,</w:t>
      </w:r>
      <w:r w:rsidR="008B6224">
        <w:t>’</w:t>
      </w:r>
      <w:r w:rsidR="008B6224">
        <w:rPr>
          <w:rStyle w:val="FootnoteReference"/>
        </w:rPr>
        <w:footnoteReference w:id="27"/>
      </w:r>
      <w:r w:rsidR="00243B83">
        <w:t xml:space="preserve"> was also included in the provisions of the Act.</w:t>
      </w:r>
      <w:r w:rsidR="00CA21AA">
        <w:t xml:space="preserve"> </w:t>
      </w:r>
    </w:p>
    <w:p w14:paraId="27EE7EC0" w14:textId="48F97444" w:rsidR="00742C7E" w:rsidRDefault="00AD4AAF" w:rsidP="0000052D">
      <w:pPr>
        <w:spacing w:line="480" w:lineRule="auto"/>
        <w:jc w:val="both"/>
      </w:pPr>
      <w:r>
        <w:t>By comparison England</w:t>
      </w:r>
      <w:r w:rsidR="00437E74">
        <w:t>, unlike Wales</w:t>
      </w:r>
      <w:r>
        <w:t xml:space="preserve"> did not pass any new heritage legislation </w:t>
      </w:r>
      <w:r w:rsidR="00583154">
        <w:t>subsequent to</w:t>
      </w:r>
      <w:r>
        <w:t xml:space="preserve"> the publication of the 2007 White Paper.</w:t>
      </w:r>
      <w:r w:rsidR="00570D6B">
        <w:t xml:space="preserve"> However</w:t>
      </w:r>
      <w:r w:rsidR="00F05945">
        <w:t>,</w:t>
      </w:r>
      <w:r w:rsidR="00570D6B">
        <w:t xml:space="preserve"> a government press release dated 17</w:t>
      </w:r>
      <w:r w:rsidR="00437E74">
        <w:t>th</w:t>
      </w:r>
      <w:r w:rsidR="00570D6B">
        <w:t xml:space="preserve"> January 2021 indicated that it was the government’s intention to afford greater protection to ‘England’s Cultural and Historic Heritage’.</w:t>
      </w:r>
      <w:r w:rsidR="00570D6B">
        <w:rPr>
          <w:rStyle w:val="FootnoteReference"/>
        </w:rPr>
        <w:footnoteReference w:id="28"/>
      </w:r>
      <w:r w:rsidR="00F05945">
        <w:t xml:space="preserve"> Although citing protection of culture</w:t>
      </w:r>
      <w:r w:rsidR="00EE2340">
        <w:t xml:space="preserve"> </w:t>
      </w:r>
      <w:r w:rsidR="00F05945">
        <w:t xml:space="preserve">the new law </w:t>
      </w:r>
      <w:r w:rsidR="00EE2340">
        <w:t>if</w:t>
      </w:r>
      <w:r w:rsidR="00F05945">
        <w:t xml:space="preserve"> passed will </w:t>
      </w:r>
      <w:r w:rsidR="00583154">
        <w:t xml:space="preserve">in a similar fashion to </w:t>
      </w:r>
      <w:r w:rsidR="00F05945" w:rsidRPr="000D41DA">
        <w:rPr>
          <w:i/>
          <w:iCs/>
        </w:rPr>
        <w:t>The Historic Environment (Wales) Act 2016</w:t>
      </w:r>
      <w:r w:rsidR="00F05945">
        <w:t xml:space="preserve">, be largely concerned with </w:t>
      </w:r>
      <w:r w:rsidR="00893B61">
        <w:t xml:space="preserve">planning laws and </w:t>
      </w:r>
      <w:r w:rsidR="00F05945">
        <w:t xml:space="preserve">protection </w:t>
      </w:r>
      <w:r w:rsidR="00583154">
        <w:t>of</w:t>
      </w:r>
      <w:r w:rsidR="00F05945">
        <w:t xml:space="preserve"> historic buildings and </w:t>
      </w:r>
      <w:r w:rsidR="00E3135C">
        <w:t>monuments</w:t>
      </w:r>
      <w:r w:rsidR="00F05945">
        <w:t xml:space="preserve">. </w:t>
      </w:r>
      <w:r w:rsidR="00E3135C">
        <w:t>This in common with the Welsh legislation is therefore largely concerned with tangible heritage. Neither Wales or England have passed heritage laws related to intangible heritage a</w:t>
      </w:r>
      <w:r w:rsidR="009D6C71">
        <w:t>part</w:t>
      </w:r>
      <w:r w:rsidR="00E3135C">
        <w:t xml:space="preserve"> </w:t>
      </w:r>
      <w:r w:rsidR="00DF7506">
        <w:t xml:space="preserve">arguably, </w:t>
      </w:r>
      <w:r w:rsidR="00E3135C">
        <w:t xml:space="preserve">from </w:t>
      </w:r>
      <w:r w:rsidR="000D41DA">
        <w:rPr>
          <w:i/>
          <w:iCs/>
        </w:rPr>
        <w:t>T</w:t>
      </w:r>
      <w:r w:rsidR="00E3135C" w:rsidRPr="000D41DA">
        <w:rPr>
          <w:i/>
          <w:iCs/>
        </w:rPr>
        <w:t>he Welsh Language Act 1993</w:t>
      </w:r>
      <w:r w:rsidR="00E3135C">
        <w:t>.</w:t>
      </w:r>
      <w:r w:rsidR="00E3135C">
        <w:rPr>
          <w:rStyle w:val="FootnoteReference"/>
        </w:rPr>
        <w:footnoteReference w:id="29"/>
      </w:r>
      <w:r w:rsidR="00BA1EDB">
        <w:t xml:space="preserve"> </w:t>
      </w:r>
      <w:r w:rsidR="00814817">
        <w:t>This Act enforce</w:t>
      </w:r>
      <w:r w:rsidR="00100275">
        <w:t>d</w:t>
      </w:r>
      <w:r w:rsidR="00814817">
        <w:t xml:space="preserve"> the use and protection of the Welsh language in public bodies.</w:t>
      </w:r>
      <w:r w:rsidR="00B33852">
        <w:t xml:space="preserve"> The proposed new English law appears to be largely concerned with planning protection.</w:t>
      </w:r>
      <w:r w:rsidR="00583154">
        <w:t xml:space="preserve"> It is therefore unclear what cultural protection will be afforded by the proposed new legislation. </w:t>
      </w:r>
    </w:p>
    <w:p w14:paraId="145E543B" w14:textId="1856314C" w:rsidR="00E646EB" w:rsidRDefault="00E646EB" w:rsidP="00D73394">
      <w:pPr>
        <w:spacing w:line="480" w:lineRule="auto"/>
        <w:jc w:val="both"/>
      </w:pPr>
      <w:r>
        <w:lastRenderedPageBreak/>
        <w:t>Legal protection for buildings of particular historic importance is afforded in both Wales and England via listing. Both nations categorise listed buildings under three gradings, Grade I, Grade II* and Grade II. Grade I buildings are of exceptional i</w:t>
      </w:r>
      <w:r w:rsidR="001358A2">
        <w:t>mportance</w:t>
      </w:r>
      <w:r>
        <w:t xml:space="preserve"> and the least common of the three grades. Wales and England deal with listed buildings under two different laws. In Wales </w:t>
      </w:r>
      <w:r w:rsidR="004F5F7E">
        <w:t>legal matters pertaining to listed buildings are dealt with under the Historic Environment (Wales) Act 2016. This law requires Welsh Ministers to create and maintain a list of all buildings of ‘special architectural or historic interest.’</w:t>
      </w:r>
      <w:r w:rsidR="004F5F7E">
        <w:rPr>
          <w:rStyle w:val="FootnoteReference"/>
        </w:rPr>
        <w:footnoteReference w:id="30"/>
      </w:r>
      <w:r w:rsidR="007D4F2F">
        <w:t xml:space="preserve"> A survey completed in 200</w:t>
      </w:r>
      <w:r w:rsidR="00FE0D1C">
        <w:t>5 led to over thirty thousand buildings being confirmed as listed. Alternately England deals with listing buildings under the Planning (Listed Buildings and Conservation Areas) Act 1990.</w:t>
      </w:r>
      <w:r w:rsidR="00FE0D1C">
        <w:rPr>
          <w:rStyle w:val="FootnoteReference"/>
        </w:rPr>
        <w:footnoteReference w:id="31"/>
      </w:r>
      <w:r w:rsidR="00FE0D1C">
        <w:t xml:space="preserve"> </w:t>
      </w:r>
      <w:r w:rsidR="00377EAF">
        <w:t>There are ‘around four hundred thousand’ listed buildings in England.</w:t>
      </w:r>
      <w:r w:rsidR="00377EAF">
        <w:rPr>
          <w:rStyle w:val="FootnoteReference"/>
        </w:rPr>
        <w:footnoteReference w:id="32"/>
      </w:r>
      <w:r w:rsidR="00B5673B">
        <w:t xml:space="preserve"> </w:t>
      </w:r>
      <w:r w:rsidR="00FE0D1C">
        <w:t>Whilst not passing new legislation regarding list</w:t>
      </w:r>
      <w:r w:rsidR="00034174">
        <w:t>ed buildings</w:t>
      </w:r>
      <w:r w:rsidR="00FE0D1C">
        <w:t xml:space="preserve"> for the past thirty years, England had established </w:t>
      </w:r>
      <w:r w:rsidR="000D41DA" w:rsidRPr="000D41DA">
        <w:rPr>
          <w:i/>
          <w:iCs/>
        </w:rPr>
        <w:t>T</w:t>
      </w:r>
      <w:r w:rsidR="00FE0D1C" w:rsidRPr="000D41DA">
        <w:rPr>
          <w:i/>
          <w:iCs/>
        </w:rPr>
        <w:t xml:space="preserve">he </w:t>
      </w:r>
      <w:r w:rsidR="00034174" w:rsidRPr="000D41DA">
        <w:rPr>
          <w:i/>
          <w:iCs/>
        </w:rPr>
        <w:t>National Planning Policy Framework in 2012</w:t>
      </w:r>
      <w:r w:rsidR="00034174">
        <w:t>. This was updated in 2018, 2019 and most recently in 2021.</w:t>
      </w:r>
      <w:r w:rsidR="00034174">
        <w:rPr>
          <w:rStyle w:val="FootnoteReference"/>
        </w:rPr>
        <w:footnoteReference w:id="33"/>
      </w:r>
      <w:r w:rsidR="00075BCF">
        <w:t xml:space="preserve"> The </w:t>
      </w:r>
      <w:r w:rsidR="002C660A">
        <w:t>Framework</w:t>
      </w:r>
      <w:r w:rsidR="00075BCF">
        <w:t xml:space="preserve"> sets out how the planning policies </w:t>
      </w:r>
      <w:r w:rsidR="004419BF">
        <w:t xml:space="preserve">resulting from legislation, </w:t>
      </w:r>
      <w:r w:rsidR="00075BCF">
        <w:t>are applied</w:t>
      </w:r>
      <w:r w:rsidR="009D6C71">
        <w:t xml:space="preserve"> to ensure protection for listed buildings.</w:t>
      </w:r>
    </w:p>
    <w:p w14:paraId="7BD80716" w14:textId="78AF6760" w:rsidR="004E67E5" w:rsidRDefault="004E67E5" w:rsidP="004C73E1">
      <w:pPr>
        <w:spacing w:line="480" w:lineRule="auto"/>
        <w:jc w:val="both"/>
      </w:pPr>
      <w:r>
        <w:t xml:space="preserve">It can be seen from the above analysis that </w:t>
      </w:r>
      <w:r w:rsidR="00E20C34">
        <w:t xml:space="preserve">heritage legislation </w:t>
      </w:r>
      <w:r w:rsidR="00DF7506">
        <w:t xml:space="preserve">since 2006 was </w:t>
      </w:r>
      <w:r w:rsidR="00E20C34">
        <w:t>devolved to</w:t>
      </w:r>
      <w:r w:rsidR="001358A2">
        <w:t xml:space="preserve"> the Welsh Government</w:t>
      </w:r>
      <w:r w:rsidR="00E20C34">
        <w:t xml:space="preserve"> and</w:t>
      </w:r>
      <w:r w:rsidR="00565745">
        <w:t xml:space="preserve"> it is</w:t>
      </w:r>
      <w:r w:rsidR="00E20C34">
        <w:t xml:space="preserve"> administered under different laws</w:t>
      </w:r>
      <w:r w:rsidR="00565745">
        <w:t xml:space="preserve"> to those used England.</w:t>
      </w:r>
      <w:r w:rsidR="00E20C34">
        <w:t xml:space="preserve"> </w:t>
      </w:r>
      <w:r w:rsidR="00565745">
        <w:t xml:space="preserve">Despite this, </w:t>
      </w:r>
      <w:r w:rsidR="00E20C34">
        <w:t xml:space="preserve">there </w:t>
      </w:r>
      <w:r w:rsidR="00E900AA">
        <w:t>are notable similarities</w:t>
      </w:r>
      <w:r w:rsidR="00E20C34">
        <w:t xml:space="preserve"> in the emphas</w:t>
      </w:r>
      <w:r w:rsidR="00A80B07">
        <w:t>e</w:t>
      </w:r>
      <w:r w:rsidR="00E20C34">
        <w:t xml:space="preserve">s placed </w:t>
      </w:r>
      <w:r w:rsidR="00B5673B">
        <w:t>by</w:t>
      </w:r>
      <w:r w:rsidR="00E20C34">
        <w:t xml:space="preserve"> </w:t>
      </w:r>
      <w:r w:rsidR="00D33F7E">
        <w:t xml:space="preserve">heritage legislation across </w:t>
      </w:r>
      <w:r w:rsidR="00E20C34">
        <w:t>both nations</w:t>
      </w:r>
      <w:r w:rsidR="00565745">
        <w:t xml:space="preserve">. An example of the similarity was the </w:t>
      </w:r>
      <w:r w:rsidR="00DF7506">
        <w:t>protection via planning law</w:t>
      </w:r>
      <w:r w:rsidR="00565745">
        <w:t>.</w:t>
      </w:r>
      <w:r w:rsidR="00DF7506">
        <w:t xml:space="preserve"> </w:t>
      </w:r>
      <w:r w:rsidR="00D33F7E">
        <w:t xml:space="preserve">There </w:t>
      </w:r>
      <w:r w:rsidR="00565745">
        <w:t xml:space="preserve">was </w:t>
      </w:r>
      <w:r w:rsidR="00D33F7E">
        <w:t>however a considerable difference in the national heritage bodies of both nations</w:t>
      </w:r>
      <w:r w:rsidR="00396AB2">
        <w:t>,</w:t>
      </w:r>
      <w:r w:rsidR="00D33F7E">
        <w:t xml:space="preserve"> how they are funded and their responsibilities. </w:t>
      </w:r>
      <w:r w:rsidR="007367CA">
        <w:t xml:space="preserve">In Wales </w:t>
      </w:r>
      <w:proofErr w:type="spellStart"/>
      <w:r w:rsidR="007367CA">
        <w:t>C</w:t>
      </w:r>
      <w:r w:rsidR="006B6073">
        <w:t>adw</w:t>
      </w:r>
      <w:proofErr w:type="spellEnd"/>
      <w:r w:rsidR="007367CA">
        <w:t xml:space="preserve"> is responsible for heritage designation and protection as well as historic properties in state care.</w:t>
      </w:r>
      <w:r w:rsidR="006A64A0">
        <w:rPr>
          <w:rStyle w:val="FootnoteReference"/>
        </w:rPr>
        <w:footnoteReference w:id="34"/>
      </w:r>
      <w:r w:rsidR="00396AB2">
        <w:t xml:space="preserve"> </w:t>
      </w:r>
      <w:proofErr w:type="spellStart"/>
      <w:r w:rsidR="000715B0">
        <w:t>Cadw</w:t>
      </w:r>
      <w:proofErr w:type="spellEnd"/>
      <w:r w:rsidR="000715B0">
        <w:t xml:space="preserve"> was originally established in 1984 by the Welsh Office.</w:t>
      </w:r>
      <w:r w:rsidR="00E16B7B">
        <w:t xml:space="preserve"> I</w:t>
      </w:r>
      <w:r w:rsidR="000715B0">
        <w:t xml:space="preserve">n 1991 it became an executive </w:t>
      </w:r>
      <w:r w:rsidR="000715B0">
        <w:lastRenderedPageBreak/>
        <w:t xml:space="preserve">agency. In 2006 it was reinstated as a </w:t>
      </w:r>
      <w:r w:rsidR="00BE0904">
        <w:t>Welsh Government body.</w:t>
      </w:r>
      <w:r w:rsidR="000715B0">
        <w:rPr>
          <w:rStyle w:val="FootnoteReference"/>
        </w:rPr>
        <w:footnoteReference w:id="35"/>
      </w:r>
      <w:r w:rsidR="00BE0904">
        <w:t xml:space="preserve"> </w:t>
      </w:r>
      <w:r w:rsidR="00396AB2">
        <w:t xml:space="preserve">Archives and recording are the responsibility of </w:t>
      </w:r>
      <w:bookmarkStart w:id="27" w:name="_Hlk102046621"/>
      <w:r w:rsidR="00396AB2">
        <w:t xml:space="preserve">The Royal </w:t>
      </w:r>
      <w:r w:rsidR="00404441">
        <w:t>C</w:t>
      </w:r>
      <w:r w:rsidR="00396AB2">
        <w:t xml:space="preserve">ommission on the Ancient and </w:t>
      </w:r>
      <w:r w:rsidR="00404441">
        <w:t>H</w:t>
      </w:r>
      <w:r w:rsidR="00396AB2">
        <w:t xml:space="preserve">istorical </w:t>
      </w:r>
      <w:r w:rsidR="00404441">
        <w:t>Monuments of Wales</w:t>
      </w:r>
      <w:bookmarkEnd w:id="27"/>
      <w:r w:rsidR="00404441">
        <w:t xml:space="preserve"> (</w:t>
      </w:r>
      <w:bookmarkStart w:id="28" w:name="_Hlk102047976"/>
      <w:r w:rsidR="00404441">
        <w:t>RCAHMW</w:t>
      </w:r>
      <w:bookmarkEnd w:id="28"/>
      <w:r w:rsidR="00404441">
        <w:t>).</w:t>
      </w:r>
      <w:r w:rsidR="00404441">
        <w:rPr>
          <w:rStyle w:val="FootnoteReference"/>
        </w:rPr>
        <w:footnoteReference w:id="36"/>
      </w:r>
      <w:r w:rsidR="006B6073">
        <w:t xml:space="preserve"> </w:t>
      </w:r>
      <w:proofErr w:type="spellStart"/>
      <w:r w:rsidR="006B6073">
        <w:t>Cadw</w:t>
      </w:r>
      <w:proofErr w:type="spellEnd"/>
      <w:r w:rsidR="006B6073">
        <w:t xml:space="preserve"> is part of the Welsh Government’s Arts and </w:t>
      </w:r>
      <w:r w:rsidR="00465F30">
        <w:t>S</w:t>
      </w:r>
      <w:r w:rsidR="006B6073">
        <w:t xml:space="preserve">ports </w:t>
      </w:r>
      <w:r w:rsidR="0065582B">
        <w:t xml:space="preserve">Department and as such is answerable directly to the Welsh Government. </w:t>
      </w:r>
      <w:proofErr w:type="spellStart"/>
      <w:r w:rsidR="0065582B">
        <w:t>Cadw</w:t>
      </w:r>
      <w:proofErr w:type="spellEnd"/>
      <w:r w:rsidR="00B705FA">
        <w:t xml:space="preserve"> </w:t>
      </w:r>
      <w:r w:rsidR="00465F30">
        <w:t>fulfils</w:t>
      </w:r>
      <w:r w:rsidR="00B705FA">
        <w:t xml:space="preserve">  a wide r</w:t>
      </w:r>
      <w:r w:rsidR="00465F30">
        <w:t>emit</w:t>
      </w:r>
      <w:r w:rsidR="0065582B">
        <w:t xml:space="preserve"> in </w:t>
      </w:r>
      <w:r w:rsidR="00B705FA">
        <w:t xml:space="preserve">the management of </w:t>
      </w:r>
      <w:r w:rsidR="0065582B">
        <w:t>Welsh heritage</w:t>
      </w:r>
      <w:r w:rsidR="00B705FA">
        <w:t xml:space="preserve"> which </w:t>
      </w:r>
      <w:r w:rsidR="00465F30">
        <w:t>includes</w:t>
      </w:r>
      <w:r w:rsidR="00B705FA">
        <w:t xml:space="preserve"> conservation and management of one hundred and thirty monuments, identification and legal protection of places of special historic significance, guidance</w:t>
      </w:r>
      <w:r w:rsidR="007B6407">
        <w:t xml:space="preserve"> to government</w:t>
      </w:r>
      <w:r w:rsidR="00B705FA">
        <w:t xml:space="preserve">, </w:t>
      </w:r>
      <w:r w:rsidR="007B6407">
        <w:t>providing</w:t>
      </w:r>
      <w:r w:rsidR="00B705FA">
        <w:t xml:space="preserve"> grants for conservation and repair</w:t>
      </w:r>
      <w:r w:rsidR="007B6407">
        <w:t>, promotion of regeneration and reviewing legislation.</w:t>
      </w:r>
      <w:r w:rsidR="003006AE">
        <w:rPr>
          <w:rStyle w:val="FootnoteReference"/>
        </w:rPr>
        <w:footnoteReference w:id="37"/>
      </w:r>
      <w:r w:rsidR="00106ED9">
        <w:t xml:space="preserve"> Collaborative working alongside </w:t>
      </w:r>
      <w:r w:rsidR="00BE0904">
        <w:t xml:space="preserve">the three other government </w:t>
      </w:r>
      <w:r w:rsidR="007B72CD">
        <w:t xml:space="preserve">heritage </w:t>
      </w:r>
      <w:r w:rsidR="00BE0904">
        <w:t>agencies</w:t>
      </w:r>
      <w:r w:rsidR="007B72CD">
        <w:t xml:space="preserve"> </w:t>
      </w:r>
      <w:proofErr w:type="spellStart"/>
      <w:r w:rsidR="007B72CD">
        <w:t>Coflein</w:t>
      </w:r>
      <w:proofErr w:type="spellEnd"/>
      <w:r w:rsidR="007B72CD">
        <w:t xml:space="preserve">, the National Monuments Record of Wales and the RCAHMW is also part of </w:t>
      </w:r>
      <w:proofErr w:type="spellStart"/>
      <w:r w:rsidR="007B72CD">
        <w:t>Cadw’s</w:t>
      </w:r>
      <w:proofErr w:type="spellEnd"/>
      <w:r w:rsidR="007B72CD">
        <w:t xml:space="preserve"> role.</w:t>
      </w:r>
      <w:r w:rsidR="00A53835">
        <w:rPr>
          <w:rStyle w:val="FootnoteReference"/>
        </w:rPr>
        <w:footnoteReference w:id="38"/>
      </w:r>
      <w:r w:rsidR="007B72CD">
        <w:t xml:space="preserve"> </w:t>
      </w:r>
      <w:proofErr w:type="spellStart"/>
      <w:r w:rsidR="004C1B3D">
        <w:t>Cadw</w:t>
      </w:r>
      <w:proofErr w:type="spellEnd"/>
      <w:r w:rsidR="004C1B3D">
        <w:t xml:space="preserve"> further works alongside Historic England, Historic Environment Scotland and the construction industry in a strategic skills partnership.</w:t>
      </w:r>
      <w:r w:rsidR="00336C81">
        <w:rPr>
          <w:rStyle w:val="FootnoteReference"/>
        </w:rPr>
        <w:footnoteReference w:id="39"/>
      </w:r>
    </w:p>
    <w:p w14:paraId="53E67754" w14:textId="0843D195" w:rsidR="008247FE" w:rsidRDefault="008247FE" w:rsidP="009F2C7A">
      <w:pPr>
        <w:spacing w:line="480" w:lineRule="auto"/>
        <w:jc w:val="both"/>
      </w:pPr>
      <w:r>
        <w:t xml:space="preserve">In contrast England takes a very </w:t>
      </w:r>
      <w:r w:rsidR="00A80B07">
        <w:t>different approach</w:t>
      </w:r>
      <w:r>
        <w:t xml:space="preserve"> to the management of heritage</w:t>
      </w:r>
      <w:r w:rsidR="00E16B7B">
        <w:t xml:space="preserve"> laws.</w:t>
      </w:r>
      <w:r w:rsidR="00AE1DAE">
        <w:t xml:space="preserve"> Historic England is responsible for heritage designation and protection in addition to management of archives and recording. English Heritage is </w:t>
      </w:r>
      <w:r w:rsidR="00E269A6">
        <w:t>responsible</w:t>
      </w:r>
      <w:r w:rsidR="00AE1DAE">
        <w:t xml:space="preserve"> for </w:t>
      </w:r>
      <w:r w:rsidR="00E269A6">
        <w:t>the historic buildings in state care.</w:t>
      </w:r>
      <w:r w:rsidR="00707786">
        <w:rPr>
          <w:rStyle w:val="FootnoteReference"/>
        </w:rPr>
        <w:footnoteReference w:id="40"/>
      </w:r>
      <w:r w:rsidR="00707786">
        <w:t xml:space="preserve"> Prior to</w:t>
      </w:r>
      <w:r w:rsidR="00105F1C">
        <w:t xml:space="preserve"> 2015 both these organisations were one body</w:t>
      </w:r>
      <w:r w:rsidR="000B2F8B">
        <w:t xml:space="preserve"> named English Heritage. The major difference in designation post 2015 was that English Heritage is now a charity. </w:t>
      </w:r>
      <w:r w:rsidR="00FE717B">
        <w:t xml:space="preserve">The Government gave £80 million to English Heritage, but it is shortly to become entirely self-funding although the corona virus </w:t>
      </w:r>
      <w:r w:rsidR="00580496">
        <w:t xml:space="preserve">epidemic </w:t>
      </w:r>
      <w:r w:rsidR="00797C15">
        <w:t xml:space="preserve">had </w:t>
      </w:r>
      <w:r w:rsidR="00580496">
        <w:t>put</w:t>
      </w:r>
      <w:r w:rsidR="00FE717B">
        <w:t xml:space="preserve"> in doubt the final time frame for this happening.</w:t>
      </w:r>
      <w:r w:rsidR="00FE717B">
        <w:rPr>
          <w:rStyle w:val="FootnoteReference"/>
        </w:rPr>
        <w:footnoteReference w:id="41"/>
      </w:r>
      <w:r w:rsidR="00580496">
        <w:t xml:space="preserve"> English Heritage raises its funding from charging visitors to its sites and other commercial undertakings such as gift shops. </w:t>
      </w:r>
      <w:r w:rsidR="00F95CC9">
        <w:t xml:space="preserve">Historic England </w:t>
      </w:r>
      <w:r w:rsidR="00F95CC9">
        <w:lastRenderedPageBreak/>
        <w:t>alternatively</w:t>
      </w:r>
      <w:r w:rsidR="00797C15">
        <w:t>,</w:t>
      </w:r>
      <w:r w:rsidR="00F95CC9">
        <w:t xml:space="preserve"> still retains a statutory role and is grant funded. Presumably the commercial opportunities linked to its role were deemed insufficient to enable removal of all funding. </w:t>
      </w:r>
      <w:r w:rsidR="00D9532A">
        <w:t>In 2019/2020 Historic England receive</w:t>
      </w:r>
      <w:r w:rsidR="00797C15">
        <w:t>d</w:t>
      </w:r>
      <w:r w:rsidR="00D9532A">
        <w:t xml:space="preserve"> </w:t>
      </w:r>
      <w:r w:rsidR="00300BFF">
        <w:t>£87.1 million from the Department for Digital, Culture, Media and Sport.</w:t>
      </w:r>
      <w:r w:rsidR="00300BFF">
        <w:rPr>
          <w:rStyle w:val="FootnoteReference"/>
        </w:rPr>
        <w:footnoteReference w:id="42"/>
      </w:r>
      <w:r w:rsidR="00797C15">
        <w:t xml:space="preserve"> </w:t>
      </w:r>
      <w:r w:rsidR="00F95CC9">
        <w:t>Historic England works in an advisory capacity to en</w:t>
      </w:r>
      <w:r w:rsidR="00A348EE">
        <w:t>s</w:t>
      </w:r>
      <w:r w:rsidR="00F95CC9">
        <w:t>ure protection of listed buildings and schedule</w:t>
      </w:r>
      <w:r w:rsidR="00036898">
        <w:t>d</w:t>
      </w:r>
      <w:r w:rsidR="00F95CC9">
        <w:t xml:space="preserve"> monuments. </w:t>
      </w:r>
      <w:r w:rsidR="00A348EE">
        <w:t>It also maintains the Historic England Archive and Library which is open to the public for reference use.</w:t>
      </w:r>
      <w:r w:rsidR="00A348EE">
        <w:rPr>
          <w:rStyle w:val="FootnoteReference"/>
        </w:rPr>
        <w:footnoteReference w:id="43"/>
      </w:r>
      <w:r w:rsidR="0054571C">
        <w:t xml:space="preserve"> As we can see</w:t>
      </w:r>
      <w:r w:rsidR="00797C15">
        <w:t>,</w:t>
      </w:r>
      <w:r w:rsidR="0054571C">
        <w:t xml:space="preserve"> although the statutory heritage roles being fulfilled in Wales and England are directly comparable, their organisation is very different.</w:t>
      </w:r>
    </w:p>
    <w:p w14:paraId="27B5A2FE" w14:textId="77B1EFD7" w:rsidR="0061053C" w:rsidRDefault="0061053C" w:rsidP="009F2C7A">
      <w:pPr>
        <w:spacing w:line="480" w:lineRule="auto"/>
        <w:jc w:val="both"/>
      </w:pPr>
      <w:r>
        <w:t>Another significant factor in the management of heritage issues in Wales and England is the manner in which charities contribute</w:t>
      </w:r>
      <w:r w:rsidR="00AF354B">
        <w:t xml:space="preserve"> to the overall picture. As was the case of legislation prior to devolution some charities deal with both countries, whereas others are only concerned with either Wales or England. Arguably the largest and definitely the oldest heritage charity </w:t>
      </w:r>
      <w:r w:rsidR="000779C2">
        <w:t xml:space="preserve">in the United Kingdom </w:t>
      </w:r>
      <w:r w:rsidR="00AF354B">
        <w:t>is the National Trust</w:t>
      </w:r>
      <w:r w:rsidR="009F2C7A">
        <w:t>,</w:t>
      </w:r>
      <w:r w:rsidR="00AF354B">
        <w:t xml:space="preserve"> which was founded in 1895.</w:t>
      </w:r>
      <w:r w:rsidR="0048092D">
        <w:rPr>
          <w:rStyle w:val="FootnoteReference"/>
        </w:rPr>
        <w:footnoteReference w:id="44"/>
      </w:r>
      <w:r w:rsidR="00C94BF8">
        <w:t xml:space="preserve"> The National Trust owns property and land in both</w:t>
      </w:r>
      <w:r w:rsidR="0048092D">
        <w:t xml:space="preserve"> Wales and E</w:t>
      </w:r>
      <w:r w:rsidR="00C94BF8">
        <w:t>ngland</w:t>
      </w:r>
      <w:r w:rsidR="00036898">
        <w:t xml:space="preserve"> in addition to Northern Ireland.</w:t>
      </w:r>
      <w:r w:rsidR="0048092D">
        <w:t xml:space="preserve"> </w:t>
      </w:r>
      <w:r w:rsidR="00C94BF8">
        <w:t xml:space="preserve">The National Trust Acts 1907 – 1971 gave statutory control over disposal of the land and buildings under its control. </w:t>
      </w:r>
      <w:r w:rsidR="00965B55">
        <w:t xml:space="preserve">The governance of the National Trust was amended by </w:t>
      </w:r>
      <w:r w:rsidR="00965B55" w:rsidRPr="000D41DA">
        <w:rPr>
          <w:i/>
          <w:iCs/>
        </w:rPr>
        <w:t>The Charities (National Trust) Order 2005</w:t>
      </w:r>
      <w:r w:rsidR="00965B55">
        <w:t>.</w:t>
      </w:r>
      <w:r w:rsidR="00965B55">
        <w:rPr>
          <w:rStyle w:val="FootnoteReference"/>
        </w:rPr>
        <w:footnoteReference w:id="45"/>
      </w:r>
      <w:r w:rsidR="000779C2">
        <w:t xml:space="preserve"> In total the Trust owns over </w:t>
      </w:r>
      <w:r w:rsidR="00D067AF">
        <w:t xml:space="preserve">two </w:t>
      </w:r>
      <w:r w:rsidR="000779C2">
        <w:t xml:space="preserve">hundred historic houses, </w:t>
      </w:r>
      <w:r w:rsidR="004E420E">
        <w:t>forty-one</w:t>
      </w:r>
      <w:r w:rsidR="00D067AF">
        <w:t xml:space="preserve"> castles, </w:t>
      </w:r>
      <w:r w:rsidR="004E420E">
        <w:t>forty-seven</w:t>
      </w:r>
      <w:r w:rsidR="00D067AF">
        <w:t xml:space="preserve"> industrial monuments and mills, nine lighthouses, </w:t>
      </w:r>
      <w:r w:rsidR="004E420E">
        <w:t>fifty-six</w:t>
      </w:r>
      <w:r w:rsidR="00D067AF">
        <w:t xml:space="preserve"> villages, </w:t>
      </w:r>
      <w:r w:rsidR="004E420E">
        <w:t>thirty-nine</w:t>
      </w:r>
      <w:r w:rsidR="00D067AF">
        <w:t xml:space="preserve"> public houses, </w:t>
      </w:r>
      <w:r w:rsidR="004E420E">
        <w:t>twenty-five</w:t>
      </w:r>
      <w:r w:rsidR="00D067AF">
        <w:t xml:space="preserve"> mediaeval barns, </w:t>
      </w:r>
      <w:r w:rsidR="00337094">
        <w:t>six hundred and twenty thousand acres of land and seven hundred and eighty miles of coastline.</w:t>
      </w:r>
      <w:r w:rsidR="00D067AF">
        <w:t xml:space="preserve"> Although acknowledging and working within the </w:t>
      </w:r>
      <w:r w:rsidR="004E420E">
        <w:t>different laws of each country, the overall policy and practice of the Trust applies equally to both Wales and England.</w:t>
      </w:r>
    </w:p>
    <w:p w14:paraId="010D1343" w14:textId="1053976C" w:rsidR="00D14629" w:rsidRDefault="00D14629" w:rsidP="00AB2B41">
      <w:pPr>
        <w:spacing w:line="480" w:lineRule="auto"/>
        <w:jc w:val="both"/>
      </w:pPr>
      <w:r>
        <w:lastRenderedPageBreak/>
        <w:t>Alternatively, some charities concern themselves entirely with</w:t>
      </w:r>
      <w:r w:rsidR="00E4231A">
        <w:t xml:space="preserve"> heritage in</w:t>
      </w:r>
      <w:r>
        <w:t xml:space="preserve"> one or other of </w:t>
      </w:r>
      <w:r w:rsidR="00E4231A">
        <w:t xml:space="preserve">the </w:t>
      </w:r>
      <w:r>
        <w:t xml:space="preserve">two nations. The </w:t>
      </w:r>
      <w:bookmarkStart w:id="38" w:name="_Hlk102139939"/>
      <w:r>
        <w:t xml:space="preserve">Churches </w:t>
      </w:r>
      <w:r w:rsidR="00E4231A">
        <w:t>C</w:t>
      </w:r>
      <w:r>
        <w:t xml:space="preserve">onservation Trust </w:t>
      </w:r>
      <w:bookmarkEnd w:id="38"/>
      <w:r>
        <w:t>cares for at risk Church of England churches.</w:t>
      </w:r>
      <w:r w:rsidR="00E4231A">
        <w:rPr>
          <w:rStyle w:val="FootnoteReference"/>
        </w:rPr>
        <w:footnoteReference w:id="46"/>
      </w:r>
      <w:r>
        <w:t xml:space="preserve"> It </w:t>
      </w:r>
      <w:r w:rsidR="00E4231A">
        <w:t>currently</w:t>
      </w:r>
      <w:r>
        <w:t xml:space="preserve"> has </w:t>
      </w:r>
      <w:r w:rsidR="00EA1D17">
        <w:t xml:space="preserve">over </w:t>
      </w:r>
      <w:r>
        <w:t xml:space="preserve">three hundred and fifty churches </w:t>
      </w:r>
      <w:r w:rsidR="00EA1D17">
        <w:t>in its care. Although all the buildings remain consecrated, they have often been repurposed to enable them to remain at the heart of their communities. All of the buildings cared for by the Trust are listed, most</w:t>
      </w:r>
      <w:r w:rsidR="00036898">
        <w:t xml:space="preserve">ly </w:t>
      </w:r>
      <w:r w:rsidR="00EA1D17">
        <w:t>at grade I.</w:t>
      </w:r>
      <w:r w:rsidR="006961BD">
        <w:t xml:space="preserve"> </w:t>
      </w:r>
      <w:r w:rsidR="00C6040C">
        <w:t>In a similar way the charity Discovering Old Welsh Houses is only concerned with Wales.</w:t>
      </w:r>
      <w:r w:rsidR="00C6040C">
        <w:rPr>
          <w:rStyle w:val="FootnoteReference"/>
        </w:rPr>
        <w:footnoteReference w:id="47"/>
      </w:r>
      <w:r w:rsidR="008D0DF6">
        <w:t xml:space="preserve"> Their purpose is entirely different from The Churches Conservation Trust in that they are primarily a study group aiming to research and disseminate information regarding notable North Wales homes built between the 1400s and the mid-18</w:t>
      </w:r>
      <w:r w:rsidR="008D0DF6" w:rsidRPr="008D0DF6">
        <w:rPr>
          <w:vertAlign w:val="superscript"/>
        </w:rPr>
        <w:t>th</w:t>
      </w:r>
      <w:r w:rsidR="008D0DF6">
        <w:t xml:space="preserve"> century.</w:t>
      </w:r>
      <w:r w:rsidR="007A0CF2">
        <w:t xml:space="preserve"> Wales and England have many registered charities of a wide variety who only concern themselves with one or other of the two nations.</w:t>
      </w:r>
      <w:r w:rsidR="00BB7F86">
        <w:t xml:space="preserve"> </w:t>
      </w:r>
      <w:r w:rsidR="003145B8">
        <w:t>T</w:t>
      </w:r>
      <w:r w:rsidR="00BB7F86">
        <w:t xml:space="preserve">he smallest </w:t>
      </w:r>
      <w:r w:rsidR="003145B8">
        <w:t xml:space="preserve">scale charities </w:t>
      </w:r>
      <w:r w:rsidR="00BB7F86">
        <w:t xml:space="preserve">concern </w:t>
      </w:r>
      <w:r w:rsidR="003145B8">
        <w:t>themselves with a single building which will clearly be located in either Wales or England.</w:t>
      </w:r>
    </w:p>
    <w:p w14:paraId="52B0A6FA" w14:textId="27146FEC" w:rsidR="00131E58" w:rsidRDefault="00131E58" w:rsidP="004569C0">
      <w:pPr>
        <w:spacing w:line="480" w:lineRule="auto"/>
        <w:jc w:val="both"/>
      </w:pPr>
      <w:r>
        <w:t>In the final analysis</w:t>
      </w:r>
      <w:r w:rsidR="004E171F">
        <w:t>,</w:t>
      </w:r>
      <w:r w:rsidR="00BB401A">
        <w:t xml:space="preserve"> the </w:t>
      </w:r>
      <w:r w:rsidR="00FD752A">
        <w:t>transfer</w:t>
      </w:r>
      <w:r w:rsidR="00BB401A">
        <w:t xml:space="preserve"> of heritage </w:t>
      </w:r>
      <w:r w:rsidR="00FD752A">
        <w:t xml:space="preserve">law making </w:t>
      </w:r>
      <w:r w:rsidR="00BB401A">
        <w:t xml:space="preserve">powers to Wales </w:t>
      </w:r>
      <w:r w:rsidR="00FD752A">
        <w:t xml:space="preserve">following </w:t>
      </w:r>
      <w:r w:rsidR="00BB401A">
        <w:t>devolution in 1999</w:t>
      </w:r>
      <w:r w:rsidR="00AB2B41">
        <w:t>,</w:t>
      </w:r>
      <w:r w:rsidR="00BB401A">
        <w:t xml:space="preserve"> might </w:t>
      </w:r>
      <w:r w:rsidR="00225BE8">
        <w:t xml:space="preserve">eventually </w:t>
      </w:r>
      <w:r w:rsidR="00BB401A">
        <w:t>result in wide differences be</w:t>
      </w:r>
      <w:r w:rsidR="00FD752A">
        <w:t xml:space="preserve">tween </w:t>
      </w:r>
      <w:r w:rsidR="00BB401A">
        <w:t>the legal framework</w:t>
      </w:r>
      <w:r w:rsidR="00FD752A">
        <w:t>s</w:t>
      </w:r>
      <w:r w:rsidR="00BB401A">
        <w:t xml:space="preserve"> </w:t>
      </w:r>
      <w:r w:rsidR="00FD752A">
        <w:t>of Wales and England. If this were to happen the policy emphases of the two nations is likely to diverge.</w:t>
      </w:r>
      <w:r w:rsidR="000A654F">
        <w:t xml:space="preserve"> </w:t>
      </w:r>
      <w:r w:rsidR="00425DF3">
        <w:t>Although devolution was granted in 1999</w:t>
      </w:r>
      <w:r w:rsidR="004E171F">
        <w:t>,</w:t>
      </w:r>
      <w:r w:rsidR="00425DF3">
        <w:t xml:space="preserve"> control over heritage law was not actioned until 2006. In the sixteen years since this date</w:t>
      </w:r>
      <w:r w:rsidR="004E171F">
        <w:t>,</w:t>
      </w:r>
      <w:r w:rsidR="00425DF3">
        <w:t xml:space="preserve"> Wales h</w:t>
      </w:r>
      <w:r w:rsidR="00A7128E">
        <w:t>a</w:t>
      </w:r>
      <w:r w:rsidR="00425DF3">
        <w:t>s passed one major piece of ‘Wales only’ heritage legislation</w:t>
      </w:r>
      <w:r w:rsidR="00A7128E">
        <w:t>,</w:t>
      </w:r>
      <w:r w:rsidR="00A7128E" w:rsidRPr="004E171F">
        <w:rPr>
          <w:i/>
          <w:iCs/>
        </w:rPr>
        <w:t xml:space="preserve"> The Historic Environment (Wales) Act 2016</w:t>
      </w:r>
      <w:r w:rsidR="00A7128E">
        <w:t>.</w:t>
      </w:r>
      <w:r w:rsidR="00A7128E">
        <w:rPr>
          <w:rStyle w:val="FootnoteReference"/>
        </w:rPr>
        <w:footnoteReference w:id="48"/>
      </w:r>
      <w:r w:rsidR="00425DF3">
        <w:t xml:space="preserve"> </w:t>
      </w:r>
      <w:r w:rsidR="00BB401A">
        <w:t xml:space="preserve"> </w:t>
      </w:r>
      <w:r w:rsidR="00A7128E">
        <w:t xml:space="preserve">The Welsh Government having worked collaboratively with the Department for Culture, Media and Sport to produce the white paper entitled </w:t>
      </w:r>
      <w:r w:rsidR="00A7128E" w:rsidRPr="00F37F63">
        <w:rPr>
          <w:i/>
          <w:iCs/>
        </w:rPr>
        <w:t>Heritage Protection for the 21</w:t>
      </w:r>
      <w:r w:rsidR="00A7128E" w:rsidRPr="00F37F63">
        <w:rPr>
          <w:i/>
          <w:iCs/>
          <w:vertAlign w:val="superscript"/>
        </w:rPr>
        <w:t>st</w:t>
      </w:r>
      <w:r w:rsidR="00A7128E" w:rsidRPr="00F37F63">
        <w:rPr>
          <w:i/>
          <w:iCs/>
        </w:rPr>
        <w:t xml:space="preserve"> Century</w:t>
      </w:r>
      <w:r w:rsidR="00F37F63" w:rsidRPr="00F37F63">
        <w:rPr>
          <w:i/>
          <w:iCs/>
        </w:rPr>
        <w:t>,</w:t>
      </w:r>
      <w:r w:rsidR="00A7128E">
        <w:t xml:space="preserve"> there </w:t>
      </w:r>
      <w:r w:rsidR="00F37F63">
        <w:t>was little surprise in the commonality of themes and emphasis in the new Welsh legislation.</w:t>
      </w:r>
      <w:r w:rsidR="00F37F63">
        <w:rPr>
          <w:rStyle w:val="FootnoteReference"/>
        </w:rPr>
        <w:footnoteReference w:id="49"/>
      </w:r>
      <w:r w:rsidR="0057208B">
        <w:t xml:space="preserve"> </w:t>
      </w:r>
      <w:r w:rsidR="00B37753">
        <w:t>The primary heritage legislation in</w:t>
      </w:r>
      <w:r w:rsidR="00B35B38">
        <w:t xml:space="preserve"> Wales as outlined by </w:t>
      </w:r>
      <w:proofErr w:type="spellStart"/>
      <w:r w:rsidR="00B35B38">
        <w:t>Cadw</w:t>
      </w:r>
      <w:proofErr w:type="spellEnd"/>
      <w:r w:rsidR="00B35B38">
        <w:t xml:space="preserve"> is a blend of both </w:t>
      </w:r>
      <w:r w:rsidR="00B35B38">
        <w:lastRenderedPageBreak/>
        <w:t>old and new legislation.</w:t>
      </w:r>
      <w:r w:rsidR="00FD752A">
        <w:rPr>
          <w:rStyle w:val="FootnoteReference"/>
        </w:rPr>
        <w:footnoteReference w:id="50"/>
      </w:r>
      <w:r w:rsidR="00B35B38">
        <w:t xml:space="preserve"> Four Acts relate to pre devolution laws, whilst three are post devolution. The inclusion of </w:t>
      </w:r>
      <w:r w:rsidR="00B35B38" w:rsidRPr="00566E64">
        <w:rPr>
          <w:i/>
          <w:iCs/>
        </w:rPr>
        <w:t>The Well Being of Future Generations Act 2015</w:t>
      </w:r>
      <w:r w:rsidR="00B35B38">
        <w:t xml:space="preserve">, in the primary legislation list demonstrates a </w:t>
      </w:r>
      <w:r w:rsidR="00540DD3">
        <w:t>broadening</w:t>
      </w:r>
      <w:r w:rsidR="00B35B38">
        <w:t xml:space="preserve"> of approach to heritage in Wales.</w:t>
      </w:r>
      <w:r w:rsidR="00073BCE">
        <w:rPr>
          <w:rStyle w:val="FootnoteReference"/>
        </w:rPr>
        <w:footnoteReference w:id="51"/>
      </w:r>
      <w:r w:rsidR="000F43AB">
        <w:t xml:space="preserve"> The National Library of Wales and National Museum of Wales are named specifically as public bodies subject directly to this Act. Heritage</w:t>
      </w:r>
      <w:r w:rsidR="009A01C6">
        <w:t xml:space="preserve"> is</w:t>
      </w:r>
      <w:r w:rsidR="000F43AB">
        <w:t xml:space="preserve"> therefore seen as an integral part of </w:t>
      </w:r>
      <w:r w:rsidR="00705B95">
        <w:t>the ‘Well Being Goals’ set out in the Act</w:t>
      </w:r>
      <w:r w:rsidR="009A01C6">
        <w:t xml:space="preserve"> and by implication this should lead to greater community and individual involvement in heritage to achieve these goals. To meet their obligations under this Act</w:t>
      </w:r>
      <w:r w:rsidR="00225BE8">
        <w:t>,</w:t>
      </w:r>
      <w:r w:rsidR="009A01C6">
        <w:t xml:space="preserve"> </w:t>
      </w:r>
      <w:r w:rsidR="00225BE8">
        <w:t>h</w:t>
      </w:r>
      <w:r w:rsidR="009A01C6">
        <w:t xml:space="preserve">eritage stakeholders, whether governmental led or of charitable status should be considering how to engage the public in their activities. </w:t>
      </w:r>
    </w:p>
    <w:p w14:paraId="6AE5D499" w14:textId="669F0380" w:rsidR="0002483C" w:rsidRDefault="0076229D" w:rsidP="004569C0">
      <w:pPr>
        <w:spacing w:line="480" w:lineRule="auto"/>
        <w:jc w:val="both"/>
      </w:pPr>
      <w:r>
        <w:t>Evidently</w:t>
      </w:r>
      <w:r w:rsidR="000A54EC">
        <w:t xml:space="preserve"> public involvement was believed to be of </w:t>
      </w:r>
      <w:r w:rsidR="00B52DDD">
        <w:t>importance as</w:t>
      </w:r>
      <w:r w:rsidR="000A54EC">
        <w:t xml:space="preserve"> </w:t>
      </w:r>
      <w:r>
        <w:t>the forward to the 2007 White Paper</w:t>
      </w:r>
      <w:r w:rsidR="000A54EC">
        <w:t xml:space="preserve"> </w:t>
      </w:r>
      <w:r>
        <w:t>stated ‘People care passionately about how their historic environment is preserved</w:t>
      </w:r>
      <w:proofErr w:type="gramStart"/>
      <w:r>
        <w:t>…..</w:t>
      </w:r>
      <w:proofErr w:type="gramEnd"/>
      <w:r>
        <w:t>They want to be involved in decisions about how their heritage and about how we manage change.’</w:t>
      </w:r>
      <w:r>
        <w:rPr>
          <w:rStyle w:val="FootnoteReference"/>
        </w:rPr>
        <w:footnoteReference w:id="52"/>
      </w:r>
      <w:r>
        <w:t xml:space="preserve"> I</w:t>
      </w:r>
      <w:r w:rsidR="000A54EC">
        <w:t>t</w:t>
      </w:r>
      <w:r>
        <w:t xml:space="preserve"> would appear that </w:t>
      </w:r>
      <w:proofErr w:type="spellStart"/>
      <w:r>
        <w:t>Wales’</w:t>
      </w:r>
      <w:proofErr w:type="spellEnd"/>
      <w:r>
        <w:t xml:space="preserve"> response </w:t>
      </w:r>
      <w:r w:rsidR="00566E64">
        <w:t xml:space="preserve">was </w:t>
      </w:r>
      <w:r>
        <w:t xml:space="preserve">to embrace this concept of </w:t>
      </w:r>
      <w:r w:rsidR="003124AC">
        <w:t xml:space="preserve">public engagement and </w:t>
      </w:r>
      <w:r w:rsidR="009C5C12">
        <w:t xml:space="preserve">further </w:t>
      </w:r>
      <w:r w:rsidR="003124AC">
        <w:t xml:space="preserve">enshrine it in law. </w:t>
      </w:r>
      <w:r w:rsidR="009F7652">
        <w:t xml:space="preserve">Belford concurs with this view </w:t>
      </w:r>
      <w:r w:rsidR="008D239F">
        <w:t xml:space="preserve">specifically referring to Wales </w:t>
      </w:r>
      <w:r w:rsidR="009F7652">
        <w:t>‘The potential of the</w:t>
      </w:r>
      <w:r w:rsidR="008D239F">
        <w:t xml:space="preserve"> </w:t>
      </w:r>
      <w:r w:rsidR="009F7652">
        <w:t xml:space="preserve">historic </w:t>
      </w:r>
      <w:r w:rsidR="008D239F">
        <w:t>environment</w:t>
      </w:r>
      <w:r w:rsidR="009F7652">
        <w:t xml:space="preserve"> sector to contribute to areas such as environmental protection, mental health and wellbeing, accessibility, and public engagement has been recognised.’</w:t>
      </w:r>
      <w:r w:rsidR="008D239F">
        <w:rPr>
          <w:rStyle w:val="FootnoteReference"/>
        </w:rPr>
        <w:footnoteReference w:id="53"/>
      </w:r>
      <w:r w:rsidR="009F7652">
        <w:t xml:space="preserve"> </w:t>
      </w:r>
      <w:r w:rsidR="003124AC">
        <w:t>The English response</w:t>
      </w:r>
      <w:r w:rsidR="000A54EC">
        <w:t xml:space="preserve"> to public engagement</w:t>
      </w:r>
      <w:r w:rsidR="003124AC">
        <w:t xml:space="preserve"> has not </w:t>
      </w:r>
      <w:r w:rsidR="0049192D">
        <w:t xml:space="preserve">been </w:t>
      </w:r>
      <w:r w:rsidR="003124AC">
        <w:t xml:space="preserve">explicitly legally recognised although there appears to be an </w:t>
      </w:r>
      <w:r w:rsidR="009C5C12">
        <w:t>implicit recognition</w:t>
      </w:r>
      <w:r w:rsidR="003124AC">
        <w:t xml:space="preserve"> of its importance.</w:t>
      </w:r>
    </w:p>
    <w:p w14:paraId="2D7FF7B0" w14:textId="6694330F" w:rsidR="00D45663" w:rsidRDefault="00D45663" w:rsidP="00665255">
      <w:pPr>
        <w:spacing w:line="480" w:lineRule="auto"/>
      </w:pPr>
      <w:r>
        <w:t xml:space="preserve">It could also be said that although England appears to recognise the importance of public engagement, unlike Wales it has done little to enshrine that </w:t>
      </w:r>
      <w:r w:rsidR="00F81ABB">
        <w:t xml:space="preserve">recognition </w:t>
      </w:r>
      <w:r>
        <w:t xml:space="preserve">in legislation. Joe </w:t>
      </w:r>
      <w:proofErr w:type="spellStart"/>
      <w:r>
        <w:t>Flatman</w:t>
      </w:r>
      <w:proofErr w:type="spellEnd"/>
      <w:r>
        <w:t xml:space="preserve"> </w:t>
      </w:r>
      <w:r>
        <w:lastRenderedPageBreak/>
        <w:t>discusse</w:t>
      </w:r>
      <w:r w:rsidR="00FD6825">
        <w:t>d</w:t>
      </w:r>
      <w:r>
        <w:t xml:space="preserve"> th</w:t>
      </w:r>
      <w:r w:rsidR="00F81ABB">
        <w:t>e importance of public engagement</w:t>
      </w:r>
      <w:r>
        <w:t xml:space="preserve"> whilst raising a note of caution ‘Overlapping expectations of cultural narrative making</w:t>
      </w:r>
      <w:r w:rsidR="00FD6825">
        <w:t>, economic benefit and political expediency offer huge potential for engagement with the public -</w:t>
      </w:r>
      <w:r w:rsidR="00566E64">
        <w:t xml:space="preserve"> </w:t>
      </w:r>
      <w:r w:rsidR="00FD6825">
        <w:t>the ultimate funders … but also bring commensurate risks in that process of engagement.’</w:t>
      </w:r>
      <w:r w:rsidR="00FD6825">
        <w:rPr>
          <w:rStyle w:val="FootnoteReference"/>
        </w:rPr>
        <w:footnoteReference w:id="54"/>
      </w:r>
      <w:r w:rsidR="00F81ABB">
        <w:t xml:space="preserve"> There is little doubt that the ‘top down’ approach which formerly gave little opportunity to hear the public voice, is no longer regarded as good practice. Public engagement in heritage matters in Wales is an integral part of future planning which recognises the wider wellbeing benefits which heritage can bring. </w:t>
      </w:r>
      <w:r w:rsidR="009E67BA">
        <w:t xml:space="preserve">It is commendable that </w:t>
      </w:r>
      <w:r w:rsidR="00566E64" w:rsidRPr="00566E64">
        <w:rPr>
          <w:i/>
          <w:iCs/>
        </w:rPr>
        <w:t>T</w:t>
      </w:r>
      <w:r w:rsidR="009E67BA" w:rsidRPr="00566E64">
        <w:rPr>
          <w:i/>
          <w:iCs/>
        </w:rPr>
        <w:t xml:space="preserve">he Historic Environment (Wales) Act 2016 </w:t>
      </w:r>
      <w:r w:rsidR="009E67BA">
        <w:t xml:space="preserve">enshrines the public role in the future of heritage management. It is to be hoped that English legislation will also take a similar path. </w:t>
      </w:r>
      <w:r w:rsidR="00733444">
        <w:t>Future collaborative bench marking discussions between the Welsh Government and Westminster might hopefully bring this about. The work of heritage charities across both nations is of paramount importance in bringing about higher levels of public engagement as the</w:t>
      </w:r>
      <w:r w:rsidR="00A13595">
        <w:t>se organisations</w:t>
      </w:r>
      <w:r w:rsidR="00733444">
        <w:t xml:space="preserve"> often work at local level.</w:t>
      </w:r>
      <w:r w:rsidR="00565080">
        <w:t xml:space="preserve"> This </w:t>
      </w:r>
      <w:r w:rsidR="00A34FB6">
        <w:t xml:space="preserve">is often </w:t>
      </w:r>
      <w:r w:rsidR="00566E64">
        <w:t xml:space="preserve">delivered </w:t>
      </w:r>
      <w:r w:rsidR="00A34FB6">
        <w:t xml:space="preserve">at individual rather than national level and ensures that people feel as though their views are being listened to, which </w:t>
      </w:r>
      <w:r w:rsidR="00566E64">
        <w:t>can</w:t>
      </w:r>
      <w:r w:rsidR="00A34FB6">
        <w:t xml:space="preserve"> difficult in a larger organisation.</w:t>
      </w:r>
    </w:p>
    <w:p w14:paraId="68304808" w14:textId="77777777" w:rsidR="0002483C" w:rsidRPr="0002483C" w:rsidRDefault="0002483C" w:rsidP="002D68DA">
      <w:pPr>
        <w:spacing w:line="480" w:lineRule="auto"/>
      </w:pPr>
    </w:p>
    <w:p w14:paraId="00425520" w14:textId="3A77C850" w:rsidR="00EE69D3" w:rsidRDefault="00F642ED" w:rsidP="002D68DA">
      <w:pPr>
        <w:spacing w:line="480" w:lineRule="auto"/>
      </w:pPr>
      <w:r>
        <w:t>361</w:t>
      </w:r>
      <w:r w:rsidR="004F70F3">
        <w:t>7</w:t>
      </w:r>
      <w:r w:rsidR="005F65A2">
        <w:t>`</w:t>
      </w:r>
      <w:r>
        <w:t xml:space="preserve"> words</w:t>
      </w:r>
    </w:p>
    <w:p w14:paraId="64C3C883" w14:textId="5B9B61EA" w:rsidR="00F642ED" w:rsidRDefault="00F642ED" w:rsidP="002D68DA">
      <w:pPr>
        <w:spacing w:line="480" w:lineRule="auto"/>
      </w:pPr>
      <w:r>
        <w:lastRenderedPageBreak/>
        <w:t>Bibliography</w:t>
      </w:r>
    </w:p>
    <w:p w14:paraId="4AB736F1" w14:textId="77777777" w:rsidR="00524D43" w:rsidRPr="001017DF" w:rsidRDefault="00F642ED" w:rsidP="00524D43">
      <w:pPr>
        <w:spacing w:line="480" w:lineRule="auto"/>
        <w:rPr>
          <w:b/>
          <w:bCs/>
        </w:rPr>
      </w:pPr>
      <w:r w:rsidRPr="001017DF">
        <w:rPr>
          <w:b/>
          <w:bCs/>
        </w:rPr>
        <w:t xml:space="preserve">Primary </w:t>
      </w:r>
      <w:r w:rsidR="00524D43" w:rsidRPr="001017DF">
        <w:rPr>
          <w:b/>
          <w:bCs/>
        </w:rPr>
        <w:t>S</w:t>
      </w:r>
      <w:r w:rsidRPr="001017DF">
        <w:rPr>
          <w:b/>
          <w:bCs/>
        </w:rPr>
        <w:t>ources</w:t>
      </w:r>
    </w:p>
    <w:p w14:paraId="2EDDC297" w14:textId="79CAD207" w:rsidR="00C30E80" w:rsidRDefault="00C30E80" w:rsidP="00524D43">
      <w:pPr>
        <w:spacing w:line="240" w:lineRule="auto"/>
      </w:pPr>
      <w:r>
        <w:t xml:space="preserve">‘Ancient Monuments Protection Act 1900’, </w:t>
      </w:r>
      <w:r w:rsidRPr="002A2614">
        <w:rPr>
          <w:i/>
          <w:iCs/>
        </w:rPr>
        <w:t>Hansard</w:t>
      </w:r>
      <w:r w:rsidR="00524D43">
        <w:t xml:space="preserve"> </w:t>
      </w:r>
      <w:r>
        <w:t>&lt;</w:t>
      </w:r>
      <w:hyperlink r:id="rId9" w:history="1">
        <w:r w:rsidRPr="00FA6BCE">
          <w:rPr>
            <w:rStyle w:val="Hyperlink"/>
          </w:rPr>
          <w:t>https://api.parliament.uk/historichansard/acts/ancient-monuments-protection-act-1900</w:t>
        </w:r>
      </w:hyperlink>
      <w:r>
        <w:t>&gt; [accessed 17 April 2022]</w:t>
      </w:r>
    </w:p>
    <w:p w14:paraId="1A40CAE3" w14:textId="77777777" w:rsidR="00C30E80" w:rsidRPr="00C30E80" w:rsidRDefault="00C30E80" w:rsidP="00C30E80">
      <w:pPr>
        <w:pStyle w:val="FootnoteText"/>
        <w:rPr>
          <w:sz w:val="22"/>
          <w:szCs w:val="22"/>
        </w:rPr>
      </w:pPr>
      <w:r w:rsidRPr="00C30E80">
        <w:rPr>
          <w:sz w:val="22"/>
          <w:szCs w:val="22"/>
        </w:rPr>
        <w:t xml:space="preserve">‘Clause 22 – definition of Ancient Monument’, </w:t>
      </w:r>
      <w:r w:rsidRPr="00C30E80">
        <w:rPr>
          <w:i/>
          <w:iCs/>
          <w:sz w:val="22"/>
          <w:szCs w:val="22"/>
        </w:rPr>
        <w:t>Hansard</w:t>
      </w:r>
      <w:r w:rsidRPr="00C30E80">
        <w:rPr>
          <w:sz w:val="22"/>
          <w:szCs w:val="22"/>
        </w:rPr>
        <w:t xml:space="preserve"> &lt;</w:t>
      </w:r>
      <w:hyperlink r:id="rId10" w:history="1">
        <w:r w:rsidRPr="00C30E80">
          <w:rPr>
            <w:rStyle w:val="Hyperlink"/>
            <w:sz w:val="22"/>
            <w:szCs w:val="22"/>
          </w:rPr>
          <w:t>https://api.parliament.uk/historic-hansard/commons/1913/aug/12/clause-22-definition-of-ancient-monument</w:t>
        </w:r>
      </w:hyperlink>
      <w:r w:rsidRPr="00C30E80">
        <w:rPr>
          <w:sz w:val="22"/>
          <w:szCs w:val="22"/>
        </w:rPr>
        <w:t>&gt; [accessed 17 April 2022]</w:t>
      </w:r>
    </w:p>
    <w:p w14:paraId="4F8AEDE7" w14:textId="77777777" w:rsidR="00524D43" w:rsidRDefault="00524D43" w:rsidP="00C30E80">
      <w:pPr>
        <w:pStyle w:val="FootnoteText"/>
        <w:rPr>
          <w:sz w:val="22"/>
          <w:szCs w:val="22"/>
        </w:rPr>
      </w:pPr>
    </w:p>
    <w:p w14:paraId="0A2B7B80" w14:textId="2255C59D" w:rsidR="00C30E80" w:rsidRDefault="00C30E80" w:rsidP="00C30E80">
      <w:pPr>
        <w:pStyle w:val="FootnoteText"/>
        <w:rPr>
          <w:sz w:val="22"/>
          <w:szCs w:val="22"/>
        </w:rPr>
      </w:pPr>
      <w:r w:rsidRPr="00C30E80">
        <w:rPr>
          <w:sz w:val="22"/>
          <w:szCs w:val="22"/>
        </w:rPr>
        <w:t xml:space="preserve">Heritage Protection for the Twenty first Century’, </w:t>
      </w:r>
      <w:r w:rsidRPr="00C30E80">
        <w:rPr>
          <w:i/>
          <w:iCs/>
          <w:sz w:val="22"/>
          <w:szCs w:val="22"/>
        </w:rPr>
        <w:t>Gov.uk</w:t>
      </w:r>
      <w:r w:rsidRPr="00C30E80">
        <w:rPr>
          <w:sz w:val="22"/>
          <w:szCs w:val="22"/>
        </w:rPr>
        <w:t xml:space="preserve"> &lt;</w:t>
      </w:r>
      <w:hyperlink r:id="rId11" w:history="1">
        <w:r w:rsidRPr="00C30E80">
          <w:rPr>
            <w:rStyle w:val="Hyperlink"/>
            <w:sz w:val="22"/>
            <w:szCs w:val="22"/>
          </w:rPr>
          <w:t>https://www.gov/government/publications/heritage-protectiob-for-the-21stcentury-white-paper</w:t>
        </w:r>
      </w:hyperlink>
      <w:r w:rsidRPr="00C30E80">
        <w:rPr>
          <w:sz w:val="22"/>
          <w:szCs w:val="22"/>
        </w:rPr>
        <w:t xml:space="preserve">&gt; [accessed 14 April 2022] </w:t>
      </w:r>
    </w:p>
    <w:p w14:paraId="34D729BA" w14:textId="3D688648" w:rsidR="001D5BA8" w:rsidRDefault="001D5BA8" w:rsidP="00C30E80">
      <w:pPr>
        <w:pStyle w:val="FootnoteText"/>
        <w:rPr>
          <w:sz w:val="22"/>
          <w:szCs w:val="22"/>
        </w:rPr>
      </w:pPr>
    </w:p>
    <w:p w14:paraId="5DCDDC79" w14:textId="77777777" w:rsidR="001D5BA8" w:rsidRPr="001D5BA8" w:rsidRDefault="001D5BA8" w:rsidP="001D5BA8">
      <w:pPr>
        <w:pStyle w:val="Heading2"/>
        <w:rPr>
          <w:rFonts w:ascii="Times New Roman" w:eastAsia="Times New Roman" w:hAnsi="Times New Roman" w:cs="Times New Roman"/>
          <w:color w:val="auto"/>
          <w:sz w:val="22"/>
          <w:szCs w:val="22"/>
          <w:lang w:eastAsia="en-GB"/>
        </w:rPr>
      </w:pPr>
      <w:r w:rsidRPr="001D5BA8">
        <w:rPr>
          <w:color w:val="auto"/>
          <w:sz w:val="22"/>
          <w:szCs w:val="22"/>
        </w:rPr>
        <w:t>Lord Silken</w:t>
      </w:r>
      <w:r w:rsidRPr="001D5BA8">
        <w:rPr>
          <w:sz w:val="22"/>
          <w:szCs w:val="22"/>
        </w:rPr>
        <w:t>, ‘</w:t>
      </w:r>
      <w:r w:rsidRPr="001D5BA8">
        <w:rPr>
          <w:rFonts w:asciiTheme="minorHAnsi" w:eastAsia="Times New Roman" w:hAnsiTheme="minorHAnsi" w:cstheme="minorHAnsi"/>
          <w:color w:val="auto"/>
          <w:sz w:val="22"/>
          <w:szCs w:val="22"/>
          <w:lang w:eastAsia="en-GB"/>
        </w:rPr>
        <w:t xml:space="preserve">Volume 183: debated on Thursday 30 July 1953’, </w:t>
      </w:r>
      <w:r w:rsidRPr="001D5BA8">
        <w:rPr>
          <w:rFonts w:asciiTheme="minorHAnsi" w:eastAsia="Times New Roman" w:hAnsiTheme="minorHAnsi" w:cstheme="minorHAnsi"/>
          <w:i/>
          <w:iCs/>
          <w:color w:val="auto"/>
          <w:sz w:val="22"/>
          <w:szCs w:val="22"/>
          <w:lang w:eastAsia="en-GB"/>
        </w:rPr>
        <w:t>Hansard</w:t>
      </w:r>
      <w:r w:rsidRPr="001D5BA8">
        <w:rPr>
          <w:rFonts w:ascii="Times New Roman" w:eastAsia="Times New Roman" w:hAnsi="Times New Roman" w:cs="Times New Roman"/>
          <w:b/>
          <w:bCs/>
          <w:color w:val="auto"/>
          <w:sz w:val="22"/>
          <w:szCs w:val="22"/>
          <w:lang w:eastAsia="en-GB"/>
        </w:rPr>
        <w:t xml:space="preserve"> &lt;</w:t>
      </w:r>
      <w:hyperlink r:id="rId12" w:history="1">
        <w:r w:rsidRPr="001D5BA8">
          <w:rPr>
            <w:rStyle w:val="Hyperlink"/>
            <w:rFonts w:asciiTheme="minorHAnsi" w:eastAsia="Times New Roman" w:hAnsiTheme="minorHAnsi" w:cstheme="minorHAnsi"/>
            <w:sz w:val="22"/>
            <w:szCs w:val="22"/>
            <w:lang w:eastAsia="en-GB"/>
          </w:rPr>
          <w:t>https://hansard.parliament.uk/lords/1953-07-30/debates/9a1bf3ad-3cb3-4a36-bc45-91f6e83e35d0/HistoricBuildingsAndAncientMonumentsBill</w:t>
        </w:r>
      </w:hyperlink>
      <w:r w:rsidRPr="001D5BA8">
        <w:rPr>
          <w:rFonts w:asciiTheme="minorHAnsi" w:eastAsia="Times New Roman" w:hAnsiTheme="minorHAnsi" w:cstheme="minorHAnsi"/>
          <w:sz w:val="22"/>
          <w:szCs w:val="22"/>
          <w:lang w:eastAsia="en-GB"/>
        </w:rPr>
        <w:t>&gt;</w:t>
      </w:r>
      <w:r w:rsidRPr="001D5BA8">
        <w:rPr>
          <w:rFonts w:asciiTheme="minorHAnsi" w:eastAsia="Times New Roman" w:hAnsiTheme="minorHAnsi" w:cstheme="minorHAnsi"/>
          <w:color w:val="auto"/>
          <w:sz w:val="22"/>
          <w:szCs w:val="22"/>
          <w:lang w:eastAsia="en-GB"/>
        </w:rPr>
        <w:t xml:space="preserve"> </w:t>
      </w:r>
      <w:r w:rsidRPr="001D5BA8">
        <w:rPr>
          <w:rFonts w:ascii="Times New Roman" w:eastAsia="Times New Roman" w:hAnsi="Times New Roman" w:cs="Times New Roman"/>
          <w:color w:val="auto"/>
          <w:sz w:val="22"/>
          <w:szCs w:val="22"/>
          <w:lang w:eastAsia="en-GB"/>
        </w:rPr>
        <w:t>[</w:t>
      </w:r>
      <w:r w:rsidRPr="001D5BA8">
        <w:rPr>
          <w:rFonts w:asciiTheme="minorHAnsi" w:eastAsia="Times New Roman" w:hAnsiTheme="minorHAnsi" w:cstheme="minorHAnsi"/>
          <w:color w:val="auto"/>
          <w:sz w:val="22"/>
          <w:szCs w:val="22"/>
          <w:lang w:eastAsia="en-GB"/>
        </w:rPr>
        <w:t>accessed 20 April 2022]</w:t>
      </w:r>
    </w:p>
    <w:p w14:paraId="6DF45D75" w14:textId="77777777" w:rsidR="001D5BA8" w:rsidRPr="001D5BA8" w:rsidRDefault="001D5BA8" w:rsidP="00C30E80">
      <w:pPr>
        <w:pStyle w:val="FootnoteText"/>
        <w:rPr>
          <w:sz w:val="22"/>
          <w:szCs w:val="22"/>
        </w:rPr>
      </w:pPr>
    </w:p>
    <w:p w14:paraId="192E3D58" w14:textId="5973F039" w:rsidR="009865DC" w:rsidRDefault="009865DC" w:rsidP="00C30E80">
      <w:pPr>
        <w:pStyle w:val="FootnoteText"/>
        <w:rPr>
          <w:sz w:val="22"/>
          <w:szCs w:val="22"/>
        </w:rPr>
      </w:pPr>
      <w:r w:rsidRPr="009865DC">
        <w:rPr>
          <w:sz w:val="22"/>
          <w:szCs w:val="22"/>
        </w:rPr>
        <w:t xml:space="preserve">‘Royal Assent 1931 Act’, </w:t>
      </w:r>
      <w:r w:rsidRPr="009865DC">
        <w:rPr>
          <w:i/>
          <w:iCs/>
          <w:sz w:val="22"/>
          <w:szCs w:val="22"/>
        </w:rPr>
        <w:t>Hansard &lt;</w:t>
      </w:r>
      <w:hyperlink r:id="rId13" w:anchor="S5CV0253P0_19310611_HOC_331" w:history="1">
        <w:r w:rsidRPr="009865DC">
          <w:rPr>
            <w:rStyle w:val="Hyperlink"/>
            <w:sz w:val="22"/>
            <w:szCs w:val="22"/>
          </w:rPr>
          <w:t>https://api.parliament.uk/historic-hansard/commons/1931/jun/11/royal-assent#S5CV0253P0_19310611_HOC_331</w:t>
        </w:r>
      </w:hyperlink>
      <w:r w:rsidRPr="009865DC">
        <w:rPr>
          <w:sz w:val="22"/>
          <w:szCs w:val="22"/>
        </w:rPr>
        <w:t>&gt; [accessed 18 April 2022]</w:t>
      </w:r>
    </w:p>
    <w:p w14:paraId="4FD3AB8C" w14:textId="1DAE5A3B" w:rsidR="00524D43" w:rsidRDefault="00524D43" w:rsidP="00C30E80">
      <w:pPr>
        <w:pStyle w:val="FootnoteText"/>
        <w:rPr>
          <w:sz w:val="22"/>
          <w:szCs w:val="22"/>
        </w:rPr>
      </w:pPr>
    </w:p>
    <w:p w14:paraId="44C85004" w14:textId="77777777" w:rsidR="00524D43" w:rsidRDefault="00524D43" w:rsidP="00C30E80">
      <w:pPr>
        <w:pStyle w:val="FootnoteText"/>
        <w:rPr>
          <w:sz w:val="22"/>
          <w:szCs w:val="22"/>
        </w:rPr>
      </w:pPr>
    </w:p>
    <w:p w14:paraId="0684873C" w14:textId="49244F58" w:rsidR="00524D43" w:rsidRPr="001017DF" w:rsidRDefault="00524D43" w:rsidP="00C30E80">
      <w:pPr>
        <w:pStyle w:val="FootnoteText"/>
        <w:rPr>
          <w:b/>
          <w:bCs/>
          <w:sz w:val="22"/>
          <w:szCs w:val="22"/>
        </w:rPr>
      </w:pPr>
      <w:r w:rsidRPr="001017DF">
        <w:rPr>
          <w:b/>
          <w:bCs/>
          <w:sz w:val="22"/>
          <w:szCs w:val="22"/>
        </w:rPr>
        <w:t>Secondary Sources</w:t>
      </w:r>
    </w:p>
    <w:p w14:paraId="1104CF9E" w14:textId="4FAD385F" w:rsidR="00524D43" w:rsidRDefault="00524D43" w:rsidP="00C30E80">
      <w:pPr>
        <w:pStyle w:val="FootnoteText"/>
        <w:rPr>
          <w:sz w:val="22"/>
          <w:szCs w:val="22"/>
        </w:rPr>
      </w:pPr>
      <w:r>
        <w:rPr>
          <w:sz w:val="22"/>
          <w:szCs w:val="22"/>
        </w:rPr>
        <w:t>Books</w:t>
      </w:r>
    </w:p>
    <w:p w14:paraId="43587026" w14:textId="7DBE24D1" w:rsidR="00524D43" w:rsidRDefault="00524D43" w:rsidP="00C30E80">
      <w:pPr>
        <w:pStyle w:val="FootnoteText"/>
        <w:rPr>
          <w:sz w:val="22"/>
          <w:szCs w:val="22"/>
        </w:rPr>
      </w:pPr>
    </w:p>
    <w:p w14:paraId="7611282B" w14:textId="57A95FDD" w:rsidR="005E1411" w:rsidRDefault="005E1411" w:rsidP="005E1411">
      <w:pPr>
        <w:spacing w:line="480" w:lineRule="auto"/>
      </w:pPr>
      <w:r>
        <w:t xml:space="preserve">Bowen, H.V., </w:t>
      </w:r>
      <w:r w:rsidRPr="00546916">
        <w:rPr>
          <w:i/>
          <w:iCs/>
        </w:rPr>
        <w:t>A New History of Wales</w:t>
      </w:r>
      <w:r>
        <w:t xml:space="preserve"> (Llandysul: Gomer, 2012)</w:t>
      </w:r>
    </w:p>
    <w:p w14:paraId="17CF980D" w14:textId="1D0304F5" w:rsidR="00C15CDD" w:rsidRDefault="00C15CDD" w:rsidP="005E1411">
      <w:pPr>
        <w:spacing w:line="480" w:lineRule="auto"/>
      </w:pPr>
      <w:proofErr w:type="spellStart"/>
      <w:r>
        <w:t>Brabbs</w:t>
      </w:r>
      <w:proofErr w:type="spellEnd"/>
      <w:r>
        <w:t xml:space="preserve">, Derry, David Miles and Val </w:t>
      </w:r>
      <w:proofErr w:type="spellStart"/>
      <w:r>
        <w:t>Horsler</w:t>
      </w:r>
      <w:proofErr w:type="spellEnd"/>
      <w:r w:rsidR="00392859">
        <w:t xml:space="preserve">, </w:t>
      </w:r>
      <w:r w:rsidR="00392859" w:rsidRPr="00392859">
        <w:rPr>
          <w:i/>
          <w:iCs/>
        </w:rPr>
        <w:t>England’s Heritage</w:t>
      </w:r>
      <w:r w:rsidR="00392859">
        <w:t xml:space="preserve"> (London: Cassell, 2001)</w:t>
      </w:r>
      <w:r>
        <w:t xml:space="preserve"> </w:t>
      </w:r>
    </w:p>
    <w:p w14:paraId="0B3EF8AA" w14:textId="77777777" w:rsidR="005E1411" w:rsidRDefault="005E1411" w:rsidP="005E1411">
      <w:pPr>
        <w:spacing w:line="480" w:lineRule="auto"/>
      </w:pPr>
      <w:r>
        <w:t>Davies, John</w:t>
      </w:r>
      <w:r w:rsidRPr="00546916">
        <w:rPr>
          <w:i/>
          <w:iCs/>
        </w:rPr>
        <w:t>, A History of Wales</w:t>
      </w:r>
      <w:r>
        <w:t xml:space="preserve"> (London: Penguin, 1993)</w:t>
      </w:r>
    </w:p>
    <w:p w14:paraId="09D6575F" w14:textId="77777777" w:rsidR="005E1411" w:rsidRDefault="005E1411" w:rsidP="005E1411">
      <w:pPr>
        <w:spacing w:line="480" w:lineRule="auto"/>
      </w:pPr>
      <w:r>
        <w:t xml:space="preserve">Evans, D. Gareth, </w:t>
      </w:r>
      <w:r w:rsidRPr="00546916">
        <w:rPr>
          <w:i/>
          <w:iCs/>
        </w:rPr>
        <w:t>A History of Wales 1906 – 2000</w:t>
      </w:r>
      <w:r>
        <w:t xml:space="preserve"> (Cardiff: University of Wales Press, 2000)</w:t>
      </w:r>
    </w:p>
    <w:p w14:paraId="0A0E968B" w14:textId="77777777" w:rsidR="00A472E0" w:rsidRDefault="005E1411" w:rsidP="005E1411">
      <w:pPr>
        <w:spacing w:line="480" w:lineRule="auto"/>
      </w:pPr>
      <w:r>
        <w:t xml:space="preserve">Gower, Jon, </w:t>
      </w:r>
      <w:r w:rsidRPr="00042A8C">
        <w:rPr>
          <w:i/>
          <w:iCs/>
        </w:rPr>
        <w:t>The Story of Wales</w:t>
      </w:r>
      <w:r>
        <w:t xml:space="preserve"> (London: BBC Books, 2012)</w:t>
      </w:r>
    </w:p>
    <w:p w14:paraId="6BD239FD" w14:textId="17E1FB68" w:rsidR="00A472E0" w:rsidRDefault="00A472E0" w:rsidP="005E1411">
      <w:pPr>
        <w:spacing w:line="480" w:lineRule="auto"/>
      </w:pPr>
      <w:r>
        <w:t xml:space="preserve">Harrison, Rodney et al, Heritage futures: </w:t>
      </w:r>
      <w:r w:rsidRPr="00392859">
        <w:rPr>
          <w:i/>
          <w:iCs/>
        </w:rPr>
        <w:t xml:space="preserve">Comparative approaches to Natural and Cultural Heritage Practices </w:t>
      </w:r>
      <w:r>
        <w:t>(London: UCL Press, 2020)</w:t>
      </w:r>
    </w:p>
    <w:p w14:paraId="5376746F" w14:textId="74079251" w:rsidR="00392859" w:rsidRDefault="00392859" w:rsidP="005E1411">
      <w:pPr>
        <w:spacing w:line="480" w:lineRule="auto"/>
      </w:pPr>
      <w:r>
        <w:t xml:space="preserve">Harrison, Suzy, </w:t>
      </w:r>
      <w:r w:rsidRPr="00392859">
        <w:rPr>
          <w:i/>
          <w:iCs/>
        </w:rPr>
        <w:t xml:space="preserve">The Safeguarding of Intangible cultural Heritage in England: A Comparative Exploration </w:t>
      </w:r>
      <w:r>
        <w:t>(Nottingham: Nottingham Trent Publishing, 2019)</w:t>
      </w:r>
    </w:p>
    <w:p w14:paraId="352A307E" w14:textId="13E61AD8" w:rsidR="005E1411" w:rsidRDefault="005E1411" w:rsidP="005E1411">
      <w:pPr>
        <w:spacing w:line="480" w:lineRule="auto"/>
      </w:pPr>
      <w:r>
        <w:lastRenderedPageBreak/>
        <w:t xml:space="preserve">Morgan, Kenneth, O., </w:t>
      </w:r>
      <w:r w:rsidRPr="00546916">
        <w:rPr>
          <w:i/>
          <w:iCs/>
        </w:rPr>
        <w:t>Rebirth of a Nation – Wales</w:t>
      </w:r>
      <w:r>
        <w:rPr>
          <w:i/>
          <w:iCs/>
        </w:rPr>
        <w:t xml:space="preserve">, </w:t>
      </w:r>
      <w:r w:rsidRPr="00546916">
        <w:rPr>
          <w:i/>
          <w:iCs/>
        </w:rPr>
        <w:t>1880 -1980</w:t>
      </w:r>
      <w:r>
        <w:t xml:space="preserve"> (Oxford, Oxford University Press, 1990)</w:t>
      </w:r>
    </w:p>
    <w:p w14:paraId="7DA08A29" w14:textId="6147E870" w:rsidR="00A4357C" w:rsidRPr="00A4357C" w:rsidRDefault="00A4357C" w:rsidP="005E1411">
      <w:pPr>
        <w:spacing w:line="480" w:lineRule="auto"/>
        <w:rPr>
          <w:b/>
          <w:bCs/>
        </w:rPr>
      </w:pPr>
      <w:r w:rsidRPr="00A4357C">
        <w:rPr>
          <w:b/>
          <w:bCs/>
        </w:rPr>
        <w:t>Journals</w:t>
      </w:r>
    </w:p>
    <w:p w14:paraId="1EACF791" w14:textId="0043BBE5" w:rsidR="00A4357C" w:rsidRDefault="00A4357C" w:rsidP="00AC36C3">
      <w:pPr>
        <w:spacing w:line="240" w:lineRule="auto"/>
      </w:pPr>
      <w:proofErr w:type="spellStart"/>
      <w:r>
        <w:t>Antink</w:t>
      </w:r>
      <w:proofErr w:type="spellEnd"/>
      <w:r>
        <w:t xml:space="preserve">, B., ‘Unlocking Heritage’, RSA Journal, </w:t>
      </w:r>
      <w:r w:rsidR="00774048">
        <w:t>165(2 (5578)), 2019, 36-38 &lt;https:/www.jstor.org/stable/26850853&gt; [accessed 15 April 2022]</w:t>
      </w:r>
    </w:p>
    <w:p w14:paraId="418BE462" w14:textId="77777777" w:rsidR="00AC36C3" w:rsidRDefault="00AC36C3" w:rsidP="00AC36C3">
      <w:pPr>
        <w:spacing w:line="240" w:lineRule="auto"/>
      </w:pPr>
    </w:p>
    <w:p w14:paraId="6387CAAF" w14:textId="735E35D2" w:rsidR="00AC36C3" w:rsidRPr="00AC36C3" w:rsidRDefault="00AC36C3" w:rsidP="00AC36C3">
      <w:pPr>
        <w:pStyle w:val="FootnoteText"/>
        <w:rPr>
          <w:sz w:val="22"/>
          <w:szCs w:val="22"/>
        </w:rPr>
      </w:pPr>
      <w:r w:rsidRPr="00AC36C3">
        <w:rPr>
          <w:sz w:val="22"/>
          <w:szCs w:val="22"/>
        </w:rPr>
        <w:t xml:space="preserve">Belford, </w:t>
      </w:r>
      <w:r>
        <w:rPr>
          <w:sz w:val="22"/>
          <w:szCs w:val="22"/>
        </w:rPr>
        <w:t xml:space="preserve">Paul, </w:t>
      </w:r>
      <w:r w:rsidRPr="00AC36C3">
        <w:rPr>
          <w:sz w:val="22"/>
          <w:szCs w:val="22"/>
        </w:rPr>
        <w:t xml:space="preserve">‘Politics and Heritage: Developments in Historic Environment Policy and Practice in Wales’, </w:t>
      </w:r>
      <w:r w:rsidRPr="00AC36C3">
        <w:rPr>
          <w:i/>
          <w:iCs/>
          <w:sz w:val="22"/>
          <w:szCs w:val="22"/>
        </w:rPr>
        <w:t>The Historic Environment: Policy and Practice,</w:t>
      </w:r>
      <w:proofErr w:type="gramStart"/>
      <w:r w:rsidRPr="00AC36C3">
        <w:rPr>
          <w:i/>
          <w:iCs/>
          <w:sz w:val="22"/>
          <w:szCs w:val="22"/>
        </w:rPr>
        <w:t>2018</w:t>
      </w:r>
      <w:r w:rsidRPr="00AC36C3">
        <w:rPr>
          <w:sz w:val="22"/>
          <w:szCs w:val="22"/>
        </w:rPr>
        <w:t xml:space="preserve">  &lt;</w:t>
      </w:r>
      <w:proofErr w:type="gramEnd"/>
      <w:r w:rsidR="009967AA">
        <w:fldChar w:fldCharType="begin"/>
      </w:r>
      <w:r w:rsidR="009967AA">
        <w:instrText xml:space="preserve"> HYPERLINK "https://doi.org/10.1080/17567505.2018.1456721" </w:instrText>
      </w:r>
      <w:r w:rsidR="009967AA">
        <w:fldChar w:fldCharType="separate"/>
      </w:r>
      <w:r w:rsidRPr="00AC36C3">
        <w:rPr>
          <w:rStyle w:val="Hyperlink"/>
          <w:sz w:val="22"/>
          <w:szCs w:val="22"/>
        </w:rPr>
        <w:t>https://doi.org/10.1080/17567505.2018.1456721</w:t>
      </w:r>
      <w:r w:rsidR="009967AA">
        <w:rPr>
          <w:rStyle w:val="Hyperlink"/>
          <w:sz w:val="22"/>
          <w:szCs w:val="22"/>
        </w:rPr>
        <w:fldChar w:fldCharType="end"/>
      </w:r>
      <w:r w:rsidRPr="00AC36C3">
        <w:rPr>
          <w:sz w:val="22"/>
          <w:szCs w:val="22"/>
        </w:rPr>
        <w:t xml:space="preserve">&gt;  </w:t>
      </w:r>
    </w:p>
    <w:p w14:paraId="767E8414" w14:textId="44780F47" w:rsidR="00AC36C3" w:rsidRDefault="00AC36C3" w:rsidP="005E1411">
      <w:pPr>
        <w:spacing w:line="480" w:lineRule="auto"/>
      </w:pPr>
    </w:p>
    <w:p w14:paraId="4CEEEF5C" w14:textId="0700A37B" w:rsidR="00F87C9E" w:rsidRDefault="00F87C9E" w:rsidP="00F87C9E">
      <w:pPr>
        <w:spacing w:line="240" w:lineRule="auto"/>
      </w:pPr>
      <w:proofErr w:type="spellStart"/>
      <w:r>
        <w:t>Creigh</w:t>
      </w:r>
      <w:proofErr w:type="spellEnd"/>
      <w:r>
        <w:t xml:space="preserve"> – </w:t>
      </w:r>
      <w:proofErr w:type="spellStart"/>
      <w:r>
        <w:t>Tyte</w:t>
      </w:r>
      <w:proofErr w:type="spellEnd"/>
      <w:r>
        <w:t xml:space="preserve">, Stephen W., and Joanne Gallimore, ‘The Built Heritage in England: The History and Development of Government Policy’, </w:t>
      </w:r>
      <w:r w:rsidRPr="00534C4D">
        <w:rPr>
          <w:i/>
          <w:iCs/>
        </w:rPr>
        <w:t>Cultural Trends</w:t>
      </w:r>
      <w:r>
        <w:t>, 8:32, 25 – 36, &lt;</w:t>
      </w:r>
      <w:hyperlink r:id="rId14" w:history="1">
        <w:r w:rsidRPr="00327E31">
          <w:rPr>
            <w:rStyle w:val="Hyperlink"/>
          </w:rPr>
          <w:t>https://doi.org/10.1080/09548969809365058</w:t>
        </w:r>
      </w:hyperlink>
      <w:r>
        <w:t>&gt;</w:t>
      </w:r>
    </w:p>
    <w:p w14:paraId="3E8C5DCE" w14:textId="77777777" w:rsidR="00F87C9E" w:rsidRDefault="00F87C9E" w:rsidP="00F87C9E">
      <w:pPr>
        <w:spacing w:line="240" w:lineRule="auto"/>
      </w:pPr>
    </w:p>
    <w:p w14:paraId="2E95B04C" w14:textId="58A76A27" w:rsidR="00774048" w:rsidRPr="00774048" w:rsidRDefault="00774048" w:rsidP="00774048">
      <w:pPr>
        <w:pStyle w:val="FootnoteText"/>
        <w:rPr>
          <w:sz w:val="22"/>
          <w:szCs w:val="22"/>
        </w:rPr>
      </w:pPr>
      <w:proofErr w:type="spellStart"/>
      <w:r w:rsidRPr="00774048">
        <w:rPr>
          <w:sz w:val="22"/>
          <w:szCs w:val="22"/>
        </w:rPr>
        <w:t>Flatman</w:t>
      </w:r>
      <w:proofErr w:type="spellEnd"/>
      <w:r w:rsidRPr="00774048">
        <w:rPr>
          <w:sz w:val="22"/>
          <w:szCs w:val="22"/>
        </w:rPr>
        <w:t xml:space="preserve">, </w:t>
      </w:r>
      <w:r>
        <w:rPr>
          <w:sz w:val="22"/>
          <w:szCs w:val="22"/>
        </w:rPr>
        <w:t xml:space="preserve">Joe, </w:t>
      </w:r>
      <w:r w:rsidRPr="00774048">
        <w:rPr>
          <w:sz w:val="22"/>
          <w:szCs w:val="22"/>
        </w:rPr>
        <w:t xml:space="preserve">‘Identity, Value and Protection: The Role of Statutory Heritage Regimes in Post-Brexit England’ </w:t>
      </w:r>
      <w:r w:rsidRPr="00774048">
        <w:rPr>
          <w:i/>
          <w:iCs/>
          <w:sz w:val="22"/>
          <w:szCs w:val="22"/>
        </w:rPr>
        <w:t>The Historic Environment: Policy and Practice</w:t>
      </w:r>
      <w:r w:rsidRPr="00774048">
        <w:rPr>
          <w:sz w:val="22"/>
          <w:szCs w:val="22"/>
        </w:rPr>
        <w:t>, 8:3,181-187 p.186 &lt;</w:t>
      </w:r>
      <w:hyperlink r:id="rId15" w:history="1">
        <w:r w:rsidRPr="00774048">
          <w:rPr>
            <w:rStyle w:val="Hyperlink"/>
            <w:sz w:val="22"/>
            <w:szCs w:val="22"/>
          </w:rPr>
          <w:t>https://doi.org/10.1080/17567505.2017.138318</w:t>
        </w:r>
      </w:hyperlink>
      <w:r w:rsidRPr="00774048">
        <w:rPr>
          <w:sz w:val="22"/>
          <w:szCs w:val="22"/>
        </w:rPr>
        <w:t xml:space="preserve">&gt; </w:t>
      </w:r>
    </w:p>
    <w:p w14:paraId="75F64C58" w14:textId="417EA2AC" w:rsidR="00774048" w:rsidRDefault="00774048" w:rsidP="005E1411">
      <w:pPr>
        <w:spacing w:line="480" w:lineRule="auto"/>
      </w:pPr>
    </w:p>
    <w:p w14:paraId="32338A6F" w14:textId="5B7C2F5B" w:rsidR="005F65A2" w:rsidRDefault="005F65A2" w:rsidP="00940F84">
      <w:pPr>
        <w:spacing w:line="240" w:lineRule="auto"/>
      </w:pPr>
      <w:proofErr w:type="spellStart"/>
      <w:r>
        <w:t>Mawrey</w:t>
      </w:r>
      <w:proofErr w:type="spellEnd"/>
      <w:r>
        <w:t xml:space="preserve">, Richard, ‘Heritage figures’, </w:t>
      </w:r>
      <w:r w:rsidRPr="005F65A2">
        <w:rPr>
          <w:i/>
          <w:iCs/>
        </w:rPr>
        <w:t>Historic Gardens Review</w:t>
      </w:r>
      <w:r>
        <w:t>, December 2015 – January 2016, No. 33, 6-8 &lt;</w:t>
      </w:r>
      <w:hyperlink r:id="rId16" w:history="1">
        <w:r w:rsidRPr="009652A5">
          <w:rPr>
            <w:rStyle w:val="Hyperlink"/>
          </w:rPr>
          <w:t>https://www.jstor.org/stable/44790117</w:t>
        </w:r>
      </w:hyperlink>
      <w:r>
        <w:t xml:space="preserve">&gt; [accessed </w:t>
      </w:r>
      <w:r w:rsidR="00940F84">
        <w:t>13 April 2022]</w:t>
      </w:r>
      <w:r>
        <w:t xml:space="preserve"> </w:t>
      </w:r>
    </w:p>
    <w:p w14:paraId="4631A9FA" w14:textId="77777777" w:rsidR="00940F84" w:rsidRDefault="00940F84" w:rsidP="00940F84">
      <w:pPr>
        <w:spacing w:line="240" w:lineRule="auto"/>
      </w:pPr>
    </w:p>
    <w:p w14:paraId="0819FCFE" w14:textId="452BCA01" w:rsidR="0041310C" w:rsidRPr="0041310C" w:rsidRDefault="0041310C" w:rsidP="0041310C">
      <w:pPr>
        <w:pStyle w:val="FootnoteText"/>
        <w:rPr>
          <w:sz w:val="22"/>
          <w:szCs w:val="22"/>
        </w:rPr>
      </w:pPr>
      <w:r>
        <w:t>‘</w:t>
      </w:r>
      <w:r w:rsidRPr="0041310C">
        <w:rPr>
          <w:sz w:val="22"/>
          <w:szCs w:val="22"/>
        </w:rPr>
        <w:t xml:space="preserve">National Bodies: </w:t>
      </w:r>
      <w:proofErr w:type="spellStart"/>
      <w:r w:rsidRPr="0041310C">
        <w:rPr>
          <w:sz w:val="22"/>
          <w:szCs w:val="22"/>
        </w:rPr>
        <w:t>Wales’</w:t>
      </w:r>
      <w:proofErr w:type="spellEnd"/>
      <w:r w:rsidRPr="0041310C">
        <w:rPr>
          <w:sz w:val="22"/>
          <w:szCs w:val="22"/>
        </w:rPr>
        <w:t xml:space="preserve"> </w:t>
      </w:r>
      <w:r w:rsidRPr="0041310C">
        <w:rPr>
          <w:i/>
          <w:iCs/>
          <w:sz w:val="22"/>
          <w:szCs w:val="22"/>
        </w:rPr>
        <w:t>Building Conservation</w:t>
      </w:r>
      <w:r w:rsidRPr="0041310C">
        <w:rPr>
          <w:sz w:val="22"/>
          <w:szCs w:val="22"/>
        </w:rPr>
        <w:t xml:space="preserve"> &lt;</w:t>
      </w:r>
      <w:hyperlink r:id="rId17" w:history="1">
        <w:r w:rsidRPr="0041310C">
          <w:rPr>
            <w:rStyle w:val="Hyperlink"/>
            <w:sz w:val="22"/>
            <w:szCs w:val="22"/>
          </w:rPr>
          <w:t xml:space="preserve">https://www.buildingconservation.co./directory/ </w:t>
        </w:r>
        <w:proofErr w:type="spellStart"/>
        <w:r w:rsidRPr="0041310C">
          <w:rPr>
            <w:rStyle w:val="Hyperlink"/>
            <w:sz w:val="22"/>
            <w:szCs w:val="22"/>
          </w:rPr>
          <w:t>prodlist.php?category</w:t>
        </w:r>
        <w:proofErr w:type="spellEnd"/>
        <w:r w:rsidRPr="0041310C">
          <w:rPr>
            <w:rStyle w:val="Hyperlink"/>
            <w:sz w:val="22"/>
            <w:szCs w:val="22"/>
          </w:rPr>
          <w:t>=National+bodies%3A+Wales</w:t>
        </w:r>
      </w:hyperlink>
      <w:proofErr w:type="gramStart"/>
      <w:r w:rsidRPr="0041310C">
        <w:rPr>
          <w:sz w:val="22"/>
          <w:szCs w:val="22"/>
        </w:rPr>
        <w:t>&gt;  [</w:t>
      </w:r>
      <w:proofErr w:type="gramEnd"/>
      <w:r w:rsidRPr="0041310C">
        <w:rPr>
          <w:sz w:val="22"/>
          <w:szCs w:val="22"/>
        </w:rPr>
        <w:t>accessed 28 April 2022]</w:t>
      </w:r>
    </w:p>
    <w:p w14:paraId="272BC0CA" w14:textId="77777777" w:rsidR="0041310C" w:rsidRDefault="0041310C" w:rsidP="005E1411">
      <w:pPr>
        <w:spacing w:line="480" w:lineRule="auto"/>
      </w:pPr>
    </w:p>
    <w:p w14:paraId="0A9EF8E8" w14:textId="16DA17B1" w:rsidR="008F3223" w:rsidRDefault="008F3223" w:rsidP="008F3223">
      <w:pPr>
        <w:pStyle w:val="FootnoteText"/>
        <w:rPr>
          <w:sz w:val="22"/>
          <w:szCs w:val="22"/>
        </w:rPr>
      </w:pPr>
      <w:r w:rsidRPr="008F3223">
        <w:rPr>
          <w:sz w:val="22"/>
          <w:szCs w:val="22"/>
        </w:rPr>
        <w:t xml:space="preserve">Taylor, </w:t>
      </w:r>
      <w:r>
        <w:rPr>
          <w:sz w:val="22"/>
          <w:szCs w:val="22"/>
        </w:rPr>
        <w:t xml:space="preserve">Johnathan, </w:t>
      </w:r>
      <w:r w:rsidRPr="008F3223">
        <w:rPr>
          <w:sz w:val="22"/>
          <w:szCs w:val="22"/>
        </w:rPr>
        <w:t xml:space="preserve">‘The National Heritage bodies’, </w:t>
      </w:r>
      <w:r w:rsidRPr="008F3223">
        <w:rPr>
          <w:i/>
          <w:iCs/>
          <w:sz w:val="22"/>
          <w:szCs w:val="22"/>
        </w:rPr>
        <w:t>Building Conservation</w:t>
      </w:r>
      <w:r w:rsidRPr="008F3223">
        <w:rPr>
          <w:sz w:val="22"/>
          <w:szCs w:val="22"/>
        </w:rPr>
        <w:t xml:space="preserve"> &lt;</w:t>
      </w:r>
      <w:hyperlink r:id="rId18" w:history="1">
        <w:r w:rsidRPr="008F3223">
          <w:rPr>
            <w:rStyle w:val="Hyperlink"/>
            <w:sz w:val="22"/>
            <w:szCs w:val="22"/>
          </w:rPr>
          <w:t>https://buildingconservation.com.articles/national-heritage-bodies/national-heritage-bodies.htm</w:t>
        </w:r>
      </w:hyperlink>
      <w:r w:rsidRPr="008F3223">
        <w:rPr>
          <w:sz w:val="22"/>
          <w:szCs w:val="22"/>
        </w:rPr>
        <w:t xml:space="preserve">&gt; [accessed 3 April 2022] </w:t>
      </w:r>
    </w:p>
    <w:p w14:paraId="47CBA9FB" w14:textId="6B44E35D" w:rsidR="00A15B09" w:rsidRDefault="00A15B09" w:rsidP="008F3223">
      <w:pPr>
        <w:pStyle w:val="FootnoteText"/>
        <w:rPr>
          <w:sz w:val="22"/>
          <w:szCs w:val="22"/>
        </w:rPr>
      </w:pPr>
    </w:p>
    <w:p w14:paraId="6BA23932" w14:textId="77777777" w:rsidR="00A15B09" w:rsidRDefault="00A15B09" w:rsidP="00A15B09">
      <w:pPr>
        <w:pStyle w:val="FootnoteText"/>
        <w:rPr>
          <w:sz w:val="22"/>
          <w:szCs w:val="22"/>
        </w:rPr>
      </w:pPr>
    </w:p>
    <w:p w14:paraId="62C444DE" w14:textId="3A6C6DAE" w:rsidR="00A15B09" w:rsidRDefault="00A15B09" w:rsidP="00A15B09">
      <w:pPr>
        <w:pStyle w:val="FootnoteText"/>
        <w:rPr>
          <w:sz w:val="22"/>
          <w:szCs w:val="22"/>
        </w:rPr>
      </w:pPr>
      <w:r w:rsidRPr="00A15B09">
        <w:rPr>
          <w:sz w:val="22"/>
          <w:szCs w:val="22"/>
        </w:rPr>
        <w:t>Waterton</w:t>
      </w:r>
      <w:r>
        <w:rPr>
          <w:sz w:val="22"/>
          <w:szCs w:val="22"/>
        </w:rPr>
        <w:t>, Emma,</w:t>
      </w:r>
      <w:r w:rsidRPr="00A15B09">
        <w:rPr>
          <w:sz w:val="22"/>
          <w:szCs w:val="22"/>
        </w:rPr>
        <w:t xml:space="preserve"> and </w:t>
      </w:r>
      <w:proofErr w:type="spellStart"/>
      <w:r w:rsidRPr="00A15B09">
        <w:rPr>
          <w:sz w:val="22"/>
          <w:szCs w:val="22"/>
        </w:rPr>
        <w:t>Laurajane</w:t>
      </w:r>
      <w:proofErr w:type="spellEnd"/>
      <w:r w:rsidRPr="00A15B09">
        <w:rPr>
          <w:sz w:val="22"/>
          <w:szCs w:val="22"/>
        </w:rPr>
        <w:t xml:space="preserve"> Smith, ‘Heritage Protection in the Twenty First Century’, </w:t>
      </w:r>
      <w:r w:rsidRPr="00A15B09">
        <w:rPr>
          <w:i/>
          <w:iCs/>
          <w:sz w:val="22"/>
          <w:szCs w:val="22"/>
        </w:rPr>
        <w:t>Cultural Trends,</w:t>
      </w:r>
      <w:r w:rsidRPr="00A15B09">
        <w:rPr>
          <w:sz w:val="22"/>
          <w:szCs w:val="22"/>
        </w:rPr>
        <w:t xml:space="preserve"> Vol.17, No 3, September 2008, 197-203 (p.197) &lt;</w:t>
      </w:r>
      <w:hyperlink r:id="rId19" w:history="1">
        <w:r w:rsidRPr="00A15B09">
          <w:rPr>
            <w:rStyle w:val="Hyperlink"/>
            <w:sz w:val="22"/>
            <w:szCs w:val="22"/>
          </w:rPr>
          <w:t>http://dx.doi.org/10.1080/09548960802362157</w:t>
        </w:r>
      </w:hyperlink>
      <w:r w:rsidRPr="00A15B09">
        <w:rPr>
          <w:sz w:val="22"/>
          <w:szCs w:val="22"/>
        </w:rPr>
        <w:t>&gt;</w:t>
      </w:r>
    </w:p>
    <w:p w14:paraId="6CB887FF" w14:textId="77777777" w:rsidR="00420C49" w:rsidRPr="00A15B09" w:rsidRDefault="00420C49" w:rsidP="00A15B09">
      <w:pPr>
        <w:pStyle w:val="FootnoteText"/>
        <w:rPr>
          <w:sz w:val="22"/>
          <w:szCs w:val="22"/>
        </w:rPr>
      </w:pPr>
    </w:p>
    <w:p w14:paraId="4CD3572D" w14:textId="1154BB2D" w:rsidR="00A15B09" w:rsidRDefault="00A15B09" w:rsidP="008F3223">
      <w:pPr>
        <w:pStyle w:val="FootnoteText"/>
        <w:rPr>
          <w:sz w:val="22"/>
          <w:szCs w:val="22"/>
        </w:rPr>
      </w:pPr>
    </w:p>
    <w:p w14:paraId="7A9D5608" w14:textId="3D77AC3E" w:rsidR="00420C49" w:rsidRDefault="00420C49" w:rsidP="008F3223">
      <w:pPr>
        <w:pStyle w:val="FootnoteText"/>
        <w:rPr>
          <w:b/>
          <w:bCs/>
          <w:sz w:val="22"/>
          <w:szCs w:val="22"/>
        </w:rPr>
      </w:pPr>
      <w:r w:rsidRPr="00420C49">
        <w:rPr>
          <w:b/>
          <w:bCs/>
          <w:sz w:val="22"/>
          <w:szCs w:val="22"/>
        </w:rPr>
        <w:t>Online/Website</w:t>
      </w:r>
    </w:p>
    <w:p w14:paraId="3317AD53" w14:textId="2E612B16" w:rsidR="00495E1C" w:rsidRDefault="00495E1C" w:rsidP="008F3223">
      <w:pPr>
        <w:pStyle w:val="FootnoteText"/>
        <w:rPr>
          <w:b/>
          <w:bCs/>
          <w:sz w:val="22"/>
          <w:szCs w:val="22"/>
        </w:rPr>
      </w:pPr>
    </w:p>
    <w:p w14:paraId="60BEADFA" w14:textId="188F034F" w:rsidR="00495E1C" w:rsidRPr="00495E1C" w:rsidRDefault="00495E1C" w:rsidP="008F3223">
      <w:pPr>
        <w:pStyle w:val="FootnoteText"/>
        <w:rPr>
          <w:b/>
          <w:bCs/>
          <w:sz w:val="22"/>
          <w:szCs w:val="22"/>
        </w:rPr>
      </w:pPr>
      <w:proofErr w:type="spellStart"/>
      <w:r w:rsidRPr="00495E1C">
        <w:rPr>
          <w:i/>
          <w:iCs/>
          <w:sz w:val="22"/>
          <w:szCs w:val="22"/>
        </w:rPr>
        <w:t>C</w:t>
      </w:r>
      <w:r w:rsidR="005F65A2">
        <w:rPr>
          <w:i/>
          <w:iCs/>
          <w:sz w:val="22"/>
          <w:szCs w:val="22"/>
        </w:rPr>
        <w:t>adw</w:t>
      </w:r>
      <w:proofErr w:type="spellEnd"/>
      <w:r w:rsidRPr="00495E1C">
        <w:rPr>
          <w:sz w:val="22"/>
          <w:szCs w:val="22"/>
        </w:rPr>
        <w:t>, &lt;</w:t>
      </w:r>
      <w:hyperlink r:id="rId20" w:history="1">
        <w:r w:rsidRPr="00495E1C">
          <w:rPr>
            <w:rStyle w:val="Hyperlink"/>
            <w:sz w:val="22"/>
            <w:szCs w:val="22"/>
          </w:rPr>
          <w:t>https://cadw.gov.wales/sites/default/files/2021-06/introducing%20CadwEnglish%20WEB%20-%updated%20June%202021.pdf</w:t>
        </w:r>
      </w:hyperlink>
      <w:r w:rsidRPr="00495E1C">
        <w:rPr>
          <w:sz w:val="22"/>
          <w:szCs w:val="22"/>
        </w:rPr>
        <w:t>&gt; [accessed 4 April 2022]</w:t>
      </w:r>
    </w:p>
    <w:p w14:paraId="6CC398AF" w14:textId="26C556A8" w:rsidR="00195948" w:rsidRDefault="00195948" w:rsidP="008F3223">
      <w:pPr>
        <w:pStyle w:val="FootnoteText"/>
        <w:rPr>
          <w:b/>
          <w:bCs/>
          <w:sz w:val="22"/>
          <w:szCs w:val="22"/>
        </w:rPr>
      </w:pPr>
    </w:p>
    <w:p w14:paraId="7B9A1FDA" w14:textId="46CC390C" w:rsidR="00195948" w:rsidRDefault="00195948" w:rsidP="008F3223">
      <w:pPr>
        <w:pStyle w:val="FootnoteText"/>
        <w:rPr>
          <w:sz w:val="22"/>
          <w:szCs w:val="22"/>
        </w:rPr>
      </w:pPr>
      <w:r w:rsidRPr="00195948">
        <w:rPr>
          <w:sz w:val="22"/>
          <w:szCs w:val="22"/>
        </w:rPr>
        <w:t>Discovering Old Welsh Houses &lt;</w:t>
      </w:r>
      <w:hyperlink r:id="rId21" w:history="1">
        <w:r w:rsidRPr="00195948">
          <w:rPr>
            <w:rStyle w:val="Hyperlink"/>
            <w:sz w:val="22"/>
            <w:szCs w:val="22"/>
          </w:rPr>
          <w:t>https://discoveringoldwelshhouses.co.uk/</w:t>
        </w:r>
      </w:hyperlink>
      <w:r w:rsidRPr="00195948">
        <w:rPr>
          <w:sz w:val="22"/>
          <w:szCs w:val="22"/>
        </w:rPr>
        <w:t>&gt; [accessed 29 April 2022]</w:t>
      </w:r>
    </w:p>
    <w:p w14:paraId="23B5611F" w14:textId="005B9AFD" w:rsidR="00AA333F" w:rsidRDefault="00AA333F" w:rsidP="008F3223">
      <w:pPr>
        <w:pStyle w:val="FootnoteText"/>
        <w:rPr>
          <w:sz w:val="22"/>
          <w:szCs w:val="22"/>
        </w:rPr>
      </w:pPr>
    </w:p>
    <w:p w14:paraId="649B63FF" w14:textId="77777777" w:rsidR="00AA333F" w:rsidRPr="00AA333F" w:rsidRDefault="00AA333F" w:rsidP="00AA333F">
      <w:pPr>
        <w:pStyle w:val="FootnoteText"/>
        <w:rPr>
          <w:sz w:val="22"/>
          <w:szCs w:val="22"/>
        </w:rPr>
      </w:pPr>
      <w:r w:rsidRPr="00AA333F">
        <w:rPr>
          <w:sz w:val="22"/>
          <w:szCs w:val="22"/>
        </w:rPr>
        <w:t xml:space="preserve">‘English Heritage has Changed’, </w:t>
      </w:r>
      <w:r w:rsidRPr="00AA333F">
        <w:rPr>
          <w:i/>
          <w:iCs/>
          <w:sz w:val="22"/>
          <w:szCs w:val="22"/>
        </w:rPr>
        <w:t>English Heritage</w:t>
      </w:r>
      <w:r w:rsidRPr="00AA333F">
        <w:rPr>
          <w:sz w:val="22"/>
          <w:szCs w:val="22"/>
        </w:rPr>
        <w:t xml:space="preserve"> &lt;</w:t>
      </w:r>
      <w:hyperlink r:id="rId22" w:history="1">
        <w:r w:rsidRPr="00AA333F">
          <w:rPr>
            <w:rStyle w:val="Hyperlink"/>
            <w:sz w:val="22"/>
            <w:szCs w:val="22"/>
          </w:rPr>
          <w:t>https://www.english-heritage.org.uk/about-us/search-news/english-heritage-has-changed/</w:t>
        </w:r>
      </w:hyperlink>
      <w:r w:rsidRPr="00AA333F">
        <w:rPr>
          <w:sz w:val="22"/>
          <w:szCs w:val="22"/>
        </w:rPr>
        <w:t>&gt; [accessed 28 April 2022]</w:t>
      </w:r>
    </w:p>
    <w:p w14:paraId="55557C47" w14:textId="77777777" w:rsidR="00AA333F" w:rsidRPr="00AA333F" w:rsidRDefault="00AA333F" w:rsidP="008F3223">
      <w:pPr>
        <w:pStyle w:val="FootnoteText"/>
        <w:rPr>
          <w:sz w:val="22"/>
          <w:szCs w:val="22"/>
        </w:rPr>
      </w:pPr>
    </w:p>
    <w:p w14:paraId="3670F737" w14:textId="26C8CD20" w:rsidR="00097189" w:rsidRDefault="00097189" w:rsidP="008F3223">
      <w:pPr>
        <w:pStyle w:val="FootnoteText"/>
        <w:rPr>
          <w:sz w:val="22"/>
          <w:szCs w:val="22"/>
        </w:rPr>
      </w:pPr>
    </w:p>
    <w:p w14:paraId="00721DCB" w14:textId="77777777" w:rsidR="00097189" w:rsidRPr="00195948" w:rsidRDefault="00097189" w:rsidP="008F3223">
      <w:pPr>
        <w:pStyle w:val="FootnoteText"/>
        <w:rPr>
          <w:b/>
          <w:bCs/>
          <w:sz w:val="22"/>
          <w:szCs w:val="22"/>
        </w:rPr>
      </w:pPr>
    </w:p>
    <w:p w14:paraId="3C8E2EA8" w14:textId="77777777" w:rsidR="00AB734A" w:rsidRDefault="00097189" w:rsidP="00097189">
      <w:pPr>
        <w:pStyle w:val="FootnoteText"/>
        <w:rPr>
          <w:sz w:val="22"/>
          <w:szCs w:val="22"/>
        </w:rPr>
      </w:pPr>
      <w:r w:rsidRPr="00097189">
        <w:rPr>
          <w:sz w:val="22"/>
          <w:szCs w:val="22"/>
        </w:rPr>
        <w:t xml:space="preserve">‘Explanatory Memorandum to The Charities (National Trust) Order 2005’, </w:t>
      </w:r>
      <w:r w:rsidRPr="00097189">
        <w:rPr>
          <w:i/>
          <w:iCs/>
          <w:sz w:val="22"/>
          <w:szCs w:val="22"/>
        </w:rPr>
        <w:t>Legislation.gov.uk</w:t>
      </w:r>
      <w:r w:rsidRPr="00097189">
        <w:rPr>
          <w:sz w:val="22"/>
          <w:szCs w:val="22"/>
        </w:rPr>
        <w:t xml:space="preserve"> &lt;</w:t>
      </w:r>
      <w:hyperlink r:id="rId23" w:history="1">
        <w:r w:rsidRPr="00097189">
          <w:rPr>
            <w:rStyle w:val="Hyperlink"/>
            <w:sz w:val="22"/>
            <w:szCs w:val="22"/>
          </w:rPr>
          <w:t>https://www.legislation.gov.uk/uksi/2005/712/pdfs/uksiem_20050712_en.pdf</w:t>
        </w:r>
      </w:hyperlink>
      <w:r w:rsidRPr="00097189">
        <w:rPr>
          <w:sz w:val="22"/>
          <w:szCs w:val="22"/>
        </w:rPr>
        <w:t xml:space="preserve">&gt; [accessed 29April </w:t>
      </w:r>
    </w:p>
    <w:p w14:paraId="129B059B" w14:textId="38374CE8" w:rsidR="00097189" w:rsidRPr="00097189" w:rsidRDefault="00097189" w:rsidP="00097189">
      <w:pPr>
        <w:pStyle w:val="FootnoteText"/>
        <w:rPr>
          <w:sz w:val="22"/>
          <w:szCs w:val="22"/>
        </w:rPr>
      </w:pPr>
      <w:r w:rsidRPr="00097189">
        <w:rPr>
          <w:sz w:val="22"/>
          <w:szCs w:val="22"/>
        </w:rPr>
        <w:t xml:space="preserve">2022] </w:t>
      </w:r>
    </w:p>
    <w:p w14:paraId="7274C8F1" w14:textId="77777777" w:rsidR="00AB734A" w:rsidRPr="00420C49" w:rsidRDefault="00AB734A" w:rsidP="008F3223">
      <w:pPr>
        <w:pStyle w:val="FootnoteText"/>
        <w:rPr>
          <w:b/>
          <w:bCs/>
          <w:sz w:val="22"/>
          <w:szCs w:val="22"/>
        </w:rPr>
      </w:pPr>
    </w:p>
    <w:p w14:paraId="40C002AD" w14:textId="7AAD6AE3" w:rsidR="00655B95" w:rsidRDefault="00655B95" w:rsidP="00655B95">
      <w:pPr>
        <w:pStyle w:val="FootnoteText"/>
        <w:rPr>
          <w:sz w:val="22"/>
          <w:szCs w:val="22"/>
        </w:rPr>
      </w:pPr>
      <w:r w:rsidRPr="00655B95">
        <w:rPr>
          <w:sz w:val="22"/>
          <w:szCs w:val="22"/>
        </w:rPr>
        <w:t xml:space="preserve">Heritage Protection for the Twenty first Century’, </w:t>
      </w:r>
      <w:proofErr w:type="gramStart"/>
      <w:r w:rsidRPr="00655B95">
        <w:rPr>
          <w:i/>
          <w:iCs/>
          <w:sz w:val="22"/>
          <w:szCs w:val="22"/>
        </w:rPr>
        <w:t>Gov.UK</w:t>
      </w:r>
      <w:r w:rsidRPr="00655B95">
        <w:rPr>
          <w:sz w:val="22"/>
          <w:szCs w:val="22"/>
        </w:rPr>
        <w:t xml:space="preserve">  &lt;</w:t>
      </w:r>
      <w:proofErr w:type="gramEnd"/>
      <w:r w:rsidR="009967AA">
        <w:fldChar w:fldCharType="begin"/>
      </w:r>
      <w:r w:rsidR="009967AA">
        <w:instrText xml:space="preserve"> HYPERLINK "https://www.gov.uk/government/publications/heritage-protection-for-the-21st-century-white-paper" </w:instrText>
      </w:r>
      <w:r w:rsidR="009967AA">
        <w:fldChar w:fldCharType="separate"/>
      </w:r>
      <w:r w:rsidRPr="00655B95">
        <w:rPr>
          <w:rStyle w:val="Hyperlink"/>
          <w:sz w:val="22"/>
          <w:szCs w:val="22"/>
        </w:rPr>
        <w:t>https://www.gov.uk/government/publications/heritage-protection-for-the-21st-century-white-paper</w:t>
      </w:r>
      <w:r w:rsidR="009967AA">
        <w:rPr>
          <w:rStyle w:val="Hyperlink"/>
          <w:sz w:val="22"/>
          <w:szCs w:val="22"/>
        </w:rPr>
        <w:fldChar w:fldCharType="end"/>
      </w:r>
      <w:r w:rsidRPr="00655B95">
        <w:rPr>
          <w:sz w:val="22"/>
          <w:szCs w:val="22"/>
        </w:rPr>
        <w:t xml:space="preserve">&gt; [accessed 22 April 2022] </w:t>
      </w:r>
    </w:p>
    <w:p w14:paraId="69EA7788" w14:textId="62F879FD" w:rsidR="00AB734A" w:rsidRDefault="00AB734A" w:rsidP="00655B95">
      <w:pPr>
        <w:pStyle w:val="FootnoteText"/>
        <w:rPr>
          <w:sz w:val="22"/>
          <w:szCs w:val="22"/>
        </w:rPr>
      </w:pPr>
    </w:p>
    <w:p w14:paraId="716CDA17" w14:textId="5487E629" w:rsidR="00AB734A" w:rsidRPr="00AB734A" w:rsidRDefault="00AB734A" w:rsidP="00655B95">
      <w:pPr>
        <w:pStyle w:val="FootnoteText"/>
        <w:rPr>
          <w:sz w:val="22"/>
          <w:szCs w:val="22"/>
        </w:rPr>
      </w:pPr>
      <w:r w:rsidRPr="00AB734A">
        <w:rPr>
          <w:sz w:val="22"/>
          <w:szCs w:val="22"/>
        </w:rPr>
        <w:t xml:space="preserve">‘Historic Buildings and Ancient monuments Act 1953,’ </w:t>
      </w:r>
      <w:r w:rsidRPr="00AB734A">
        <w:rPr>
          <w:i/>
          <w:iCs/>
          <w:sz w:val="22"/>
          <w:szCs w:val="22"/>
        </w:rPr>
        <w:t>Legislation.gov.uk</w:t>
      </w:r>
      <w:r w:rsidRPr="00AB734A">
        <w:rPr>
          <w:sz w:val="22"/>
          <w:szCs w:val="22"/>
        </w:rPr>
        <w:t xml:space="preserve"> &lt;</w:t>
      </w:r>
      <w:hyperlink r:id="rId24" w:history="1">
        <w:r w:rsidRPr="00AB734A">
          <w:rPr>
            <w:rStyle w:val="Hyperlink"/>
            <w:sz w:val="22"/>
            <w:szCs w:val="22"/>
          </w:rPr>
          <w:t>https://www.legislation.gov.uk/uk/ukpga/Eliz2/1-2/49/introduction/enacted</w:t>
        </w:r>
      </w:hyperlink>
      <w:r w:rsidRPr="00AB734A">
        <w:rPr>
          <w:sz w:val="22"/>
          <w:szCs w:val="22"/>
        </w:rPr>
        <w:t>&gt; [accessed 3 April 2022]</w:t>
      </w:r>
    </w:p>
    <w:p w14:paraId="24D128F2" w14:textId="47509D44" w:rsidR="00195948" w:rsidRDefault="00195948" w:rsidP="00655B95">
      <w:pPr>
        <w:pStyle w:val="FootnoteText"/>
        <w:rPr>
          <w:sz w:val="22"/>
          <w:szCs w:val="22"/>
        </w:rPr>
      </w:pPr>
    </w:p>
    <w:p w14:paraId="710A677D" w14:textId="77777777" w:rsidR="00EB254B" w:rsidRPr="00EB254B" w:rsidRDefault="00EB254B" w:rsidP="00EB254B">
      <w:pPr>
        <w:pStyle w:val="FootnoteText"/>
        <w:rPr>
          <w:sz w:val="22"/>
          <w:szCs w:val="22"/>
        </w:rPr>
      </w:pPr>
      <w:r w:rsidRPr="00EB254B">
        <w:rPr>
          <w:sz w:val="22"/>
          <w:szCs w:val="22"/>
        </w:rPr>
        <w:t xml:space="preserve">‘Historic England Library’, </w:t>
      </w:r>
      <w:r w:rsidRPr="00EB254B">
        <w:rPr>
          <w:i/>
          <w:iCs/>
          <w:sz w:val="22"/>
          <w:szCs w:val="22"/>
        </w:rPr>
        <w:t>Historic England</w:t>
      </w:r>
      <w:r w:rsidRPr="00EB254B">
        <w:rPr>
          <w:sz w:val="22"/>
          <w:szCs w:val="22"/>
        </w:rPr>
        <w:t xml:space="preserve"> &lt;</w:t>
      </w:r>
      <w:hyperlink r:id="rId25" w:history="1">
        <w:r w:rsidRPr="00EB254B">
          <w:rPr>
            <w:rStyle w:val="Hyperlink"/>
            <w:sz w:val="22"/>
            <w:szCs w:val="22"/>
          </w:rPr>
          <w:t>https://historicengland.org.uk/images-books/archive/library/</w:t>
        </w:r>
      </w:hyperlink>
      <w:r w:rsidRPr="00EB254B">
        <w:rPr>
          <w:sz w:val="22"/>
          <w:szCs w:val="22"/>
        </w:rPr>
        <w:t xml:space="preserve">&gt; [accessed 28 April 2022] </w:t>
      </w:r>
    </w:p>
    <w:p w14:paraId="7AAE029B" w14:textId="454EBC43" w:rsidR="00EB254B" w:rsidRDefault="00EB254B" w:rsidP="00655B95">
      <w:pPr>
        <w:pStyle w:val="FootnoteText"/>
        <w:rPr>
          <w:sz w:val="22"/>
          <w:szCs w:val="22"/>
        </w:rPr>
      </w:pPr>
    </w:p>
    <w:p w14:paraId="78993319" w14:textId="284A4157" w:rsidR="000171C4" w:rsidRDefault="000171C4" w:rsidP="00655B95">
      <w:pPr>
        <w:pStyle w:val="FootnoteText"/>
        <w:rPr>
          <w:sz w:val="22"/>
          <w:szCs w:val="22"/>
        </w:rPr>
      </w:pPr>
    </w:p>
    <w:p w14:paraId="43B978CD" w14:textId="7AB3D924" w:rsidR="000171C4" w:rsidRPr="000171C4" w:rsidRDefault="000171C4" w:rsidP="00655B95">
      <w:pPr>
        <w:pStyle w:val="FootnoteText"/>
        <w:rPr>
          <w:sz w:val="22"/>
          <w:szCs w:val="22"/>
        </w:rPr>
      </w:pPr>
      <w:r w:rsidRPr="000171C4">
        <w:rPr>
          <w:sz w:val="22"/>
          <w:szCs w:val="22"/>
        </w:rPr>
        <w:t>‘Historic Environment Records’,</w:t>
      </w:r>
      <w:r w:rsidRPr="000171C4">
        <w:rPr>
          <w:i/>
          <w:iCs/>
          <w:sz w:val="22"/>
          <w:szCs w:val="22"/>
        </w:rPr>
        <w:t xml:space="preserve"> CADW</w:t>
      </w:r>
      <w:r w:rsidRPr="000171C4">
        <w:rPr>
          <w:sz w:val="22"/>
          <w:szCs w:val="22"/>
        </w:rPr>
        <w:t xml:space="preserve"> &lt;</w:t>
      </w:r>
      <w:hyperlink r:id="rId26" w:history="1">
        <w:r w:rsidRPr="000171C4">
          <w:rPr>
            <w:rStyle w:val="Hyperlink"/>
            <w:sz w:val="22"/>
            <w:szCs w:val="22"/>
          </w:rPr>
          <w:t>https://cadw.gov.wales/advice -support/placemaking/legislation-and-guidance/historic-environment-records</w:t>
        </w:r>
      </w:hyperlink>
      <w:r w:rsidRPr="000171C4">
        <w:rPr>
          <w:sz w:val="22"/>
          <w:szCs w:val="22"/>
        </w:rPr>
        <w:t>&gt; [accessed 22 April 2022]</w:t>
      </w:r>
    </w:p>
    <w:p w14:paraId="5D691B37" w14:textId="77777777" w:rsidR="000171C4" w:rsidRPr="00655B95" w:rsidRDefault="000171C4" w:rsidP="00655B95">
      <w:pPr>
        <w:pStyle w:val="FootnoteText"/>
        <w:rPr>
          <w:sz w:val="22"/>
          <w:szCs w:val="22"/>
        </w:rPr>
      </w:pPr>
    </w:p>
    <w:p w14:paraId="066516BB" w14:textId="7BABB086" w:rsidR="00195948" w:rsidRDefault="00195948" w:rsidP="00195948">
      <w:pPr>
        <w:pStyle w:val="FootnoteText"/>
        <w:rPr>
          <w:sz w:val="22"/>
          <w:szCs w:val="22"/>
        </w:rPr>
      </w:pPr>
      <w:r w:rsidRPr="00195948">
        <w:rPr>
          <w:sz w:val="22"/>
          <w:szCs w:val="22"/>
        </w:rPr>
        <w:t xml:space="preserve">Historic Environment (Wales) Act 2016, </w:t>
      </w:r>
      <w:r w:rsidRPr="00195948">
        <w:rPr>
          <w:i/>
          <w:iCs/>
          <w:sz w:val="22"/>
          <w:szCs w:val="22"/>
        </w:rPr>
        <w:t>Acts of the National Assembly for Wales</w:t>
      </w:r>
      <w:r w:rsidRPr="00195948">
        <w:rPr>
          <w:sz w:val="22"/>
          <w:szCs w:val="22"/>
        </w:rPr>
        <w:t xml:space="preserve"> &lt;</w:t>
      </w:r>
      <w:hyperlink r:id="rId27" w:history="1">
        <w:r w:rsidRPr="00195948">
          <w:rPr>
            <w:rStyle w:val="Hyperlink"/>
            <w:sz w:val="22"/>
            <w:szCs w:val="22"/>
          </w:rPr>
          <w:t>https://www.legislation.gov.uk/anaw/2016/4/section/1</w:t>
        </w:r>
      </w:hyperlink>
      <w:r w:rsidRPr="00195948">
        <w:rPr>
          <w:sz w:val="22"/>
          <w:szCs w:val="22"/>
        </w:rPr>
        <w:t>&gt; [accessed 7 April 2022]</w:t>
      </w:r>
    </w:p>
    <w:p w14:paraId="049FF779" w14:textId="07E59AED" w:rsidR="00F02154" w:rsidRDefault="00F02154" w:rsidP="00195948">
      <w:pPr>
        <w:pStyle w:val="FootnoteText"/>
        <w:rPr>
          <w:sz w:val="22"/>
          <w:szCs w:val="22"/>
        </w:rPr>
      </w:pPr>
    </w:p>
    <w:p w14:paraId="0E7531E5" w14:textId="77777777" w:rsidR="00F02154" w:rsidRDefault="00F02154" w:rsidP="00195948">
      <w:pPr>
        <w:pStyle w:val="FootnoteText"/>
        <w:rPr>
          <w:sz w:val="22"/>
          <w:szCs w:val="22"/>
        </w:rPr>
      </w:pPr>
    </w:p>
    <w:p w14:paraId="4107CFB8" w14:textId="6F5F9344" w:rsidR="00F02154" w:rsidRDefault="00F02154" w:rsidP="00F02154">
      <w:pPr>
        <w:pStyle w:val="FootnoteText"/>
        <w:rPr>
          <w:sz w:val="22"/>
          <w:szCs w:val="22"/>
        </w:rPr>
      </w:pPr>
      <w:r w:rsidRPr="00F02154">
        <w:rPr>
          <w:sz w:val="22"/>
          <w:szCs w:val="22"/>
        </w:rPr>
        <w:t>&lt;</w:t>
      </w:r>
      <w:hyperlink r:id="rId28" w:history="1">
        <w:r w:rsidRPr="00F02154">
          <w:rPr>
            <w:rStyle w:val="Hyperlink"/>
            <w:sz w:val="22"/>
            <w:szCs w:val="22"/>
          </w:rPr>
          <w:t>https://www.visitchurches.org.uk/</w:t>
        </w:r>
      </w:hyperlink>
      <w:r w:rsidRPr="00F02154">
        <w:rPr>
          <w:sz w:val="22"/>
          <w:szCs w:val="22"/>
        </w:rPr>
        <w:t xml:space="preserve">&gt; [accessed 7 April 2022] </w:t>
      </w:r>
    </w:p>
    <w:p w14:paraId="40A1810D" w14:textId="0EE0B88D" w:rsidR="00B2342E" w:rsidRDefault="00B2342E" w:rsidP="00F02154">
      <w:pPr>
        <w:pStyle w:val="FootnoteText"/>
        <w:rPr>
          <w:sz w:val="22"/>
          <w:szCs w:val="22"/>
        </w:rPr>
      </w:pPr>
    </w:p>
    <w:p w14:paraId="519FEF0F" w14:textId="77777777" w:rsidR="00B2342E" w:rsidRPr="00B2342E" w:rsidRDefault="00B2342E" w:rsidP="00B2342E">
      <w:pPr>
        <w:pStyle w:val="FootnoteText"/>
        <w:rPr>
          <w:sz w:val="22"/>
          <w:szCs w:val="22"/>
        </w:rPr>
      </w:pPr>
      <w:r w:rsidRPr="00B2342E">
        <w:rPr>
          <w:sz w:val="22"/>
          <w:szCs w:val="22"/>
        </w:rPr>
        <w:t>&lt;</w:t>
      </w:r>
      <w:hyperlink r:id="rId29" w:history="1">
        <w:r w:rsidRPr="00B2342E">
          <w:rPr>
            <w:rStyle w:val="Hyperlink"/>
            <w:sz w:val="22"/>
            <w:szCs w:val="22"/>
          </w:rPr>
          <w:t>https://www.victoriansociety.org.uk/</w:t>
        </w:r>
      </w:hyperlink>
      <w:r w:rsidRPr="00B2342E">
        <w:rPr>
          <w:sz w:val="22"/>
          <w:szCs w:val="22"/>
        </w:rPr>
        <w:t xml:space="preserve">&gt; [accessed 7 April 2022] </w:t>
      </w:r>
    </w:p>
    <w:p w14:paraId="5E14B11E" w14:textId="77777777" w:rsidR="00B2342E" w:rsidRPr="00F02154" w:rsidRDefault="00B2342E" w:rsidP="00F02154">
      <w:pPr>
        <w:pStyle w:val="FootnoteText"/>
        <w:rPr>
          <w:sz w:val="22"/>
          <w:szCs w:val="22"/>
        </w:rPr>
      </w:pPr>
    </w:p>
    <w:p w14:paraId="1BA4362D" w14:textId="1710A4D5" w:rsidR="00B52E2B" w:rsidRDefault="00B52E2B" w:rsidP="00195948">
      <w:pPr>
        <w:pStyle w:val="FootnoteText"/>
        <w:rPr>
          <w:sz w:val="22"/>
          <w:szCs w:val="22"/>
        </w:rPr>
      </w:pPr>
    </w:p>
    <w:p w14:paraId="74904E20" w14:textId="77777777" w:rsidR="000171C4" w:rsidRDefault="000171C4" w:rsidP="00195948">
      <w:pPr>
        <w:pStyle w:val="FootnoteText"/>
        <w:rPr>
          <w:sz w:val="22"/>
          <w:szCs w:val="22"/>
        </w:rPr>
      </w:pPr>
    </w:p>
    <w:p w14:paraId="03958965" w14:textId="49FA5CD3" w:rsidR="00B52E2B" w:rsidRDefault="00B52E2B" w:rsidP="00B52E2B">
      <w:pPr>
        <w:pStyle w:val="FootnoteText"/>
        <w:rPr>
          <w:sz w:val="22"/>
          <w:szCs w:val="22"/>
        </w:rPr>
      </w:pPr>
      <w:r w:rsidRPr="00B52E2B">
        <w:rPr>
          <w:sz w:val="22"/>
          <w:szCs w:val="22"/>
        </w:rPr>
        <w:t xml:space="preserve">‘How We Are Funded’, </w:t>
      </w:r>
      <w:r w:rsidRPr="00B52E2B">
        <w:rPr>
          <w:i/>
          <w:iCs/>
          <w:sz w:val="22"/>
          <w:szCs w:val="22"/>
        </w:rPr>
        <w:t>Historic England</w:t>
      </w:r>
      <w:r w:rsidRPr="00B52E2B">
        <w:rPr>
          <w:sz w:val="22"/>
          <w:szCs w:val="22"/>
        </w:rPr>
        <w:t xml:space="preserve"> &lt;</w:t>
      </w:r>
      <w:hyperlink r:id="rId30" w:history="1">
        <w:r w:rsidRPr="00B52E2B">
          <w:rPr>
            <w:rStyle w:val="Hyperlink"/>
            <w:sz w:val="22"/>
            <w:szCs w:val="22"/>
          </w:rPr>
          <w:t>https://historicengland.org.uk/about/who-we-are/how-we-are-funded/</w:t>
        </w:r>
      </w:hyperlink>
      <w:r w:rsidRPr="00B52E2B">
        <w:rPr>
          <w:sz w:val="22"/>
          <w:szCs w:val="22"/>
        </w:rPr>
        <w:t xml:space="preserve">&gt; [accessed 28 April 2022] </w:t>
      </w:r>
    </w:p>
    <w:p w14:paraId="24C7EA0A" w14:textId="106A0D85" w:rsidR="00495E1C" w:rsidRDefault="00495E1C" w:rsidP="00B52E2B">
      <w:pPr>
        <w:pStyle w:val="FootnoteText"/>
        <w:rPr>
          <w:sz w:val="22"/>
          <w:szCs w:val="22"/>
        </w:rPr>
      </w:pPr>
    </w:p>
    <w:p w14:paraId="4F956F8C" w14:textId="32E52B99" w:rsidR="00E6555E" w:rsidRDefault="00E6555E" w:rsidP="00B52E2B">
      <w:pPr>
        <w:pStyle w:val="FootnoteText"/>
        <w:rPr>
          <w:sz w:val="22"/>
          <w:szCs w:val="22"/>
        </w:rPr>
      </w:pPr>
    </w:p>
    <w:p w14:paraId="1CC648FA" w14:textId="511F1395" w:rsidR="00E6555E" w:rsidRDefault="00E6555E" w:rsidP="00B52E2B">
      <w:pPr>
        <w:pStyle w:val="FootnoteText"/>
        <w:rPr>
          <w:sz w:val="22"/>
          <w:szCs w:val="22"/>
        </w:rPr>
      </w:pPr>
      <w:r w:rsidRPr="00E6555E">
        <w:rPr>
          <w:sz w:val="22"/>
          <w:szCs w:val="22"/>
        </w:rPr>
        <w:t xml:space="preserve">‘Listed Buildings: Identification and Extent’, </w:t>
      </w:r>
      <w:r w:rsidRPr="00E6555E">
        <w:rPr>
          <w:i/>
          <w:iCs/>
          <w:sz w:val="22"/>
          <w:szCs w:val="22"/>
        </w:rPr>
        <w:t>Historic England</w:t>
      </w:r>
      <w:r w:rsidRPr="00E6555E">
        <w:rPr>
          <w:sz w:val="22"/>
          <w:szCs w:val="22"/>
        </w:rPr>
        <w:t xml:space="preserve"> &lt;</w:t>
      </w:r>
      <w:hyperlink r:id="rId31" w:history="1">
        <w:r w:rsidRPr="00E6555E">
          <w:rPr>
            <w:rStyle w:val="Hyperlink"/>
            <w:sz w:val="22"/>
            <w:szCs w:val="22"/>
          </w:rPr>
          <w:t>https://historicengland.org.uk/advice/hpg/has/listed-buildings/</w:t>
        </w:r>
      </w:hyperlink>
      <w:r w:rsidRPr="00E6555E">
        <w:rPr>
          <w:sz w:val="22"/>
          <w:szCs w:val="22"/>
        </w:rPr>
        <w:t>&gt; [accessed 30 April 2022]</w:t>
      </w:r>
    </w:p>
    <w:p w14:paraId="303F0DED" w14:textId="77777777" w:rsidR="00F83255" w:rsidRDefault="00F83255" w:rsidP="00B52E2B">
      <w:pPr>
        <w:pStyle w:val="FootnoteText"/>
        <w:rPr>
          <w:sz w:val="22"/>
          <w:szCs w:val="22"/>
        </w:rPr>
      </w:pPr>
    </w:p>
    <w:p w14:paraId="6A00A564" w14:textId="35D5CB97" w:rsidR="00F83255" w:rsidRDefault="00F83255" w:rsidP="00B52E2B">
      <w:pPr>
        <w:pStyle w:val="FootnoteText"/>
        <w:rPr>
          <w:sz w:val="22"/>
          <w:szCs w:val="22"/>
        </w:rPr>
      </w:pPr>
    </w:p>
    <w:p w14:paraId="20EFD894" w14:textId="69907C0E" w:rsidR="00F83255" w:rsidRDefault="00F83255" w:rsidP="00F83255">
      <w:pPr>
        <w:pStyle w:val="FootnoteText"/>
        <w:rPr>
          <w:sz w:val="22"/>
          <w:szCs w:val="22"/>
        </w:rPr>
      </w:pPr>
      <w:r w:rsidRPr="00F83255">
        <w:rPr>
          <w:sz w:val="22"/>
          <w:szCs w:val="22"/>
        </w:rPr>
        <w:t xml:space="preserve">‘Listed Buildings’, </w:t>
      </w:r>
      <w:r w:rsidRPr="00F83255">
        <w:rPr>
          <w:i/>
          <w:iCs/>
          <w:sz w:val="22"/>
          <w:szCs w:val="22"/>
        </w:rPr>
        <w:t>Law Wales</w:t>
      </w:r>
      <w:r w:rsidRPr="00F83255">
        <w:rPr>
          <w:sz w:val="22"/>
          <w:szCs w:val="22"/>
        </w:rPr>
        <w:t xml:space="preserve"> &lt;</w:t>
      </w:r>
      <w:hyperlink r:id="rId32" w:history="1">
        <w:r w:rsidRPr="00F83255">
          <w:rPr>
            <w:rStyle w:val="Hyperlink"/>
            <w:sz w:val="22"/>
            <w:szCs w:val="22"/>
          </w:rPr>
          <w:t>https://law.gov.wales/culture/historic-environment/listed-buildings</w:t>
        </w:r>
      </w:hyperlink>
      <w:r w:rsidRPr="00F83255">
        <w:rPr>
          <w:sz w:val="22"/>
          <w:szCs w:val="22"/>
        </w:rPr>
        <w:t>&gt; [accessed 27 April 2022]</w:t>
      </w:r>
    </w:p>
    <w:p w14:paraId="66F40CEF" w14:textId="3BA12396" w:rsidR="00516FA8" w:rsidRDefault="00516FA8" w:rsidP="00F83255">
      <w:pPr>
        <w:pStyle w:val="FootnoteText"/>
        <w:rPr>
          <w:sz w:val="22"/>
          <w:szCs w:val="22"/>
        </w:rPr>
      </w:pPr>
    </w:p>
    <w:p w14:paraId="1A2FF426" w14:textId="77777777" w:rsidR="00516FA8" w:rsidRPr="00516FA8" w:rsidRDefault="00516FA8" w:rsidP="00516FA8">
      <w:pPr>
        <w:pStyle w:val="FootnoteText"/>
        <w:rPr>
          <w:sz w:val="22"/>
          <w:szCs w:val="22"/>
        </w:rPr>
      </w:pPr>
      <w:r w:rsidRPr="00516FA8">
        <w:rPr>
          <w:sz w:val="22"/>
          <w:szCs w:val="22"/>
        </w:rPr>
        <w:t xml:space="preserve">Mark Baker, ‘Lost houses’, </w:t>
      </w:r>
      <w:r w:rsidRPr="00516FA8">
        <w:rPr>
          <w:i/>
          <w:iCs/>
          <w:sz w:val="22"/>
          <w:szCs w:val="22"/>
        </w:rPr>
        <w:t>The Story of the Welsh Country House</w:t>
      </w:r>
      <w:r w:rsidRPr="00516FA8">
        <w:rPr>
          <w:sz w:val="22"/>
          <w:szCs w:val="22"/>
        </w:rPr>
        <w:t xml:space="preserve"> &lt;</w:t>
      </w:r>
      <w:hyperlink r:id="rId33" w:history="1">
        <w:r w:rsidRPr="00516FA8">
          <w:rPr>
            <w:rStyle w:val="Hyperlink"/>
            <w:sz w:val="22"/>
            <w:szCs w:val="22"/>
          </w:rPr>
          <w:t>www.welshcountryhome.co.uk/lost/</w:t>
        </w:r>
      </w:hyperlink>
      <w:r w:rsidRPr="00516FA8">
        <w:rPr>
          <w:sz w:val="22"/>
          <w:szCs w:val="22"/>
        </w:rPr>
        <w:t xml:space="preserve">&gt; [accessed 20 April 2022] </w:t>
      </w:r>
    </w:p>
    <w:p w14:paraId="2FDF0783" w14:textId="77777777" w:rsidR="00516FA8" w:rsidRDefault="00516FA8" w:rsidP="00F83255">
      <w:pPr>
        <w:pStyle w:val="FootnoteText"/>
        <w:rPr>
          <w:sz w:val="22"/>
          <w:szCs w:val="22"/>
        </w:rPr>
      </w:pPr>
    </w:p>
    <w:p w14:paraId="7EED400B" w14:textId="6EBEEF30" w:rsidR="00FF7E6B" w:rsidRDefault="00FF7E6B" w:rsidP="00F83255">
      <w:pPr>
        <w:pStyle w:val="FootnoteText"/>
        <w:rPr>
          <w:sz w:val="22"/>
          <w:szCs w:val="22"/>
        </w:rPr>
      </w:pPr>
    </w:p>
    <w:p w14:paraId="0DA471B6" w14:textId="77777777" w:rsidR="00FF7E6B" w:rsidRPr="00FF7E6B" w:rsidRDefault="00FF7E6B" w:rsidP="00FF7E6B">
      <w:pPr>
        <w:pStyle w:val="FootnoteText"/>
        <w:rPr>
          <w:sz w:val="22"/>
          <w:szCs w:val="22"/>
        </w:rPr>
      </w:pPr>
      <w:r w:rsidRPr="00FF7E6B">
        <w:rPr>
          <w:sz w:val="22"/>
          <w:szCs w:val="22"/>
        </w:rPr>
        <w:t xml:space="preserve">‘National Heritage Act 1980’, </w:t>
      </w:r>
      <w:r w:rsidRPr="00FF7E6B">
        <w:rPr>
          <w:i/>
          <w:iCs/>
          <w:sz w:val="22"/>
          <w:szCs w:val="22"/>
        </w:rPr>
        <w:t xml:space="preserve">Legislation.gov.uk </w:t>
      </w:r>
      <w:r w:rsidRPr="00FF7E6B">
        <w:rPr>
          <w:sz w:val="22"/>
          <w:szCs w:val="22"/>
        </w:rPr>
        <w:t xml:space="preserve">&lt; </w:t>
      </w:r>
      <w:hyperlink r:id="rId34" w:history="1">
        <w:r w:rsidRPr="00FF7E6B">
          <w:rPr>
            <w:rStyle w:val="Hyperlink"/>
            <w:sz w:val="22"/>
            <w:szCs w:val="22"/>
          </w:rPr>
          <w:t>https://www.legislation.gov.uk/ukpga/1980/17/contents</w:t>
        </w:r>
      </w:hyperlink>
      <w:r w:rsidRPr="00FF7E6B">
        <w:rPr>
          <w:i/>
          <w:iCs/>
          <w:sz w:val="22"/>
          <w:szCs w:val="22"/>
        </w:rPr>
        <w:t xml:space="preserve">&gt; [accessed 21 April 2022] </w:t>
      </w:r>
    </w:p>
    <w:p w14:paraId="2DEAF4C2" w14:textId="77777777" w:rsidR="00FF7E6B" w:rsidRPr="00F83255" w:rsidRDefault="00FF7E6B" w:rsidP="00F83255">
      <w:pPr>
        <w:pStyle w:val="FootnoteText"/>
        <w:rPr>
          <w:sz w:val="22"/>
          <w:szCs w:val="22"/>
        </w:rPr>
      </w:pPr>
    </w:p>
    <w:p w14:paraId="65F026A9" w14:textId="7549CE14" w:rsidR="00F83255" w:rsidRDefault="00F83255" w:rsidP="00B52E2B">
      <w:pPr>
        <w:pStyle w:val="FootnoteText"/>
        <w:rPr>
          <w:sz w:val="22"/>
          <w:szCs w:val="22"/>
        </w:rPr>
      </w:pPr>
    </w:p>
    <w:p w14:paraId="14F3D860" w14:textId="77777777" w:rsidR="00BB70EB" w:rsidRPr="00BB70EB" w:rsidRDefault="00BB70EB" w:rsidP="00BB70EB">
      <w:pPr>
        <w:pStyle w:val="FootnoteText"/>
        <w:rPr>
          <w:sz w:val="22"/>
          <w:szCs w:val="22"/>
        </w:rPr>
      </w:pPr>
      <w:r w:rsidRPr="00BB70EB">
        <w:rPr>
          <w:sz w:val="22"/>
          <w:szCs w:val="22"/>
        </w:rPr>
        <w:t xml:space="preserve">‘National Heritage Act 1983’, </w:t>
      </w:r>
      <w:r w:rsidRPr="00BB70EB">
        <w:rPr>
          <w:i/>
          <w:iCs/>
          <w:sz w:val="22"/>
          <w:szCs w:val="22"/>
        </w:rPr>
        <w:t>Legislation.gov.uk &lt;</w:t>
      </w:r>
      <w:hyperlink r:id="rId35" w:history="1">
        <w:r w:rsidRPr="00BB70EB">
          <w:rPr>
            <w:rStyle w:val="Hyperlink"/>
            <w:sz w:val="22"/>
            <w:szCs w:val="22"/>
          </w:rPr>
          <w:t>https://www.legislation.gov.uk/ukpga/1983/47</w:t>
        </w:r>
      </w:hyperlink>
      <w:r w:rsidRPr="00BB70EB">
        <w:rPr>
          <w:sz w:val="22"/>
          <w:szCs w:val="22"/>
        </w:rPr>
        <w:t xml:space="preserve">&gt; [accessed 21 April 2022] </w:t>
      </w:r>
    </w:p>
    <w:p w14:paraId="2B73CFB3" w14:textId="77777777" w:rsidR="00BB70EB" w:rsidRDefault="00BB70EB" w:rsidP="00B52E2B">
      <w:pPr>
        <w:pStyle w:val="FootnoteText"/>
        <w:rPr>
          <w:sz w:val="22"/>
          <w:szCs w:val="22"/>
        </w:rPr>
      </w:pPr>
    </w:p>
    <w:p w14:paraId="34482E90" w14:textId="77777777" w:rsidR="00E6555E" w:rsidRPr="00E6555E" w:rsidRDefault="00E6555E" w:rsidP="00B52E2B">
      <w:pPr>
        <w:pStyle w:val="FootnoteText"/>
        <w:rPr>
          <w:sz w:val="22"/>
          <w:szCs w:val="22"/>
        </w:rPr>
      </w:pPr>
    </w:p>
    <w:p w14:paraId="1AD495B7" w14:textId="20554462" w:rsidR="00495E1C" w:rsidRDefault="00495E1C" w:rsidP="00B52E2B">
      <w:pPr>
        <w:pStyle w:val="FootnoteText"/>
        <w:rPr>
          <w:sz w:val="22"/>
          <w:szCs w:val="22"/>
        </w:rPr>
      </w:pPr>
      <w:r w:rsidRPr="00495E1C">
        <w:rPr>
          <w:sz w:val="22"/>
          <w:szCs w:val="22"/>
        </w:rPr>
        <w:t xml:space="preserve">‘National Planning Policy Framework’, </w:t>
      </w:r>
      <w:r w:rsidRPr="00495E1C">
        <w:rPr>
          <w:i/>
          <w:iCs/>
          <w:sz w:val="22"/>
          <w:szCs w:val="22"/>
        </w:rPr>
        <w:t>Gov.uk</w:t>
      </w:r>
      <w:r w:rsidRPr="00495E1C">
        <w:rPr>
          <w:sz w:val="22"/>
          <w:szCs w:val="22"/>
        </w:rPr>
        <w:t xml:space="preserve"> &lt;</w:t>
      </w:r>
      <w:hyperlink r:id="rId36" w:history="1">
        <w:r w:rsidRPr="00495E1C">
          <w:rPr>
            <w:rStyle w:val="Hyperlink"/>
            <w:sz w:val="22"/>
            <w:szCs w:val="22"/>
          </w:rPr>
          <w:t>https://www.gov.uk/guidance/national-planning-policy-framework</w:t>
        </w:r>
      </w:hyperlink>
      <w:r w:rsidRPr="00495E1C">
        <w:rPr>
          <w:sz w:val="22"/>
          <w:szCs w:val="22"/>
        </w:rPr>
        <w:t>&gt; [accessed 27 April 2022]</w:t>
      </w:r>
    </w:p>
    <w:p w14:paraId="022D1775" w14:textId="2E058830" w:rsidR="005437D4" w:rsidRDefault="005437D4" w:rsidP="00B52E2B">
      <w:pPr>
        <w:pStyle w:val="FootnoteText"/>
        <w:rPr>
          <w:sz w:val="22"/>
          <w:szCs w:val="22"/>
        </w:rPr>
      </w:pPr>
    </w:p>
    <w:p w14:paraId="25467441" w14:textId="77777777" w:rsidR="001E2FB7" w:rsidRDefault="001E2FB7" w:rsidP="00B52E2B">
      <w:pPr>
        <w:pStyle w:val="FootnoteText"/>
        <w:rPr>
          <w:sz w:val="22"/>
          <w:szCs w:val="22"/>
        </w:rPr>
      </w:pPr>
    </w:p>
    <w:p w14:paraId="42D7752A" w14:textId="77777777" w:rsidR="00681728" w:rsidRPr="00681728" w:rsidRDefault="00681728" w:rsidP="00681728">
      <w:pPr>
        <w:pStyle w:val="FootnoteText"/>
        <w:rPr>
          <w:sz w:val="22"/>
          <w:szCs w:val="22"/>
        </w:rPr>
      </w:pPr>
      <w:r w:rsidRPr="00681728">
        <w:rPr>
          <w:sz w:val="22"/>
          <w:szCs w:val="22"/>
        </w:rPr>
        <w:t xml:space="preserve">‘New Legal Protection for England’s Heritage’, </w:t>
      </w:r>
      <w:r w:rsidRPr="00681728">
        <w:rPr>
          <w:i/>
          <w:iCs/>
          <w:sz w:val="22"/>
          <w:szCs w:val="22"/>
        </w:rPr>
        <w:t>Gov.UK</w:t>
      </w:r>
      <w:r w:rsidRPr="00681728">
        <w:rPr>
          <w:sz w:val="22"/>
          <w:szCs w:val="22"/>
        </w:rPr>
        <w:t xml:space="preserve"> &lt;</w:t>
      </w:r>
      <w:hyperlink r:id="rId37" w:history="1">
        <w:r w:rsidRPr="00681728">
          <w:rPr>
            <w:rStyle w:val="Hyperlink"/>
            <w:sz w:val="22"/>
            <w:szCs w:val="22"/>
          </w:rPr>
          <w:t>https://www.gov.uk/government/news/new-legal-protection-for-england-s-heritage</w:t>
        </w:r>
      </w:hyperlink>
      <w:r w:rsidRPr="00681728">
        <w:rPr>
          <w:sz w:val="22"/>
          <w:szCs w:val="22"/>
        </w:rPr>
        <w:t xml:space="preserve">&gt; [accessed 25 April 2022] </w:t>
      </w:r>
    </w:p>
    <w:p w14:paraId="5A07F921" w14:textId="77777777" w:rsidR="00681728" w:rsidRDefault="00681728" w:rsidP="00B52E2B">
      <w:pPr>
        <w:pStyle w:val="FootnoteText"/>
        <w:rPr>
          <w:sz w:val="22"/>
          <w:szCs w:val="22"/>
        </w:rPr>
      </w:pPr>
    </w:p>
    <w:p w14:paraId="73B45592" w14:textId="77777777" w:rsidR="005437D4" w:rsidRDefault="005437D4" w:rsidP="00B52E2B">
      <w:pPr>
        <w:pStyle w:val="FootnoteText"/>
        <w:rPr>
          <w:sz w:val="22"/>
          <w:szCs w:val="22"/>
        </w:rPr>
      </w:pPr>
    </w:p>
    <w:p w14:paraId="6A154D7C" w14:textId="31D3457E" w:rsidR="005437D4" w:rsidRDefault="005437D4" w:rsidP="005437D4">
      <w:pPr>
        <w:pStyle w:val="FootnoteText"/>
        <w:rPr>
          <w:sz w:val="22"/>
          <w:szCs w:val="22"/>
        </w:rPr>
      </w:pPr>
      <w:r w:rsidRPr="005437D4">
        <w:rPr>
          <w:sz w:val="22"/>
          <w:szCs w:val="22"/>
        </w:rPr>
        <w:t xml:space="preserve">Planning (Listed Buildings and Conservation Areas) Act 1990’, </w:t>
      </w:r>
      <w:r w:rsidRPr="005437D4">
        <w:rPr>
          <w:i/>
          <w:iCs/>
          <w:sz w:val="22"/>
          <w:szCs w:val="22"/>
        </w:rPr>
        <w:t>Legislation.gov.uk</w:t>
      </w:r>
      <w:r w:rsidRPr="005437D4">
        <w:rPr>
          <w:sz w:val="22"/>
          <w:szCs w:val="22"/>
        </w:rPr>
        <w:t xml:space="preserve"> &lt;</w:t>
      </w:r>
      <w:hyperlink r:id="rId38" w:history="1">
        <w:r w:rsidRPr="005437D4">
          <w:rPr>
            <w:rStyle w:val="Hyperlink"/>
            <w:sz w:val="22"/>
            <w:szCs w:val="22"/>
          </w:rPr>
          <w:t>https://www.legislation.gov.uk/ukpga/1990/9/contents</w:t>
        </w:r>
      </w:hyperlink>
      <w:r w:rsidRPr="005437D4">
        <w:rPr>
          <w:sz w:val="22"/>
          <w:szCs w:val="22"/>
        </w:rPr>
        <w:t xml:space="preserve">&gt; [accessed 27 April 2022] </w:t>
      </w:r>
    </w:p>
    <w:p w14:paraId="111DBC48" w14:textId="77777777" w:rsidR="00333484" w:rsidRDefault="00333484" w:rsidP="005437D4">
      <w:pPr>
        <w:pStyle w:val="FootnoteText"/>
        <w:rPr>
          <w:sz w:val="22"/>
          <w:szCs w:val="22"/>
        </w:rPr>
      </w:pPr>
    </w:p>
    <w:p w14:paraId="21CC89D6" w14:textId="64F14280" w:rsidR="00EB415E" w:rsidRDefault="00EB415E" w:rsidP="005437D4">
      <w:pPr>
        <w:pStyle w:val="FootnoteText"/>
        <w:rPr>
          <w:sz w:val="22"/>
          <w:szCs w:val="22"/>
        </w:rPr>
      </w:pPr>
    </w:p>
    <w:p w14:paraId="16910989" w14:textId="13CE1A92" w:rsidR="00D457DC" w:rsidRPr="00D457DC" w:rsidRDefault="00D457DC" w:rsidP="005437D4">
      <w:pPr>
        <w:pStyle w:val="FootnoteText"/>
        <w:rPr>
          <w:sz w:val="22"/>
          <w:szCs w:val="22"/>
        </w:rPr>
      </w:pPr>
      <w:r w:rsidRPr="00D457DC">
        <w:rPr>
          <w:sz w:val="22"/>
          <w:szCs w:val="22"/>
        </w:rPr>
        <w:t xml:space="preserve">‘Preserving Historic Sites and Buildings’, </w:t>
      </w:r>
      <w:r w:rsidRPr="00D457DC">
        <w:rPr>
          <w:i/>
          <w:iCs/>
          <w:sz w:val="22"/>
          <w:szCs w:val="22"/>
        </w:rPr>
        <w:t>UK Parliament</w:t>
      </w:r>
      <w:r w:rsidRPr="00D457DC">
        <w:rPr>
          <w:sz w:val="22"/>
          <w:szCs w:val="22"/>
        </w:rPr>
        <w:t xml:space="preserve"> &lt;</w:t>
      </w:r>
      <w:hyperlink r:id="rId39" w:history="1">
        <w:r w:rsidRPr="00D457DC">
          <w:rPr>
            <w:rStyle w:val="Hyperlink"/>
            <w:sz w:val="22"/>
            <w:szCs w:val="22"/>
          </w:rPr>
          <w:t>https://www.parliament.uk/about/living-heritage/transformingsociety/towncountry/landscape/overview/historicsites/</w:t>
        </w:r>
      </w:hyperlink>
      <w:r w:rsidRPr="00D457DC">
        <w:rPr>
          <w:sz w:val="22"/>
          <w:szCs w:val="22"/>
        </w:rPr>
        <w:t>&gt; [accessed 17 April 2022]</w:t>
      </w:r>
    </w:p>
    <w:p w14:paraId="68BA53AF" w14:textId="3CCCD0E7" w:rsidR="00D457DC" w:rsidRDefault="00D457DC" w:rsidP="005437D4">
      <w:pPr>
        <w:pStyle w:val="FootnoteText"/>
        <w:rPr>
          <w:sz w:val="22"/>
          <w:szCs w:val="22"/>
        </w:rPr>
      </w:pPr>
    </w:p>
    <w:p w14:paraId="1876F0FB" w14:textId="77777777" w:rsidR="00333484" w:rsidRDefault="00333484" w:rsidP="005437D4">
      <w:pPr>
        <w:pStyle w:val="FootnoteText"/>
        <w:rPr>
          <w:sz w:val="22"/>
          <w:szCs w:val="22"/>
        </w:rPr>
      </w:pPr>
    </w:p>
    <w:p w14:paraId="2BBEC496" w14:textId="77777777" w:rsidR="00EB415E" w:rsidRPr="00EB415E" w:rsidRDefault="00EB415E" w:rsidP="00EB415E">
      <w:pPr>
        <w:pStyle w:val="FootnoteText"/>
        <w:rPr>
          <w:sz w:val="22"/>
          <w:szCs w:val="22"/>
        </w:rPr>
      </w:pPr>
      <w:r w:rsidRPr="00EB415E">
        <w:rPr>
          <w:sz w:val="22"/>
          <w:szCs w:val="22"/>
        </w:rPr>
        <w:t xml:space="preserve">Rose Staveley – Wadham, ‘Necessity versus Nostalgia – the Destruction of the Country House’, </w:t>
      </w:r>
      <w:r w:rsidRPr="00EB415E">
        <w:rPr>
          <w:i/>
          <w:iCs/>
          <w:sz w:val="22"/>
          <w:szCs w:val="22"/>
        </w:rPr>
        <w:t xml:space="preserve">The British Newspaper Archive </w:t>
      </w:r>
      <w:r w:rsidRPr="00EB415E">
        <w:rPr>
          <w:sz w:val="22"/>
          <w:szCs w:val="22"/>
        </w:rPr>
        <w:t>&lt;</w:t>
      </w:r>
      <w:hyperlink r:id="rId40" w:history="1">
        <w:r w:rsidRPr="00EB415E">
          <w:rPr>
            <w:rStyle w:val="Hyperlink"/>
            <w:sz w:val="22"/>
            <w:szCs w:val="22"/>
          </w:rPr>
          <w:t>https://blog.britishnewspaperarchive.co.uk/2019/03/20/31-march-2019-destrcution-of-the-country-house/</w:t>
        </w:r>
      </w:hyperlink>
      <w:r w:rsidRPr="00EB415E">
        <w:rPr>
          <w:sz w:val="22"/>
          <w:szCs w:val="22"/>
        </w:rPr>
        <w:t xml:space="preserve">&gt; [accessed 20 April 2022] </w:t>
      </w:r>
    </w:p>
    <w:p w14:paraId="66A01AF9" w14:textId="77777777" w:rsidR="00EB415E" w:rsidRPr="005437D4" w:rsidRDefault="00EB415E" w:rsidP="005437D4">
      <w:pPr>
        <w:pStyle w:val="FootnoteText"/>
        <w:rPr>
          <w:sz w:val="22"/>
          <w:szCs w:val="22"/>
        </w:rPr>
      </w:pPr>
    </w:p>
    <w:p w14:paraId="79F2F670" w14:textId="78E51474" w:rsidR="00C168A2" w:rsidRDefault="00C168A2" w:rsidP="00B52E2B">
      <w:pPr>
        <w:pStyle w:val="FootnoteText"/>
        <w:rPr>
          <w:sz w:val="22"/>
          <w:szCs w:val="22"/>
        </w:rPr>
      </w:pPr>
    </w:p>
    <w:p w14:paraId="47929029" w14:textId="77777777" w:rsidR="00C168A2" w:rsidRPr="00C168A2" w:rsidRDefault="00C168A2" w:rsidP="00C168A2">
      <w:pPr>
        <w:pStyle w:val="FootnoteText"/>
        <w:rPr>
          <w:sz w:val="22"/>
          <w:szCs w:val="22"/>
        </w:rPr>
      </w:pPr>
      <w:r w:rsidRPr="00C168A2">
        <w:rPr>
          <w:sz w:val="22"/>
          <w:szCs w:val="22"/>
        </w:rPr>
        <w:t xml:space="preserve">Section 3 National Heritage Act 1997’ </w:t>
      </w:r>
      <w:proofErr w:type="gramStart"/>
      <w:r w:rsidRPr="00C168A2">
        <w:rPr>
          <w:i/>
          <w:iCs/>
          <w:sz w:val="22"/>
          <w:szCs w:val="22"/>
        </w:rPr>
        <w:t xml:space="preserve">Legislation.gov.uk  </w:t>
      </w:r>
      <w:r w:rsidRPr="00C168A2">
        <w:rPr>
          <w:sz w:val="22"/>
          <w:szCs w:val="22"/>
        </w:rPr>
        <w:t>&lt;</w:t>
      </w:r>
      <w:proofErr w:type="gramEnd"/>
      <w:r w:rsidR="009967AA">
        <w:fldChar w:fldCharType="begin"/>
      </w:r>
      <w:r w:rsidR="009967AA">
        <w:instrText xml:space="preserve"> HYPERLINK "https://www.legislation.gov.uk/ukpga/1997/14/1997-02-27" </w:instrText>
      </w:r>
      <w:r w:rsidR="009967AA">
        <w:fldChar w:fldCharType="separate"/>
      </w:r>
      <w:r w:rsidRPr="00C168A2">
        <w:rPr>
          <w:rStyle w:val="Hyperlink"/>
          <w:sz w:val="22"/>
          <w:szCs w:val="22"/>
        </w:rPr>
        <w:t>https://www.legislation.gov.uk/ukpga/1997/14/1997-02-27</w:t>
      </w:r>
      <w:r w:rsidR="009967AA">
        <w:rPr>
          <w:rStyle w:val="Hyperlink"/>
          <w:sz w:val="22"/>
          <w:szCs w:val="22"/>
        </w:rPr>
        <w:fldChar w:fldCharType="end"/>
      </w:r>
      <w:r w:rsidRPr="00C168A2">
        <w:rPr>
          <w:i/>
          <w:iCs/>
          <w:sz w:val="22"/>
          <w:szCs w:val="22"/>
        </w:rPr>
        <w:t xml:space="preserve"> &gt;[accessed 21 April 2022]</w:t>
      </w:r>
    </w:p>
    <w:p w14:paraId="074EAA65" w14:textId="77777777" w:rsidR="00C168A2" w:rsidRPr="005437D4" w:rsidRDefault="00C168A2" w:rsidP="00B52E2B">
      <w:pPr>
        <w:pStyle w:val="FootnoteText"/>
        <w:rPr>
          <w:sz w:val="22"/>
          <w:szCs w:val="22"/>
        </w:rPr>
      </w:pPr>
    </w:p>
    <w:p w14:paraId="2B2C4DC1" w14:textId="5DAFBD27" w:rsidR="00195948" w:rsidRDefault="00195948" w:rsidP="00195948">
      <w:pPr>
        <w:pStyle w:val="FootnoteText"/>
        <w:rPr>
          <w:sz w:val="22"/>
          <w:szCs w:val="22"/>
        </w:rPr>
      </w:pPr>
    </w:p>
    <w:p w14:paraId="39F876EB" w14:textId="55F46A2C" w:rsidR="00195948" w:rsidRPr="00195948" w:rsidRDefault="00195948" w:rsidP="00195948">
      <w:pPr>
        <w:pStyle w:val="FootnoteText"/>
        <w:rPr>
          <w:sz w:val="22"/>
          <w:szCs w:val="22"/>
        </w:rPr>
      </w:pPr>
      <w:r w:rsidRPr="00195948">
        <w:rPr>
          <w:sz w:val="22"/>
          <w:szCs w:val="22"/>
        </w:rPr>
        <w:t xml:space="preserve">‘The Churches Conservation Trust’, </w:t>
      </w:r>
      <w:r w:rsidRPr="00195948">
        <w:rPr>
          <w:i/>
          <w:iCs/>
          <w:sz w:val="22"/>
          <w:szCs w:val="22"/>
        </w:rPr>
        <w:t>Churches Conservation Trust</w:t>
      </w:r>
      <w:r w:rsidRPr="00195948">
        <w:rPr>
          <w:sz w:val="22"/>
          <w:szCs w:val="22"/>
        </w:rPr>
        <w:t xml:space="preserve"> &lt;</w:t>
      </w:r>
      <w:hyperlink r:id="rId41" w:history="1">
        <w:r w:rsidRPr="00195948">
          <w:rPr>
            <w:rStyle w:val="Hyperlink"/>
            <w:sz w:val="22"/>
            <w:szCs w:val="22"/>
          </w:rPr>
          <w:t>https://www.visitchurches.org.uk/</w:t>
        </w:r>
      </w:hyperlink>
      <w:r w:rsidRPr="00195948">
        <w:rPr>
          <w:sz w:val="22"/>
          <w:szCs w:val="22"/>
        </w:rPr>
        <w:t>&gt; [accessed 29 April 2022]</w:t>
      </w:r>
    </w:p>
    <w:p w14:paraId="27E0F1E8" w14:textId="77777777" w:rsidR="00333484" w:rsidRDefault="00333484" w:rsidP="00655B95">
      <w:pPr>
        <w:pStyle w:val="FootnoteText"/>
        <w:rPr>
          <w:sz w:val="22"/>
          <w:szCs w:val="22"/>
        </w:rPr>
      </w:pPr>
    </w:p>
    <w:p w14:paraId="3CE63B3D" w14:textId="77777777" w:rsidR="00333484" w:rsidRDefault="00333484" w:rsidP="00655B95">
      <w:pPr>
        <w:pStyle w:val="FootnoteText"/>
        <w:rPr>
          <w:sz w:val="22"/>
          <w:szCs w:val="22"/>
        </w:rPr>
      </w:pPr>
    </w:p>
    <w:p w14:paraId="25A789D9" w14:textId="7BAD280B" w:rsidR="00655B95" w:rsidRDefault="00655B95" w:rsidP="00655B95">
      <w:pPr>
        <w:pStyle w:val="FootnoteText"/>
        <w:rPr>
          <w:sz w:val="22"/>
          <w:szCs w:val="22"/>
        </w:rPr>
      </w:pPr>
      <w:r w:rsidRPr="00655B95">
        <w:rPr>
          <w:sz w:val="22"/>
          <w:szCs w:val="22"/>
        </w:rPr>
        <w:t xml:space="preserve">‘The Hierarchy of Legislation, Planning Guidance and Best Practice Guidance Relating to the Historic Environment in Wales’, </w:t>
      </w:r>
      <w:proofErr w:type="spellStart"/>
      <w:r w:rsidRPr="00655B95">
        <w:rPr>
          <w:i/>
          <w:iCs/>
          <w:sz w:val="22"/>
          <w:szCs w:val="22"/>
        </w:rPr>
        <w:t>Cadw</w:t>
      </w:r>
      <w:proofErr w:type="spellEnd"/>
      <w:r w:rsidRPr="00655B95">
        <w:rPr>
          <w:sz w:val="22"/>
          <w:szCs w:val="22"/>
        </w:rPr>
        <w:t xml:space="preserve"> &lt;</w:t>
      </w:r>
      <w:hyperlink r:id="rId42" w:history="1">
        <w:r w:rsidRPr="00655B95">
          <w:rPr>
            <w:rStyle w:val="Hyperlink"/>
            <w:sz w:val="22"/>
            <w:szCs w:val="22"/>
          </w:rPr>
          <w:t>https://cadw.gov.wales/sites/default/files/2019-09/2019-09-02-hierarchychart-biligual.pdf</w:t>
        </w:r>
      </w:hyperlink>
      <w:r w:rsidRPr="00655B95">
        <w:rPr>
          <w:sz w:val="22"/>
          <w:szCs w:val="22"/>
        </w:rPr>
        <w:t xml:space="preserve">&gt; [accessed 4 April 2022] </w:t>
      </w:r>
    </w:p>
    <w:p w14:paraId="38FB6704" w14:textId="77777777" w:rsidR="00097189" w:rsidRPr="00655B95" w:rsidRDefault="00097189" w:rsidP="00655B95">
      <w:pPr>
        <w:pStyle w:val="FootnoteText"/>
        <w:rPr>
          <w:sz w:val="22"/>
          <w:szCs w:val="22"/>
        </w:rPr>
      </w:pPr>
    </w:p>
    <w:p w14:paraId="3752445A" w14:textId="7E7BBF50" w:rsidR="00655B95" w:rsidRDefault="00655B95" w:rsidP="00655B95">
      <w:pPr>
        <w:pStyle w:val="FootnoteText"/>
        <w:rPr>
          <w:sz w:val="22"/>
          <w:szCs w:val="22"/>
        </w:rPr>
      </w:pPr>
    </w:p>
    <w:p w14:paraId="3599A8A7" w14:textId="0FD05083" w:rsidR="00097189" w:rsidRDefault="00097189" w:rsidP="00097189">
      <w:pPr>
        <w:pStyle w:val="FootnoteText"/>
        <w:rPr>
          <w:sz w:val="22"/>
          <w:szCs w:val="22"/>
        </w:rPr>
      </w:pPr>
      <w:r w:rsidRPr="00097189">
        <w:rPr>
          <w:i/>
          <w:iCs/>
          <w:sz w:val="22"/>
          <w:szCs w:val="22"/>
        </w:rPr>
        <w:t>The National Trust</w:t>
      </w:r>
      <w:r w:rsidRPr="00097189">
        <w:rPr>
          <w:sz w:val="22"/>
          <w:szCs w:val="22"/>
        </w:rPr>
        <w:t xml:space="preserve"> &lt;</w:t>
      </w:r>
      <w:hyperlink r:id="rId43" w:history="1">
        <w:r w:rsidRPr="00097189">
          <w:rPr>
            <w:rStyle w:val="Hyperlink"/>
            <w:sz w:val="22"/>
            <w:szCs w:val="22"/>
          </w:rPr>
          <w:t>https://www.nationaltrust.org.uk/</w:t>
        </w:r>
      </w:hyperlink>
      <w:r w:rsidRPr="00097189">
        <w:rPr>
          <w:sz w:val="22"/>
          <w:szCs w:val="22"/>
        </w:rPr>
        <w:t xml:space="preserve">&gt; [accessed 29 April 2022] </w:t>
      </w:r>
    </w:p>
    <w:p w14:paraId="45AD618B" w14:textId="2783F4EE" w:rsidR="00D16500" w:rsidRDefault="00D16500" w:rsidP="00097189">
      <w:pPr>
        <w:pStyle w:val="FootnoteText"/>
        <w:rPr>
          <w:sz w:val="22"/>
          <w:szCs w:val="22"/>
        </w:rPr>
      </w:pPr>
    </w:p>
    <w:p w14:paraId="2785C367" w14:textId="77777777" w:rsidR="00D16500" w:rsidRPr="00D16500" w:rsidRDefault="00D16500" w:rsidP="00D16500">
      <w:pPr>
        <w:pStyle w:val="FootnoteText"/>
        <w:rPr>
          <w:sz w:val="22"/>
          <w:szCs w:val="22"/>
        </w:rPr>
      </w:pPr>
      <w:r w:rsidRPr="00D16500">
        <w:rPr>
          <w:i/>
          <w:iCs/>
          <w:sz w:val="22"/>
          <w:szCs w:val="22"/>
        </w:rPr>
        <w:t>The Royal Commission on the Ancient and Historical Monuments of Wales</w:t>
      </w:r>
      <w:r w:rsidRPr="00D16500">
        <w:rPr>
          <w:sz w:val="22"/>
          <w:szCs w:val="22"/>
        </w:rPr>
        <w:t xml:space="preserve"> &lt;</w:t>
      </w:r>
      <w:hyperlink r:id="rId44" w:history="1">
        <w:r w:rsidRPr="00D16500">
          <w:rPr>
            <w:rStyle w:val="Hyperlink"/>
            <w:sz w:val="22"/>
            <w:szCs w:val="22"/>
          </w:rPr>
          <w:t>https://rcahmw.gov.uk/</w:t>
        </w:r>
      </w:hyperlink>
      <w:r w:rsidRPr="00D16500">
        <w:rPr>
          <w:sz w:val="22"/>
          <w:szCs w:val="22"/>
        </w:rPr>
        <w:t xml:space="preserve">&gt; [accessed 28 April 2022] </w:t>
      </w:r>
    </w:p>
    <w:p w14:paraId="0C58035D" w14:textId="77777777" w:rsidR="00D16500" w:rsidRPr="00097189" w:rsidRDefault="00D16500" w:rsidP="00097189">
      <w:pPr>
        <w:pStyle w:val="FootnoteText"/>
        <w:rPr>
          <w:sz w:val="22"/>
          <w:szCs w:val="22"/>
        </w:rPr>
      </w:pPr>
    </w:p>
    <w:p w14:paraId="4384350D" w14:textId="77777777" w:rsidR="00655B95" w:rsidRDefault="00655B95" w:rsidP="00655B95">
      <w:pPr>
        <w:pStyle w:val="FootnoteText"/>
        <w:rPr>
          <w:sz w:val="22"/>
          <w:szCs w:val="22"/>
        </w:rPr>
      </w:pPr>
    </w:p>
    <w:p w14:paraId="11E50EC6" w14:textId="55C96C2C" w:rsidR="00655B95" w:rsidRDefault="00655B95" w:rsidP="00655B95">
      <w:pPr>
        <w:pStyle w:val="FootnoteText"/>
        <w:rPr>
          <w:sz w:val="22"/>
          <w:szCs w:val="22"/>
        </w:rPr>
      </w:pPr>
      <w:r w:rsidRPr="00655B95">
        <w:rPr>
          <w:sz w:val="22"/>
          <w:szCs w:val="22"/>
        </w:rPr>
        <w:t xml:space="preserve">‘The Well- being of future Generations Act 2015’, </w:t>
      </w:r>
      <w:r w:rsidRPr="00655B95">
        <w:rPr>
          <w:i/>
          <w:iCs/>
          <w:sz w:val="22"/>
          <w:szCs w:val="22"/>
        </w:rPr>
        <w:t>Welsh Government</w:t>
      </w:r>
      <w:r w:rsidRPr="00655B95">
        <w:rPr>
          <w:sz w:val="22"/>
          <w:szCs w:val="22"/>
        </w:rPr>
        <w:t xml:space="preserve"> &lt;</w:t>
      </w:r>
      <w:hyperlink r:id="rId45" w:history="1">
        <w:r w:rsidRPr="00655B95">
          <w:rPr>
            <w:rStyle w:val="Hyperlink"/>
            <w:sz w:val="22"/>
            <w:szCs w:val="22"/>
          </w:rPr>
          <w:t>https://gov.wales/well-being-of-future-generations-wales</w:t>
        </w:r>
      </w:hyperlink>
      <w:r w:rsidRPr="00655B95">
        <w:rPr>
          <w:sz w:val="22"/>
          <w:szCs w:val="22"/>
        </w:rPr>
        <w:t xml:space="preserve">&gt; [accessed 30 April 2022] </w:t>
      </w:r>
    </w:p>
    <w:p w14:paraId="2B47B0E6" w14:textId="360F7673" w:rsidR="00AA333F" w:rsidRDefault="00AA333F" w:rsidP="00655B95">
      <w:pPr>
        <w:pStyle w:val="FootnoteText"/>
        <w:rPr>
          <w:sz w:val="22"/>
          <w:szCs w:val="22"/>
        </w:rPr>
      </w:pPr>
    </w:p>
    <w:p w14:paraId="0A3FDCD7" w14:textId="4F07ED62" w:rsidR="00681728" w:rsidRDefault="00681728" w:rsidP="00655B95">
      <w:pPr>
        <w:pStyle w:val="FootnoteText"/>
        <w:rPr>
          <w:sz w:val="22"/>
          <w:szCs w:val="22"/>
        </w:rPr>
      </w:pPr>
    </w:p>
    <w:p w14:paraId="0B6D12B9" w14:textId="77777777" w:rsidR="00681728" w:rsidRPr="00681728" w:rsidRDefault="00681728" w:rsidP="00681728">
      <w:pPr>
        <w:pStyle w:val="FootnoteText"/>
        <w:rPr>
          <w:sz w:val="22"/>
          <w:szCs w:val="22"/>
        </w:rPr>
      </w:pPr>
      <w:r w:rsidRPr="00681728">
        <w:rPr>
          <w:sz w:val="22"/>
          <w:szCs w:val="22"/>
        </w:rPr>
        <w:t xml:space="preserve">‘Welsh Language Act 1993’, </w:t>
      </w:r>
      <w:r w:rsidRPr="00681728">
        <w:rPr>
          <w:i/>
          <w:iCs/>
          <w:sz w:val="22"/>
          <w:szCs w:val="22"/>
        </w:rPr>
        <w:t>Law Wales</w:t>
      </w:r>
      <w:r w:rsidRPr="00681728">
        <w:rPr>
          <w:sz w:val="22"/>
          <w:szCs w:val="22"/>
        </w:rPr>
        <w:t xml:space="preserve"> &lt;</w:t>
      </w:r>
      <w:hyperlink r:id="rId46" w:history="1">
        <w:r w:rsidRPr="00681728">
          <w:rPr>
            <w:rStyle w:val="Hyperlink"/>
            <w:sz w:val="22"/>
            <w:szCs w:val="22"/>
          </w:rPr>
          <w:t>https://law.gov.wales/culture/welsh-language/welsh-language-act-1993</w:t>
        </w:r>
      </w:hyperlink>
      <w:r w:rsidRPr="00681728">
        <w:rPr>
          <w:sz w:val="22"/>
          <w:szCs w:val="22"/>
        </w:rPr>
        <w:t xml:space="preserve">&gt; [accessed 25 April 2022] </w:t>
      </w:r>
    </w:p>
    <w:p w14:paraId="7E2ABB2A" w14:textId="77777777" w:rsidR="00681728" w:rsidRDefault="00681728" w:rsidP="00655B95">
      <w:pPr>
        <w:pStyle w:val="FootnoteText"/>
        <w:rPr>
          <w:sz w:val="22"/>
          <w:szCs w:val="22"/>
        </w:rPr>
      </w:pPr>
    </w:p>
    <w:p w14:paraId="3524C40F" w14:textId="77777777" w:rsidR="00AA333F" w:rsidRPr="00655B95" w:rsidRDefault="00AA333F" w:rsidP="00655B95">
      <w:pPr>
        <w:pStyle w:val="FootnoteText"/>
        <w:rPr>
          <w:sz w:val="22"/>
          <w:szCs w:val="22"/>
        </w:rPr>
      </w:pPr>
    </w:p>
    <w:p w14:paraId="026B3E24" w14:textId="2CCCB506" w:rsidR="00774048" w:rsidRDefault="00AA333F" w:rsidP="005E1411">
      <w:pPr>
        <w:spacing w:line="480" w:lineRule="auto"/>
      </w:pPr>
      <w:r>
        <w:t xml:space="preserve">‘What We Do’, </w:t>
      </w:r>
      <w:proofErr w:type="spellStart"/>
      <w:r w:rsidRPr="003006AE">
        <w:rPr>
          <w:i/>
          <w:iCs/>
        </w:rPr>
        <w:t>Cadw</w:t>
      </w:r>
      <w:proofErr w:type="spellEnd"/>
      <w:r>
        <w:rPr>
          <w:i/>
          <w:iCs/>
        </w:rPr>
        <w:t xml:space="preserve"> &lt;</w:t>
      </w:r>
      <w:r>
        <w:t xml:space="preserve"> </w:t>
      </w:r>
      <w:hyperlink r:id="rId47" w:history="1">
        <w:r w:rsidRPr="00386DB6">
          <w:rPr>
            <w:rStyle w:val="Hyperlink"/>
          </w:rPr>
          <w:t>https://cadw.gov.wales/about-us/what-we-do</w:t>
        </w:r>
      </w:hyperlink>
      <w:proofErr w:type="gramStart"/>
      <w:r>
        <w:t>&gt;  [</w:t>
      </w:r>
      <w:proofErr w:type="gramEnd"/>
      <w:r>
        <w:t>accessed 28 April 2022]</w:t>
      </w:r>
    </w:p>
    <w:p w14:paraId="0FC66719" w14:textId="77777777" w:rsidR="007E31C4" w:rsidRPr="007E31C4" w:rsidRDefault="007E31C4" w:rsidP="007E31C4">
      <w:pPr>
        <w:pStyle w:val="FootnoteText"/>
        <w:rPr>
          <w:sz w:val="22"/>
          <w:szCs w:val="22"/>
        </w:rPr>
      </w:pPr>
      <w:r w:rsidRPr="007E31C4">
        <w:rPr>
          <w:sz w:val="22"/>
          <w:szCs w:val="22"/>
        </w:rPr>
        <w:t xml:space="preserve">‘1900:63 and 64 Victoria c.34:Ancient Monuments Protection Act’, </w:t>
      </w:r>
      <w:r w:rsidRPr="007E31C4">
        <w:rPr>
          <w:i/>
          <w:iCs/>
          <w:sz w:val="22"/>
          <w:szCs w:val="22"/>
        </w:rPr>
        <w:t>The Statutes Project</w:t>
      </w:r>
      <w:r w:rsidRPr="007E31C4">
        <w:rPr>
          <w:sz w:val="22"/>
          <w:szCs w:val="22"/>
        </w:rPr>
        <w:t xml:space="preserve"> &lt;</w:t>
      </w:r>
      <w:hyperlink r:id="rId48" w:history="1">
        <w:r w:rsidRPr="007E31C4">
          <w:rPr>
            <w:rStyle w:val="Hyperlink"/>
            <w:sz w:val="22"/>
            <w:szCs w:val="22"/>
          </w:rPr>
          <w:t>https://statutes.org.uk/site/the-statutes/twentieth-century/1900-63-64-victoria-c-34-ancient-monuments-protection-act/</w:t>
        </w:r>
      </w:hyperlink>
      <w:r w:rsidRPr="007E31C4">
        <w:rPr>
          <w:sz w:val="22"/>
          <w:szCs w:val="22"/>
        </w:rPr>
        <w:t>&gt; [accessed 17 April 2022]</w:t>
      </w:r>
    </w:p>
    <w:p w14:paraId="44497E3F" w14:textId="77777777" w:rsidR="007E31C4" w:rsidRPr="00655B95" w:rsidRDefault="007E31C4" w:rsidP="005E1411">
      <w:pPr>
        <w:spacing w:line="480" w:lineRule="auto"/>
      </w:pPr>
    </w:p>
    <w:p w14:paraId="36E61F0A" w14:textId="77777777" w:rsidR="001017DF" w:rsidRDefault="001017DF" w:rsidP="005E1411">
      <w:pPr>
        <w:spacing w:line="480" w:lineRule="auto"/>
      </w:pPr>
    </w:p>
    <w:p w14:paraId="370CC8E6" w14:textId="77777777" w:rsidR="009865DC" w:rsidRPr="009865DC" w:rsidRDefault="009865DC" w:rsidP="00C30E80">
      <w:pPr>
        <w:pStyle w:val="FootnoteText"/>
        <w:rPr>
          <w:sz w:val="22"/>
          <w:szCs w:val="22"/>
        </w:rPr>
      </w:pPr>
    </w:p>
    <w:p w14:paraId="26579CEA" w14:textId="77777777" w:rsidR="00C30E80" w:rsidRDefault="00C30E80" w:rsidP="002D68DA">
      <w:pPr>
        <w:spacing w:line="480" w:lineRule="auto"/>
      </w:pPr>
    </w:p>
    <w:p w14:paraId="1A2342F1" w14:textId="77777777" w:rsidR="00F642ED" w:rsidRPr="00E470E1" w:rsidRDefault="00F642ED" w:rsidP="002D68DA">
      <w:pPr>
        <w:spacing w:line="480" w:lineRule="auto"/>
      </w:pPr>
    </w:p>
    <w:sectPr w:rsidR="00F642ED" w:rsidRPr="00E470E1">
      <w:headerReference w:type="even" r:id="rId49"/>
      <w:headerReference w:type="default" r:id="rId50"/>
      <w:footerReference w:type="even" r:id="rId51"/>
      <w:footerReference w:type="default" r:id="rId52"/>
      <w:headerReference w:type="first" r:id="rId53"/>
      <w:footerReference w:type="firs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08BDD" w14:textId="77777777" w:rsidR="00495DAD" w:rsidRDefault="00495DAD" w:rsidP="00495DAD">
      <w:pPr>
        <w:spacing w:after="0" w:line="240" w:lineRule="auto"/>
      </w:pPr>
      <w:r>
        <w:separator/>
      </w:r>
    </w:p>
  </w:endnote>
  <w:endnote w:type="continuationSeparator" w:id="0">
    <w:p w14:paraId="7DF17F01" w14:textId="77777777" w:rsidR="00495DAD" w:rsidRDefault="00495DAD" w:rsidP="00495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18449" w14:textId="77777777" w:rsidR="00495DAD" w:rsidRDefault="00495D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9388946"/>
      <w:docPartObj>
        <w:docPartGallery w:val="Page Numbers (Bottom of Page)"/>
        <w:docPartUnique/>
      </w:docPartObj>
    </w:sdtPr>
    <w:sdtEndPr>
      <w:rPr>
        <w:noProof/>
      </w:rPr>
    </w:sdtEndPr>
    <w:sdtContent>
      <w:p w14:paraId="0D5F5F73" w14:textId="2FDCA024" w:rsidR="00495DAD" w:rsidRDefault="00495D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53E14C" w14:textId="77777777" w:rsidR="00495DAD" w:rsidRDefault="00495D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4AC7A" w14:textId="77777777" w:rsidR="00495DAD" w:rsidRDefault="00495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BF309" w14:textId="77777777" w:rsidR="00495DAD" w:rsidRDefault="00495DAD" w:rsidP="00495DAD">
      <w:pPr>
        <w:spacing w:after="0" w:line="240" w:lineRule="auto"/>
      </w:pPr>
      <w:r>
        <w:separator/>
      </w:r>
    </w:p>
  </w:footnote>
  <w:footnote w:type="continuationSeparator" w:id="0">
    <w:p w14:paraId="60A52D30" w14:textId="77777777" w:rsidR="00495DAD" w:rsidRDefault="00495DAD" w:rsidP="00495DAD">
      <w:pPr>
        <w:spacing w:after="0" w:line="240" w:lineRule="auto"/>
      </w:pPr>
      <w:r>
        <w:continuationSeparator/>
      </w:r>
    </w:p>
  </w:footnote>
  <w:footnote w:id="1">
    <w:p w14:paraId="6F0539D8" w14:textId="35C36CF2" w:rsidR="00492060" w:rsidRDefault="00492060">
      <w:pPr>
        <w:pStyle w:val="FootnoteText"/>
      </w:pPr>
      <w:r>
        <w:rPr>
          <w:rStyle w:val="FootnoteReference"/>
        </w:rPr>
        <w:footnoteRef/>
      </w:r>
      <w:r>
        <w:t xml:space="preserve"> </w:t>
      </w:r>
      <w:r w:rsidR="008614FC">
        <w:t>‘</w:t>
      </w:r>
      <w:r>
        <w:t>Historic Buildings and Monuments Act 1953</w:t>
      </w:r>
      <w:r w:rsidR="008614FC">
        <w:t>’</w:t>
      </w:r>
      <w:r w:rsidR="008614FC" w:rsidRPr="008614FC">
        <w:rPr>
          <w:i/>
          <w:iCs/>
        </w:rPr>
        <w:t>, Legislation.gov.uk</w:t>
      </w:r>
      <w:r>
        <w:t xml:space="preserve"> &lt;</w:t>
      </w:r>
      <w:hyperlink r:id="rId1" w:history="1">
        <w:r w:rsidRPr="000B02C1">
          <w:rPr>
            <w:rStyle w:val="Hyperlink"/>
          </w:rPr>
          <w:t>https://www.legislation.gov.uk/ukpga/Eliz2/1-2/49/introduction/en.acted</w:t>
        </w:r>
      </w:hyperlink>
      <w:r w:rsidR="00020145">
        <w:t>&gt; [</w:t>
      </w:r>
      <w:r>
        <w:t xml:space="preserve">accessed 3 April 2022] </w:t>
      </w:r>
    </w:p>
  </w:footnote>
  <w:footnote w:id="2">
    <w:p w14:paraId="2CCEF9F8" w14:textId="68C674DC" w:rsidR="00771B68" w:rsidRDefault="00771B68">
      <w:pPr>
        <w:pStyle w:val="FootnoteText"/>
      </w:pPr>
      <w:r>
        <w:rPr>
          <w:rStyle w:val="FootnoteReference"/>
        </w:rPr>
        <w:footnoteRef/>
      </w:r>
      <w:r>
        <w:t xml:space="preserve"> Paul Belford, ‘Politics and Heritage: Developments in Historic Environment Policy and Practice in Wales’, </w:t>
      </w:r>
      <w:r w:rsidRPr="009546CE">
        <w:rPr>
          <w:i/>
          <w:iCs/>
        </w:rPr>
        <w:t>The Historic Environment Policy and Practice</w:t>
      </w:r>
      <w:r w:rsidR="009546CE" w:rsidRPr="009546CE">
        <w:rPr>
          <w:i/>
          <w:iCs/>
        </w:rPr>
        <w:t xml:space="preserve"> </w:t>
      </w:r>
      <w:r w:rsidRPr="009546CE">
        <w:rPr>
          <w:i/>
          <w:iCs/>
        </w:rPr>
        <w:t>2018</w:t>
      </w:r>
      <w:r>
        <w:t xml:space="preserve"> </w:t>
      </w:r>
      <w:r w:rsidR="009546CE">
        <w:t>&lt;</w:t>
      </w:r>
      <w:r>
        <w:t>https://doi.org/10.1080/17567505.2018.1456721</w:t>
      </w:r>
      <w:r w:rsidR="009546CE">
        <w:t>&gt;</w:t>
      </w:r>
    </w:p>
  </w:footnote>
  <w:footnote w:id="3">
    <w:p w14:paraId="6912A284" w14:textId="0ACE47A0" w:rsidR="00342816" w:rsidRDefault="00342816">
      <w:pPr>
        <w:pStyle w:val="FootnoteText"/>
      </w:pPr>
      <w:r>
        <w:rPr>
          <w:rStyle w:val="FootnoteReference"/>
        </w:rPr>
        <w:footnoteRef/>
      </w:r>
      <w:r>
        <w:t xml:space="preserve"> Johnathan Taylor, ‘The National Heritage Bodies’, </w:t>
      </w:r>
      <w:r w:rsidRPr="00A60C48">
        <w:rPr>
          <w:i/>
          <w:iCs/>
        </w:rPr>
        <w:t>Building Conservation</w:t>
      </w:r>
      <w:r>
        <w:t xml:space="preserve"> </w:t>
      </w:r>
      <w:r w:rsidR="00B167AF">
        <w:t>&lt;</w:t>
      </w:r>
      <w:hyperlink r:id="rId2" w:history="1">
        <w:r w:rsidR="00B167AF" w:rsidRPr="00C92C3B">
          <w:rPr>
            <w:rStyle w:val="Hyperlink"/>
          </w:rPr>
          <w:t>https://buildingconservation.com/articles/national-heritage-bodies/national-heritage-bodies.htm</w:t>
        </w:r>
      </w:hyperlink>
      <w:r w:rsidR="00B167AF">
        <w:t xml:space="preserve">&gt; [accessed 3 April 2022] </w:t>
      </w:r>
    </w:p>
  </w:footnote>
  <w:footnote w:id="4">
    <w:p w14:paraId="2D0864FE" w14:textId="17EDD55C" w:rsidR="00D00C12" w:rsidRDefault="00D00C12">
      <w:pPr>
        <w:pStyle w:val="FootnoteText"/>
      </w:pPr>
      <w:r>
        <w:rPr>
          <w:rStyle w:val="FootnoteReference"/>
        </w:rPr>
        <w:footnoteRef/>
      </w:r>
      <w:r>
        <w:t xml:space="preserve"> ‘Heritage Protection for the Twenty first Century’, </w:t>
      </w:r>
      <w:r w:rsidRPr="00D00C12">
        <w:rPr>
          <w:i/>
          <w:iCs/>
        </w:rPr>
        <w:t>Gov.uk</w:t>
      </w:r>
      <w:r>
        <w:t xml:space="preserve"> &lt;</w:t>
      </w:r>
      <w:hyperlink r:id="rId3" w:history="1">
        <w:r w:rsidRPr="007053A0">
          <w:rPr>
            <w:rStyle w:val="Hyperlink"/>
          </w:rPr>
          <w:t>https://www.gov/government/publications/heritage-protectiob-for-the-21stcentury-white-paper</w:t>
        </w:r>
      </w:hyperlink>
      <w:r>
        <w:t xml:space="preserve">&gt; [accessed 14 April 2022] </w:t>
      </w:r>
    </w:p>
  </w:footnote>
  <w:footnote w:id="5">
    <w:p w14:paraId="1CC4E967" w14:textId="1B883E76" w:rsidR="00CC3844" w:rsidRDefault="00CC3844">
      <w:pPr>
        <w:pStyle w:val="FootnoteText"/>
      </w:pPr>
      <w:r>
        <w:rPr>
          <w:rStyle w:val="FootnoteReference"/>
        </w:rPr>
        <w:footnoteRef/>
      </w:r>
      <w:r>
        <w:t xml:space="preserve"> </w:t>
      </w:r>
      <w:r w:rsidR="00B2342E" w:rsidRPr="00B2342E">
        <w:rPr>
          <w:i/>
          <w:iCs/>
        </w:rPr>
        <w:t>The National Trust</w:t>
      </w:r>
      <w:r w:rsidR="00B2342E">
        <w:t xml:space="preserve"> </w:t>
      </w:r>
      <w:r>
        <w:t>&lt;</w:t>
      </w:r>
      <w:hyperlink r:id="rId4" w:history="1">
        <w:r w:rsidRPr="00C92C3B">
          <w:rPr>
            <w:rStyle w:val="Hyperlink"/>
          </w:rPr>
          <w:t>https://www.nationaltrust.org.uk/</w:t>
        </w:r>
      </w:hyperlink>
      <w:r>
        <w:t xml:space="preserve">&gt; [accessed 6 April 2022] </w:t>
      </w:r>
    </w:p>
  </w:footnote>
  <w:footnote w:id="6">
    <w:p w14:paraId="5B2F8A90" w14:textId="7CD77605" w:rsidR="00CC3844" w:rsidRDefault="00CC3844">
      <w:pPr>
        <w:pStyle w:val="FootnoteText"/>
      </w:pPr>
      <w:r>
        <w:rPr>
          <w:rStyle w:val="FootnoteReference"/>
        </w:rPr>
        <w:footnoteRef/>
      </w:r>
      <w:r>
        <w:t xml:space="preserve"> </w:t>
      </w:r>
      <w:bookmarkStart w:id="0" w:name="_Hlk102574333"/>
      <w:r>
        <w:t>&lt;</w:t>
      </w:r>
      <w:hyperlink r:id="rId5" w:history="1">
        <w:r w:rsidRPr="00C92C3B">
          <w:rPr>
            <w:rStyle w:val="Hyperlink"/>
          </w:rPr>
          <w:t>https://www.victoriansociety.org.uk/</w:t>
        </w:r>
      </w:hyperlink>
      <w:r>
        <w:t xml:space="preserve">&gt; [accessed 7 April 2022] </w:t>
      </w:r>
    </w:p>
    <w:bookmarkEnd w:id="0"/>
  </w:footnote>
  <w:footnote w:id="7">
    <w:p w14:paraId="0187B5E4" w14:textId="6B139461" w:rsidR="00674F3C" w:rsidRDefault="00674F3C">
      <w:pPr>
        <w:pStyle w:val="FootnoteText"/>
      </w:pPr>
      <w:r>
        <w:rPr>
          <w:rStyle w:val="FootnoteReference"/>
        </w:rPr>
        <w:footnoteRef/>
      </w:r>
      <w:r>
        <w:t xml:space="preserve">  &lt;</w:t>
      </w:r>
      <w:hyperlink r:id="rId6" w:history="1">
        <w:r w:rsidRPr="00C92C3B">
          <w:rPr>
            <w:rStyle w:val="Hyperlink"/>
          </w:rPr>
          <w:t>https://www.visitchurches.org.uk/</w:t>
        </w:r>
      </w:hyperlink>
      <w:r>
        <w:t xml:space="preserve">&gt; [accessed 7 April 2022] </w:t>
      </w:r>
    </w:p>
  </w:footnote>
  <w:footnote w:id="8">
    <w:p w14:paraId="7EBCFEFF" w14:textId="77ABBDCC" w:rsidR="004F6A1A" w:rsidRDefault="004F6A1A">
      <w:pPr>
        <w:pStyle w:val="FootnoteText"/>
      </w:pPr>
      <w:r>
        <w:rPr>
          <w:rStyle w:val="FootnoteReference"/>
        </w:rPr>
        <w:footnoteRef/>
      </w:r>
      <w:r>
        <w:t xml:space="preserve"> </w:t>
      </w:r>
      <w:bookmarkStart w:id="2" w:name="_Hlk102574173"/>
      <w:r>
        <w:t xml:space="preserve">‘Preserving Historic Sites and Buildings’, </w:t>
      </w:r>
      <w:r w:rsidRPr="004F6A1A">
        <w:rPr>
          <w:i/>
          <w:iCs/>
        </w:rPr>
        <w:t>UK Parliament</w:t>
      </w:r>
      <w:r>
        <w:t xml:space="preserve"> &lt;</w:t>
      </w:r>
      <w:hyperlink r:id="rId7" w:history="1">
        <w:r w:rsidRPr="004D5B12">
          <w:rPr>
            <w:rStyle w:val="Hyperlink"/>
          </w:rPr>
          <w:t>https://www.parliament.uk/about/living-heritage/transformingsociety/towncountry/landscape/overview/historicsites/</w:t>
        </w:r>
      </w:hyperlink>
      <w:r>
        <w:t xml:space="preserve">&gt; [accessed 17 April 2022] </w:t>
      </w:r>
      <w:bookmarkEnd w:id="2"/>
    </w:p>
  </w:footnote>
  <w:footnote w:id="9">
    <w:p w14:paraId="36127415" w14:textId="6602696E" w:rsidR="002A2614" w:rsidRDefault="002A2614" w:rsidP="001E6046">
      <w:pPr>
        <w:pStyle w:val="FootnoteText"/>
      </w:pPr>
      <w:r>
        <w:rPr>
          <w:rStyle w:val="FootnoteReference"/>
        </w:rPr>
        <w:footnoteRef/>
      </w:r>
      <w:r>
        <w:t xml:space="preserve"> </w:t>
      </w:r>
      <w:bookmarkStart w:id="3" w:name="_Hlk102399343"/>
      <w:r>
        <w:t xml:space="preserve">‘Ancient Monuments Protection Act 1900’, </w:t>
      </w:r>
      <w:r w:rsidRPr="002A2614">
        <w:rPr>
          <w:i/>
          <w:iCs/>
        </w:rPr>
        <w:t>Hansard</w:t>
      </w:r>
      <w:r>
        <w:t xml:space="preserve"> &lt;</w:t>
      </w:r>
      <w:hyperlink r:id="rId8" w:history="1">
        <w:r w:rsidRPr="004D5B12">
          <w:rPr>
            <w:rStyle w:val="Hyperlink"/>
          </w:rPr>
          <w:t>https://api.parliament.uk/historic-hansard/acts/ancient-monuments-protection-act-1900</w:t>
        </w:r>
      </w:hyperlink>
      <w:r>
        <w:t xml:space="preserve">&gt; </w:t>
      </w:r>
      <w:r w:rsidR="0072621D">
        <w:t>[accessed 17 April 2022]</w:t>
      </w:r>
      <w:bookmarkEnd w:id="3"/>
    </w:p>
  </w:footnote>
  <w:footnote w:id="10">
    <w:p w14:paraId="7E4121F4" w14:textId="45BAB004" w:rsidR="001E6046" w:rsidRDefault="001E6046">
      <w:pPr>
        <w:pStyle w:val="FootnoteText"/>
      </w:pPr>
      <w:r>
        <w:rPr>
          <w:rStyle w:val="FootnoteReference"/>
        </w:rPr>
        <w:footnoteRef/>
      </w:r>
      <w:r>
        <w:t xml:space="preserve"> </w:t>
      </w:r>
      <w:bookmarkStart w:id="4" w:name="_Hlk102574119"/>
      <w:r>
        <w:t xml:space="preserve">‘1900:63 and 64 Victoria c.34:Ancient Monuments Protection Act’, </w:t>
      </w:r>
      <w:r w:rsidRPr="001E6046">
        <w:rPr>
          <w:i/>
          <w:iCs/>
        </w:rPr>
        <w:t>The Statutes Project</w:t>
      </w:r>
      <w:r>
        <w:t xml:space="preserve"> &lt;</w:t>
      </w:r>
      <w:hyperlink r:id="rId9" w:history="1">
        <w:r w:rsidRPr="00CA41B2">
          <w:rPr>
            <w:rStyle w:val="Hyperlink"/>
          </w:rPr>
          <w:t>https://statutes.org.uk/site/the-statutes/twentieth-century/1900-63-64-victoria-c-34-ancient-monuments-protection-act/</w:t>
        </w:r>
      </w:hyperlink>
      <w:r>
        <w:t>&gt; [accessed 17 April 2022]</w:t>
      </w:r>
    </w:p>
    <w:bookmarkEnd w:id="4"/>
  </w:footnote>
  <w:footnote w:id="11">
    <w:p w14:paraId="4BFA8D26" w14:textId="722BFC5A" w:rsidR="006A1AA7" w:rsidRDefault="006A1AA7">
      <w:pPr>
        <w:pStyle w:val="FootnoteText"/>
      </w:pPr>
      <w:r>
        <w:rPr>
          <w:rStyle w:val="FootnoteReference"/>
        </w:rPr>
        <w:footnoteRef/>
      </w:r>
      <w:r>
        <w:t xml:space="preserve"> </w:t>
      </w:r>
      <w:bookmarkStart w:id="5" w:name="_Hlk102399468"/>
      <w:r>
        <w:t xml:space="preserve">‘Clause 22 – definition of Ancient Monument’, </w:t>
      </w:r>
      <w:r w:rsidRPr="006A1AA7">
        <w:rPr>
          <w:i/>
          <w:iCs/>
        </w:rPr>
        <w:t>Hansard</w:t>
      </w:r>
      <w:r>
        <w:t xml:space="preserve"> &lt;</w:t>
      </w:r>
      <w:hyperlink r:id="rId10" w:history="1">
        <w:r w:rsidRPr="00CA41B2">
          <w:rPr>
            <w:rStyle w:val="Hyperlink"/>
          </w:rPr>
          <w:t>https://api.parliament.uk/historic-hansard/commons/1913/aug/12/clause-22-definition-of-ancient-monument</w:t>
        </w:r>
      </w:hyperlink>
      <w:r>
        <w:t>&gt; [accessed 17 April 2022]</w:t>
      </w:r>
    </w:p>
    <w:bookmarkEnd w:id="5"/>
  </w:footnote>
  <w:footnote w:id="12">
    <w:p w14:paraId="6CCE37CF" w14:textId="098666C6" w:rsidR="009414C0" w:rsidRDefault="009414C0">
      <w:pPr>
        <w:pStyle w:val="FootnoteText"/>
      </w:pPr>
      <w:r>
        <w:rPr>
          <w:rStyle w:val="FootnoteReference"/>
        </w:rPr>
        <w:footnoteRef/>
      </w:r>
      <w:r w:rsidR="00795B29">
        <w:t xml:space="preserve"> ‘Royal Assent 1931 Act’, </w:t>
      </w:r>
      <w:r w:rsidR="00795B29" w:rsidRPr="00795B29">
        <w:rPr>
          <w:i/>
          <w:iCs/>
        </w:rPr>
        <w:t>Hansard</w:t>
      </w:r>
      <w:r w:rsidRPr="00795B29">
        <w:rPr>
          <w:i/>
          <w:iCs/>
        </w:rPr>
        <w:t xml:space="preserve"> </w:t>
      </w:r>
      <w:r w:rsidR="00795B29">
        <w:rPr>
          <w:i/>
          <w:iCs/>
        </w:rPr>
        <w:t>&lt;</w:t>
      </w:r>
      <w:hyperlink r:id="rId11" w:anchor="S5CV0253P0_19310611_HOC_331" w:history="1">
        <w:r w:rsidR="00795B29" w:rsidRPr="00327E31">
          <w:rPr>
            <w:rStyle w:val="Hyperlink"/>
          </w:rPr>
          <w:t>https://api.parliament.uk/historic-hansard/commons/1931/jun/11/royal-assent#S5CV0253P0_19310611_HOC_331</w:t>
        </w:r>
      </w:hyperlink>
      <w:r w:rsidR="00795B29">
        <w:t xml:space="preserve">&gt; [accessed 18 April 2022] </w:t>
      </w:r>
    </w:p>
  </w:footnote>
  <w:footnote w:id="13">
    <w:p w14:paraId="476F2889" w14:textId="66324C2C" w:rsidR="00592378" w:rsidRDefault="00592378">
      <w:pPr>
        <w:pStyle w:val="FootnoteText"/>
      </w:pPr>
      <w:r>
        <w:rPr>
          <w:rStyle w:val="FootnoteReference"/>
        </w:rPr>
        <w:footnoteRef/>
      </w:r>
      <w:r>
        <w:t xml:space="preserve"> </w:t>
      </w:r>
      <w:bookmarkStart w:id="6" w:name="_Hlk102413312"/>
      <w:r w:rsidR="00534C4D">
        <w:t xml:space="preserve">Stephen W </w:t>
      </w:r>
      <w:proofErr w:type="spellStart"/>
      <w:r w:rsidR="00534C4D">
        <w:t>Creigh</w:t>
      </w:r>
      <w:proofErr w:type="spellEnd"/>
      <w:r w:rsidR="00534C4D">
        <w:t xml:space="preserve"> – </w:t>
      </w:r>
      <w:proofErr w:type="spellStart"/>
      <w:r w:rsidR="00534C4D">
        <w:t>Tyte</w:t>
      </w:r>
      <w:proofErr w:type="spellEnd"/>
      <w:r w:rsidR="00534C4D">
        <w:t xml:space="preserve"> and Joanne Gallimore, ‘The Built Heritage in England: The History and Development of Government Policy’, </w:t>
      </w:r>
      <w:r w:rsidR="00534C4D" w:rsidRPr="00534C4D">
        <w:rPr>
          <w:i/>
          <w:iCs/>
        </w:rPr>
        <w:t>Cultural Trends</w:t>
      </w:r>
      <w:r w:rsidR="00534C4D">
        <w:t>, 8:32, 25 – 36, &lt;</w:t>
      </w:r>
      <w:hyperlink r:id="rId12" w:history="1">
        <w:r w:rsidR="00534C4D" w:rsidRPr="00327E31">
          <w:rPr>
            <w:rStyle w:val="Hyperlink"/>
          </w:rPr>
          <w:t>https://doi.org/10.1080/09548969809365058</w:t>
        </w:r>
      </w:hyperlink>
      <w:r w:rsidR="00534C4D">
        <w:t xml:space="preserve">&gt; </w:t>
      </w:r>
      <w:bookmarkEnd w:id="6"/>
    </w:p>
  </w:footnote>
  <w:footnote w:id="14">
    <w:p w14:paraId="2D8D6BB8" w14:textId="594BA499" w:rsidR="0040338C" w:rsidRDefault="0040338C">
      <w:pPr>
        <w:pStyle w:val="FootnoteText"/>
      </w:pPr>
      <w:r>
        <w:rPr>
          <w:rStyle w:val="FootnoteReference"/>
        </w:rPr>
        <w:footnoteRef/>
      </w:r>
      <w:r>
        <w:t xml:space="preserve"> </w:t>
      </w:r>
      <w:bookmarkStart w:id="7" w:name="_Hlk102574051"/>
      <w:r>
        <w:t xml:space="preserve">‘Historic Buildings and Ancient monuments Act 1953,’ </w:t>
      </w:r>
      <w:bookmarkStart w:id="8" w:name="_Hlk101463084"/>
      <w:r w:rsidRPr="0040338C">
        <w:rPr>
          <w:i/>
          <w:iCs/>
        </w:rPr>
        <w:t>Legislation.gov.uk</w:t>
      </w:r>
      <w:r>
        <w:t xml:space="preserve"> </w:t>
      </w:r>
      <w:bookmarkEnd w:id="8"/>
      <w:r>
        <w:t>&lt;</w:t>
      </w:r>
      <w:hyperlink r:id="rId13" w:history="1">
        <w:r w:rsidRPr="00327E31">
          <w:rPr>
            <w:rStyle w:val="Hyperlink"/>
          </w:rPr>
          <w:t>https://www.legislation.gov.uk/uk/ukpga/Eliz2/1-2/49/introduction/enacted</w:t>
        </w:r>
      </w:hyperlink>
      <w:r>
        <w:t>&gt; [accessed 3 April 2022]</w:t>
      </w:r>
      <w:bookmarkEnd w:id="7"/>
    </w:p>
  </w:footnote>
  <w:footnote w:id="15">
    <w:p w14:paraId="3A15A261" w14:textId="5817CEBB" w:rsidR="007107B8" w:rsidRPr="00FD6825" w:rsidRDefault="007107B8" w:rsidP="00FD6825">
      <w:pPr>
        <w:pStyle w:val="Heading2"/>
        <w:rPr>
          <w:rFonts w:ascii="Times New Roman" w:eastAsia="Times New Roman" w:hAnsi="Times New Roman" w:cs="Times New Roman"/>
          <w:color w:val="auto"/>
          <w:sz w:val="20"/>
          <w:szCs w:val="20"/>
          <w:lang w:eastAsia="en-GB"/>
        </w:rPr>
      </w:pPr>
      <w:r w:rsidRPr="001729FB">
        <w:rPr>
          <w:rStyle w:val="FootnoteReference"/>
          <w:sz w:val="20"/>
          <w:szCs w:val="20"/>
        </w:rPr>
        <w:footnoteRef/>
      </w:r>
      <w:r w:rsidRPr="001729FB">
        <w:rPr>
          <w:sz w:val="20"/>
          <w:szCs w:val="20"/>
        </w:rPr>
        <w:t xml:space="preserve"> </w:t>
      </w:r>
      <w:bookmarkStart w:id="9" w:name="_Hlk102399570"/>
      <w:r w:rsidRPr="001729FB">
        <w:rPr>
          <w:color w:val="auto"/>
          <w:sz w:val="20"/>
          <w:szCs w:val="20"/>
        </w:rPr>
        <w:t>Lord Silken</w:t>
      </w:r>
      <w:r w:rsidRPr="001729FB">
        <w:rPr>
          <w:sz w:val="20"/>
          <w:szCs w:val="20"/>
        </w:rPr>
        <w:t>, ‘</w:t>
      </w:r>
      <w:r w:rsidRPr="001729FB">
        <w:rPr>
          <w:rFonts w:asciiTheme="minorHAnsi" w:eastAsia="Times New Roman" w:hAnsiTheme="minorHAnsi" w:cstheme="minorHAnsi"/>
          <w:color w:val="auto"/>
          <w:sz w:val="20"/>
          <w:szCs w:val="20"/>
          <w:lang w:eastAsia="en-GB"/>
        </w:rPr>
        <w:t xml:space="preserve">Volume 183: debated on Thursday 30 July 1953’, </w:t>
      </w:r>
      <w:r w:rsidRPr="001729FB">
        <w:rPr>
          <w:rFonts w:asciiTheme="minorHAnsi" w:eastAsia="Times New Roman" w:hAnsiTheme="minorHAnsi" w:cstheme="minorHAnsi"/>
          <w:i/>
          <w:iCs/>
          <w:color w:val="auto"/>
          <w:sz w:val="20"/>
          <w:szCs w:val="20"/>
          <w:lang w:eastAsia="en-GB"/>
        </w:rPr>
        <w:t>Hansard</w:t>
      </w:r>
      <w:r w:rsidRPr="001729FB">
        <w:rPr>
          <w:rFonts w:ascii="Times New Roman" w:eastAsia="Times New Roman" w:hAnsi="Times New Roman" w:cs="Times New Roman"/>
          <w:b/>
          <w:bCs/>
          <w:color w:val="auto"/>
          <w:sz w:val="20"/>
          <w:szCs w:val="20"/>
          <w:lang w:eastAsia="en-GB"/>
        </w:rPr>
        <w:t xml:space="preserve"> </w:t>
      </w:r>
      <w:r w:rsidR="001729FB" w:rsidRPr="001729FB">
        <w:rPr>
          <w:rFonts w:ascii="Times New Roman" w:eastAsia="Times New Roman" w:hAnsi="Times New Roman" w:cs="Times New Roman"/>
          <w:b/>
          <w:bCs/>
          <w:color w:val="auto"/>
          <w:sz w:val="20"/>
          <w:szCs w:val="20"/>
          <w:lang w:eastAsia="en-GB"/>
        </w:rPr>
        <w:t>&lt;</w:t>
      </w:r>
      <w:hyperlink r:id="rId14" w:history="1">
        <w:r w:rsidR="001729FB" w:rsidRPr="001729FB">
          <w:rPr>
            <w:rStyle w:val="Hyperlink"/>
            <w:rFonts w:asciiTheme="minorHAnsi" w:eastAsia="Times New Roman" w:hAnsiTheme="minorHAnsi" w:cstheme="minorHAnsi"/>
            <w:sz w:val="20"/>
            <w:szCs w:val="20"/>
            <w:lang w:eastAsia="en-GB"/>
          </w:rPr>
          <w:t>https://hansard.parliament.uk/lords/1953-07-30/debates/9a1bf3ad-3cb3-4a36-bc45-91f6e83e35d0/HistoricBuildingsAndAncientMonumentsBill</w:t>
        </w:r>
      </w:hyperlink>
      <w:r w:rsidR="001729FB" w:rsidRPr="001729FB">
        <w:rPr>
          <w:rFonts w:asciiTheme="minorHAnsi" w:eastAsia="Times New Roman" w:hAnsiTheme="minorHAnsi" w:cstheme="minorHAnsi"/>
          <w:sz w:val="20"/>
          <w:szCs w:val="20"/>
          <w:lang w:eastAsia="en-GB"/>
        </w:rPr>
        <w:t>&gt;</w:t>
      </w:r>
      <w:r w:rsidRPr="001729FB">
        <w:rPr>
          <w:rFonts w:asciiTheme="minorHAnsi" w:eastAsia="Times New Roman" w:hAnsiTheme="minorHAnsi" w:cstheme="minorHAnsi"/>
          <w:color w:val="auto"/>
          <w:sz w:val="20"/>
          <w:szCs w:val="20"/>
          <w:lang w:eastAsia="en-GB"/>
        </w:rPr>
        <w:t xml:space="preserve"> </w:t>
      </w:r>
      <w:r w:rsidRPr="001729FB">
        <w:rPr>
          <w:rFonts w:ascii="Times New Roman" w:eastAsia="Times New Roman" w:hAnsi="Times New Roman" w:cs="Times New Roman"/>
          <w:color w:val="auto"/>
          <w:sz w:val="20"/>
          <w:szCs w:val="20"/>
          <w:lang w:eastAsia="en-GB"/>
        </w:rPr>
        <w:t>[</w:t>
      </w:r>
      <w:r w:rsidRPr="001729FB">
        <w:rPr>
          <w:rFonts w:asciiTheme="minorHAnsi" w:eastAsia="Times New Roman" w:hAnsiTheme="minorHAnsi" w:cstheme="minorHAnsi"/>
          <w:color w:val="auto"/>
          <w:sz w:val="20"/>
          <w:szCs w:val="20"/>
          <w:lang w:eastAsia="en-GB"/>
        </w:rPr>
        <w:t>accessed 20 April 2022]</w:t>
      </w:r>
    </w:p>
    <w:bookmarkEnd w:id="9"/>
  </w:footnote>
  <w:footnote w:id="16">
    <w:p w14:paraId="318211DE" w14:textId="1A12F869" w:rsidR="00530E47" w:rsidRDefault="00530E47">
      <w:pPr>
        <w:pStyle w:val="FootnoteText"/>
      </w:pPr>
      <w:r>
        <w:rPr>
          <w:rStyle w:val="FootnoteReference"/>
        </w:rPr>
        <w:footnoteRef/>
      </w:r>
      <w:r>
        <w:t xml:space="preserve"> </w:t>
      </w:r>
      <w:bookmarkStart w:id="10" w:name="_Hlk102573979"/>
      <w:r>
        <w:t>Rose Staveley – Wadham, ‘</w:t>
      </w:r>
      <w:bookmarkStart w:id="11" w:name="_Hlk101377960"/>
      <w:r>
        <w:t xml:space="preserve">Necessity versus Nostalgia – the Destruction of the </w:t>
      </w:r>
      <w:r w:rsidR="004A7B55">
        <w:t>C</w:t>
      </w:r>
      <w:r>
        <w:t>ountry House’</w:t>
      </w:r>
      <w:bookmarkEnd w:id="11"/>
      <w:r>
        <w:t xml:space="preserve">, </w:t>
      </w:r>
      <w:r w:rsidRPr="004A7B55">
        <w:rPr>
          <w:i/>
          <w:iCs/>
        </w:rPr>
        <w:t xml:space="preserve">The British Newspaper Archive </w:t>
      </w:r>
      <w:r w:rsidR="00756059">
        <w:t>&lt;</w:t>
      </w:r>
      <w:hyperlink r:id="rId15" w:history="1">
        <w:r w:rsidR="00756059" w:rsidRPr="000064C8">
          <w:rPr>
            <w:rStyle w:val="Hyperlink"/>
          </w:rPr>
          <w:t>https://blog.britishnewspaperarchive.co.uk/2019/03/20/31-march-2019-destrcution-of-the-country-house/</w:t>
        </w:r>
      </w:hyperlink>
      <w:r w:rsidR="00756059">
        <w:t xml:space="preserve">&gt; [accessed 20 April 2022] </w:t>
      </w:r>
    </w:p>
    <w:bookmarkEnd w:id="10"/>
  </w:footnote>
  <w:footnote w:id="17">
    <w:p w14:paraId="36075D9E" w14:textId="054478DA" w:rsidR="00EE165F" w:rsidRDefault="00EE165F">
      <w:pPr>
        <w:pStyle w:val="FootnoteText"/>
      </w:pPr>
      <w:r>
        <w:rPr>
          <w:rStyle w:val="FootnoteReference"/>
        </w:rPr>
        <w:footnoteRef/>
      </w:r>
      <w:r>
        <w:t xml:space="preserve"> Mark Baker, ‘Lost houses’, </w:t>
      </w:r>
      <w:r w:rsidRPr="00EE165F">
        <w:rPr>
          <w:i/>
          <w:iCs/>
        </w:rPr>
        <w:t>The Story of the Welsh Country House</w:t>
      </w:r>
      <w:r>
        <w:t xml:space="preserve"> &lt;</w:t>
      </w:r>
      <w:hyperlink r:id="rId16" w:history="1">
        <w:r w:rsidRPr="000064C8">
          <w:rPr>
            <w:rStyle w:val="Hyperlink"/>
          </w:rPr>
          <w:t>www.welshcountryhome.co.uk/lost/</w:t>
        </w:r>
      </w:hyperlink>
      <w:r>
        <w:t xml:space="preserve">&gt; [accessed 20 April 2022] </w:t>
      </w:r>
    </w:p>
  </w:footnote>
  <w:footnote w:id="18">
    <w:p w14:paraId="0ADA7C87" w14:textId="7EA73890" w:rsidR="00DF39A4" w:rsidRDefault="00DF39A4">
      <w:pPr>
        <w:pStyle w:val="FootnoteText"/>
      </w:pPr>
      <w:r>
        <w:rPr>
          <w:rStyle w:val="FootnoteReference"/>
        </w:rPr>
        <w:footnoteRef/>
      </w:r>
      <w:r>
        <w:t xml:space="preserve"> Stavel</w:t>
      </w:r>
      <w:r w:rsidR="00F446C3">
        <w:t>e</w:t>
      </w:r>
      <w:r>
        <w:t xml:space="preserve">y </w:t>
      </w:r>
      <w:r w:rsidR="00F446C3">
        <w:t>–</w:t>
      </w:r>
      <w:r>
        <w:t xml:space="preserve"> Wadham</w:t>
      </w:r>
      <w:r w:rsidR="00F446C3">
        <w:t>, ‘Necessity versus Nostalgia – the Destruction of the Country House’ [accessed 20 April 2022]</w:t>
      </w:r>
    </w:p>
  </w:footnote>
  <w:footnote w:id="19">
    <w:p w14:paraId="71A43062" w14:textId="156759DB" w:rsidR="00F47734" w:rsidRDefault="00F47734">
      <w:pPr>
        <w:pStyle w:val="FootnoteText"/>
      </w:pPr>
      <w:r>
        <w:rPr>
          <w:rStyle w:val="FootnoteReference"/>
        </w:rPr>
        <w:footnoteRef/>
      </w:r>
      <w:r>
        <w:t xml:space="preserve"> </w:t>
      </w:r>
      <w:bookmarkStart w:id="12" w:name="_Hlk101463646"/>
      <w:bookmarkStart w:id="13" w:name="_Hlk102573887"/>
      <w:r>
        <w:t xml:space="preserve">‘National Heritage Act 1980’, </w:t>
      </w:r>
      <w:r w:rsidRPr="0040338C">
        <w:rPr>
          <w:i/>
          <w:iCs/>
        </w:rPr>
        <w:t>Legislation.gov.uk</w:t>
      </w:r>
      <w:r>
        <w:rPr>
          <w:i/>
          <w:iCs/>
        </w:rPr>
        <w:t xml:space="preserve"> </w:t>
      </w:r>
      <w:bookmarkEnd w:id="12"/>
      <w:r w:rsidRPr="001729FB">
        <w:t xml:space="preserve">&lt; </w:t>
      </w:r>
      <w:hyperlink r:id="rId17" w:history="1">
        <w:r w:rsidRPr="00754C19">
          <w:rPr>
            <w:rStyle w:val="Hyperlink"/>
          </w:rPr>
          <w:t>https://www.legislation.gov.uk/ukpga/1980/17/contents</w:t>
        </w:r>
      </w:hyperlink>
      <w:r>
        <w:rPr>
          <w:i/>
          <w:iCs/>
        </w:rPr>
        <w:t xml:space="preserve">&gt; </w:t>
      </w:r>
      <w:r w:rsidR="001729FB">
        <w:rPr>
          <w:i/>
          <w:iCs/>
        </w:rPr>
        <w:t>[</w:t>
      </w:r>
      <w:r>
        <w:rPr>
          <w:i/>
          <w:iCs/>
        </w:rPr>
        <w:t xml:space="preserve">accessed 21 April 2022] </w:t>
      </w:r>
    </w:p>
    <w:bookmarkEnd w:id="13"/>
  </w:footnote>
  <w:footnote w:id="20">
    <w:p w14:paraId="0648451E" w14:textId="4EC74B78" w:rsidR="00367232" w:rsidRPr="00045101" w:rsidRDefault="00367232">
      <w:pPr>
        <w:pStyle w:val="FootnoteText"/>
      </w:pPr>
      <w:r>
        <w:rPr>
          <w:rStyle w:val="FootnoteReference"/>
        </w:rPr>
        <w:footnoteRef/>
      </w:r>
      <w:r>
        <w:t xml:space="preserve"> ‘</w:t>
      </w:r>
      <w:r w:rsidRPr="00045101">
        <w:t xml:space="preserve">National Heritage Act 1983’, </w:t>
      </w:r>
      <w:bookmarkStart w:id="14" w:name="_Hlk101464100"/>
      <w:r w:rsidRPr="00045101">
        <w:rPr>
          <w:i/>
          <w:iCs/>
        </w:rPr>
        <w:t xml:space="preserve">Legislation.gov.uk </w:t>
      </w:r>
      <w:bookmarkEnd w:id="14"/>
      <w:r w:rsidRPr="00045101">
        <w:rPr>
          <w:i/>
          <w:iCs/>
        </w:rPr>
        <w:t>&lt;</w:t>
      </w:r>
      <w:hyperlink r:id="rId18" w:history="1">
        <w:r w:rsidRPr="00045101">
          <w:rPr>
            <w:rStyle w:val="Hyperlink"/>
          </w:rPr>
          <w:t>https://www.legislation.gov.uk/ukpga/1983/47</w:t>
        </w:r>
      </w:hyperlink>
      <w:r w:rsidRPr="00045101">
        <w:t xml:space="preserve">&gt; [accessed 21 April 2022] </w:t>
      </w:r>
    </w:p>
  </w:footnote>
  <w:footnote w:id="21">
    <w:p w14:paraId="4B49D030" w14:textId="5EC7FB8A" w:rsidR="00045101" w:rsidRDefault="00045101">
      <w:pPr>
        <w:pStyle w:val="FootnoteText"/>
      </w:pPr>
      <w:r>
        <w:rPr>
          <w:rStyle w:val="FootnoteReference"/>
        </w:rPr>
        <w:footnoteRef/>
      </w:r>
      <w:r>
        <w:t xml:space="preserve"> ‘</w:t>
      </w:r>
      <w:bookmarkStart w:id="15" w:name="_Hlk102573805"/>
      <w:r>
        <w:t xml:space="preserve">Section 3 National Heritage Act 1997’ </w:t>
      </w:r>
      <w:proofErr w:type="gramStart"/>
      <w:r w:rsidRPr="00045101">
        <w:rPr>
          <w:i/>
          <w:iCs/>
        </w:rPr>
        <w:t>Legislation.gov.uk</w:t>
      </w:r>
      <w:r>
        <w:rPr>
          <w:i/>
          <w:iCs/>
        </w:rPr>
        <w:t xml:space="preserve">  </w:t>
      </w:r>
      <w:r w:rsidRPr="0029383A">
        <w:t>&lt;</w:t>
      </w:r>
      <w:proofErr w:type="gramEnd"/>
      <w:r w:rsidR="009967AA">
        <w:fldChar w:fldCharType="begin"/>
      </w:r>
      <w:r w:rsidR="009967AA">
        <w:instrText xml:space="preserve"> HYPERLINK</w:instrText>
      </w:r>
      <w:r w:rsidR="009967AA">
        <w:instrText xml:space="preserve"> "https://www.legislation.gov.uk/ukpga/1997/14/1997-02-27" </w:instrText>
      </w:r>
      <w:r w:rsidR="009967AA">
        <w:fldChar w:fldCharType="separate"/>
      </w:r>
      <w:r w:rsidRPr="0029383A">
        <w:rPr>
          <w:rStyle w:val="Hyperlink"/>
        </w:rPr>
        <w:t>https://www.legislation.gov.uk/ukpga/1997/14/1997-02-27</w:t>
      </w:r>
      <w:r w:rsidR="009967AA">
        <w:rPr>
          <w:rStyle w:val="Hyperlink"/>
        </w:rPr>
        <w:fldChar w:fldCharType="end"/>
      </w:r>
      <w:r>
        <w:rPr>
          <w:i/>
          <w:iCs/>
        </w:rPr>
        <w:t xml:space="preserve"> &gt;[accessed 21 April 2022]</w:t>
      </w:r>
    </w:p>
    <w:bookmarkEnd w:id="15"/>
  </w:footnote>
  <w:footnote w:id="22">
    <w:p w14:paraId="71CCD4D5" w14:textId="3686E66B" w:rsidR="00E374FA" w:rsidRDefault="00E374FA">
      <w:pPr>
        <w:pStyle w:val="FootnoteText"/>
      </w:pPr>
      <w:r>
        <w:rPr>
          <w:rStyle w:val="FootnoteReference"/>
        </w:rPr>
        <w:footnoteRef/>
      </w:r>
      <w:r>
        <w:t xml:space="preserve"> ‘Heritage Protection for the Twenty first Century’, </w:t>
      </w:r>
      <w:proofErr w:type="gramStart"/>
      <w:r w:rsidRPr="00794D34">
        <w:rPr>
          <w:i/>
          <w:iCs/>
        </w:rPr>
        <w:t>Gov.UK</w:t>
      </w:r>
      <w:r>
        <w:t xml:space="preserve">  &lt;</w:t>
      </w:r>
      <w:proofErr w:type="gramEnd"/>
      <w:r w:rsidR="009967AA">
        <w:fldChar w:fldCharType="begin"/>
      </w:r>
      <w:r w:rsidR="009967AA">
        <w:instrText xml:space="preserve"> HYPERLINK "https://www.gov.uk/government/publications/heritage-protection-for-the-21st-century-white-paper" </w:instrText>
      </w:r>
      <w:r w:rsidR="009967AA">
        <w:fldChar w:fldCharType="separate"/>
      </w:r>
      <w:r w:rsidRPr="003E6C1D">
        <w:rPr>
          <w:rStyle w:val="Hyperlink"/>
        </w:rPr>
        <w:t>https://www.gov.uk/government/publications/heritage-protection-for-the-21st-century-white-paper</w:t>
      </w:r>
      <w:r w:rsidR="009967AA">
        <w:rPr>
          <w:rStyle w:val="Hyperlink"/>
        </w:rPr>
        <w:fldChar w:fldCharType="end"/>
      </w:r>
      <w:r>
        <w:t xml:space="preserve">&gt; [accessed </w:t>
      </w:r>
      <w:r w:rsidR="00794D34">
        <w:t>22 April 2022]</w:t>
      </w:r>
      <w:r>
        <w:t xml:space="preserve"> </w:t>
      </w:r>
    </w:p>
  </w:footnote>
  <w:footnote w:id="23">
    <w:p w14:paraId="4C6FA97C" w14:textId="4F9ACB9F" w:rsidR="008B4D20" w:rsidRDefault="008B4D20">
      <w:pPr>
        <w:pStyle w:val="FootnoteText"/>
      </w:pPr>
      <w:r>
        <w:rPr>
          <w:rStyle w:val="FootnoteReference"/>
        </w:rPr>
        <w:footnoteRef/>
      </w:r>
      <w:r>
        <w:t xml:space="preserve"> Emma Waterton and </w:t>
      </w:r>
      <w:proofErr w:type="spellStart"/>
      <w:r>
        <w:t>Laurajane</w:t>
      </w:r>
      <w:proofErr w:type="spellEnd"/>
      <w:r>
        <w:t xml:space="preserve"> Smith, ‘</w:t>
      </w:r>
      <w:r w:rsidR="008B4083">
        <w:t>Heritage</w:t>
      </w:r>
      <w:r>
        <w:t xml:space="preserve"> Protection in the Twenty </w:t>
      </w:r>
      <w:r w:rsidR="008B4083">
        <w:t>First</w:t>
      </w:r>
      <w:r>
        <w:t xml:space="preserve"> Century’, </w:t>
      </w:r>
      <w:r w:rsidRPr="008B4D20">
        <w:rPr>
          <w:i/>
          <w:iCs/>
        </w:rPr>
        <w:t>Cultural Trends,</w:t>
      </w:r>
      <w:r>
        <w:t xml:space="preserve"> Vol.17, No 3, September 2008, 197-203 (p.197) &lt;</w:t>
      </w:r>
      <w:hyperlink r:id="rId19" w:history="1">
        <w:r w:rsidRPr="003E6C1D">
          <w:rPr>
            <w:rStyle w:val="Hyperlink"/>
          </w:rPr>
          <w:t>http://dx.doi.org/10.1080/09548960802362157</w:t>
        </w:r>
      </w:hyperlink>
      <w:r>
        <w:t>&gt;</w:t>
      </w:r>
    </w:p>
  </w:footnote>
  <w:footnote w:id="24">
    <w:p w14:paraId="49182F09" w14:textId="3E4555FC" w:rsidR="00317F20" w:rsidRPr="00317F20" w:rsidRDefault="00317F20">
      <w:pPr>
        <w:pStyle w:val="FootnoteText"/>
        <w:rPr>
          <w:i/>
          <w:iCs/>
        </w:rPr>
      </w:pPr>
      <w:r>
        <w:rPr>
          <w:rStyle w:val="FootnoteReference"/>
        </w:rPr>
        <w:footnoteRef/>
      </w:r>
      <w:r>
        <w:t xml:space="preserve"> </w:t>
      </w:r>
      <w:r w:rsidRPr="00317F20">
        <w:rPr>
          <w:i/>
          <w:iCs/>
        </w:rPr>
        <w:t>ibid</w:t>
      </w:r>
    </w:p>
  </w:footnote>
  <w:footnote w:id="25">
    <w:p w14:paraId="0CDE3E48" w14:textId="5C2A1A3D" w:rsidR="00010156" w:rsidRDefault="00010156">
      <w:pPr>
        <w:pStyle w:val="FootnoteText"/>
      </w:pPr>
      <w:r>
        <w:rPr>
          <w:rStyle w:val="FootnoteReference"/>
        </w:rPr>
        <w:footnoteRef/>
      </w:r>
      <w:r>
        <w:t xml:space="preserve"> </w:t>
      </w:r>
      <w:bookmarkStart w:id="16" w:name="_Hlk102217575"/>
      <w:r>
        <w:t xml:space="preserve">Historic Environment (Wales) Act 2016, </w:t>
      </w:r>
      <w:r w:rsidRPr="00010156">
        <w:rPr>
          <w:i/>
          <w:iCs/>
        </w:rPr>
        <w:t>Acts of the National Assembly for Wales</w:t>
      </w:r>
      <w:r>
        <w:t xml:space="preserve"> &lt;</w:t>
      </w:r>
      <w:hyperlink r:id="rId20" w:history="1">
        <w:r w:rsidRPr="003E6C1D">
          <w:rPr>
            <w:rStyle w:val="Hyperlink"/>
          </w:rPr>
          <w:t>https://www.legislation.gov.uk/anaw/2016/4/section/1</w:t>
        </w:r>
      </w:hyperlink>
      <w:r>
        <w:t xml:space="preserve">&gt; [accessed 7 April 2022] </w:t>
      </w:r>
      <w:bookmarkEnd w:id="16"/>
    </w:p>
  </w:footnote>
  <w:footnote w:id="26">
    <w:p w14:paraId="4FA24974" w14:textId="2E8F22D4" w:rsidR="009852BD" w:rsidRDefault="009852BD">
      <w:pPr>
        <w:pStyle w:val="FootnoteText"/>
      </w:pPr>
      <w:r>
        <w:rPr>
          <w:rStyle w:val="FootnoteReference"/>
        </w:rPr>
        <w:footnoteRef/>
      </w:r>
      <w:r>
        <w:t xml:space="preserve"> </w:t>
      </w:r>
      <w:bookmarkStart w:id="17" w:name="_Hlk102310282"/>
      <w:r>
        <w:t xml:space="preserve">‘The </w:t>
      </w:r>
      <w:r w:rsidR="007150D9">
        <w:t>H</w:t>
      </w:r>
      <w:r>
        <w:t xml:space="preserve">ierarchy of Legislation, Planning Guidance and Best Practice Guidance Relating to the Historic Environment in Wales’, </w:t>
      </w:r>
      <w:proofErr w:type="spellStart"/>
      <w:r w:rsidRPr="008B4083">
        <w:rPr>
          <w:i/>
          <w:iCs/>
        </w:rPr>
        <w:t>Cadw</w:t>
      </w:r>
      <w:proofErr w:type="spellEnd"/>
      <w:r>
        <w:t xml:space="preserve"> </w:t>
      </w:r>
      <w:r w:rsidR="007150D9">
        <w:t>&lt;</w:t>
      </w:r>
      <w:hyperlink r:id="rId21" w:history="1">
        <w:r w:rsidR="007150D9" w:rsidRPr="00426331">
          <w:rPr>
            <w:rStyle w:val="Hyperlink"/>
          </w:rPr>
          <w:t>https://cadw.gov.wales/sites/default/files/2019-09/2019-09-02-hierarchychart-biligual.pdf</w:t>
        </w:r>
      </w:hyperlink>
      <w:r w:rsidR="007150D9">
        <w:t xml:space="preserve">&gt; [accessed 4 April 2022] </w:t>
      </w:r>
    </w:p>
    <w:bookmarkEnd w:id="17"/>
  </w:footnote>
  <w:footnote w:id="27">
    <w:p w14:paraId="580E1976" w14:textId="2A31A5BF" w:rsidR="008B6224" w:rsidRDefault="008B6224">
      <w:pPr>
        <w:pStyle w:val="FootnoteText"/>
      </w:pPr>
      <w:r>
        <w:rPr>
          <w:rStyle w:val="FootnoteReference"/>
        </w:rPr>
        <w:footnoteRef/>
      </w:r>
      <w:r>
        <w:t xml:space="preserve"> </w:t>
      </w:r>
      <w:bookmarkStart w:id="18" w:name="_Hlk102573669"/>
      <w:r>
        <w:t>‘Historic Environment Records</w:t>
      </w:r>
      <w:r w:rsidR="00483977">
        <w:t>’,</w:t>
      </w:r>
      <w:r w:rsidRPr="00C80EF4">
        <w:rPr>
          <w:i/>
          <w:iCs/>
        </w:rPr>
        <w:t xml:space="preserve"> CADW</w:t>
      </w:r>
      <w:r w:rsidR="00C80EF4">
        <w:t xml:space="preserve"> &lt;</w:t>
      </w:r>
      <w:hyperlink r:id="rId22" w:history="1">
        <w:r w:rsidR="00C80EF4" w:rsidRPr="00DE57E2">
          <w:rPr>
            <w:rStyle w:val="Hyperlink"/>
          </w:rPr>
          <w:t>https://cadw.gov.wales/advice -support/placemaking/legislation-and-guidance/historic-environment-records</w:t>
        </w:r>
      </w:hyperlink>
      <w:r w:rsidR="00C80EF4">
        <w:t xml:space="preserve">&gt; [accessed 22 April 2022] </w:t>
      </w:r>
      <w:bookmarkEnd w:id="18"/>
    </w:p>
  </w:footnote>
  <w:footnote w:id="28">
    <w:p w14:paraId="2F171D7F" w14:textId="01C2B5E1" w:rsidR="00570D6B" w:rsidRDefault="00570D6B">
      <w:pPr>
        <w:pStyle w:val="FootnoteText"/>
      </w:pPr>
      <w:r>
        <w:rPr>
          <w:rStyle w:val="FootnoteReference"/>
        </w:rPr>
        <w:footnoteRef/>
      </w:r>
      <w:r>
        <w:t xml:space="preserve"> </w:t>
      </w:r>
      <w:bookmarkStart w:id="19" w:name="_Hlk102573607"/>
      <w:r>
        <w:t xml:space="preserve">‘New Legal Protection for England’s Heritage’, </w:t>
      </w:r>
      <w:r w:rsidRPr="00570D6B">
        <w:rPr>
          <w:i/>
          <w:iCs/>
        </w:rPr>
        <w:t>Gov.UK</w:t>
      </w:r>
      <w:r>
        <w:t xml:space="preserve"> &lt;</w:t>
      </w:r>
      <w:hyperlink r:id="rId23" w:history="1">
        <w:r w:rsidRPr="00CE7E4A">
          <w:rPr>
            <w:rStyle w:val="Hyperlink"/>
          </w:rPr>
          <w:t>https://www.gov.uk/government/news/new-legal-protection-for-england-s-heritage</w:t>
        </w:r>
      </w:hyperlink>
      <w:r>
        <w:t xml:space="preserve">&gt; [accessed 25 April 2022] </w:t>
      </w:r>
    </w:p>
    <w:bookmarkEnd w:id="19"/>
  </w:footnote>
  <w:footnote w:id="29">
    <w:p w14:paraId="78787084" w14:textId="7381D5DE" w:rsidR="00E3135C" w:rsidRDefault="00E3135C">
      <w:pPr>
        <w:pStyle w:val="FootnoteText"/>
      </w:pPr>
      <w:r>
        <w:rPr>
          <w:rStyle w:val="FootnoteReference"/>
        </w:rPr>
        <w:footnoteRef/>
      </w:r>
      <w:r>
        <w:t xml:space="preserve"> </w:t>
      </w:r>
      <w:bookmarkStart w:id="20" w:name="_Hlk102573563"/>
      <w:r>
        <w:t xml:space="preserve">‘Welsh Language Act 1993’, </w:t>
      </w:r>
      <w:r w:rsidRPr="00E3135C">
        <w:rPr>
          <w:i/>
          <w:iCs/>
        </w:rPr>
        <w:t>Law Wales</w:t>
      </w:r>
      <w:r>
        <w:t xml:space="preserve"> &lt;</w:t>
      </w:r>
      <w:hyperlink r:id="rId24" w:history="1">
        <w:r w:rsidRPr="00CE7E4A">
          <w:rPr>
            <w:rStyle w:val="Hyperlink"/>
          </w:rPr>
          <w:t>https://law.gov.wales/culture/welsh-language/welsh-language-act-1993</w:t>
        </w:r>
      </w:hyperlink>
      <w:r>
        <w:t xml:space="preserve">&gt; [accessed 25 April 2022] </w:t>
      </w:r>
    </w:p>
    <w:bookmarkEnd w:id="20"/>
  </w:footnote>
  <w:footnote w:id="30">
    <w:p w14:paraId="298A5D6F" w14:textId="03A0591D" w:rsidR="004F5F7E" w:rsidRDefault="004F5F7E">
      <w:pPr>
        <w:pStyle w:val="FootnoteText"/>
      </w:pPr>
      <w:r>
        <w:rPr>
          <w:rStyle w:val="FootnoteReference"/>
        </w:rPr>
        <w:footnoteRef/>
      </w:r>
      <w:r>
        <w:t xml:space="preserve"> </w:t>
      </w:r>
      <w:bookmarkStart w:id="21" w:name="_Hlk102573508"/>
      <w:r>
        <w:t xml:space="preserve">‘Listed Buildings’, </w:t>
      </w:r>
      <w:r w:rsidRPr="00FE0D1C">
        <w:rPr>
          <w:i/>
          <w:iCs/>
        </w:rPr>
        <w:t>Law Wales</w:t>
      </w:r>
      <w:r>
        <w:t xml:space="preserve"> &lt;</w:t>
      </w:r>
      <w:hyperlink r:id="rId25" w:history="1">
        <w:r w:rsidRPr="00096FD6">
          <w:rPr>
            <w:rStyle w:val="Hyperlink"/>
          </w:rPr>
          <w:t>https://law.gov.wales/culture/historic-environment/listed-buildings</w:t>
        </w:r>
      </w:hyperlink>
      <w:r>
        <w:t>&gt; [accessed 27 April 2022]</w:t>
      </w:r>
    </w:p>
    <w:bookmarkEnd w:id="21"/>
  </w:footnote>
  <w:footnote w:id="31">
    <w:p w14:paraId="6BE21EB3" w14:textId="0435A141" w:rsidR="00FE0D1C" w:rsidRDefault="00FE0D1C">
      <w:pPr>
        <w:pStyle w:val="FootnoteText"/>
      </w:pPr>
      <w:r>
        <w:rPr>
          <w:rStyle w:val="FootnoteReference"/>
        </w:rPr>
        <w:footnoteRef/>
      </w:r>
      <w:r>
        <w:t xml:space="preserve"> ‘</w:t>
      </w:r>
      <w:bookmarkStart w:id="22" w:name="_Hlk102573457"/>
      <w:r>
        <w:t>Planning</w:t>
      </w:r>
      <w:r w:rsidR="00034174">
        <w:t xml:space="preserve"> </w:t>
      </w:r>
      <w:r>
        <w:t xml:space="preserve">(Listed Buildings and </w:t>
      </w:r>
      <w:r w:rsidR="00483977">
        <w:t>C</w:t>
      </w:r>
      <w:r>
        <w:t>onservation Areas)</w:t>
      </w:r>
      <w:r w:rsidR="00034174">
        <w:t xml:space="preserve"> </w:t>
      </w:r>
      <w:r>
        <w:t xml:space="preserve">Act 1990’, </w:t>
      </w:r>
      <w:r w:rsidRPr="00034174">
        <w:rPr>
          <w:i/>
          <w:iCs/>
        </w:rPr>
        <w:t>Legislation.gov.uk</w:t>
      </w:r>
      <w:r>
        <w:t xml:space="preserve"> </w:t>
      </w:r>
      <w:r w:rsidR="00FB3C86">
        <w:t>&lt;</w:t>
      </w:r>
      <w:hyperlink r:id="rId26" w:history="1">
        <w:r w:rsidR="00FB3C86" w:rsidRPr="00096FD6">
          <w:rPr>
            <w:rStyle w:val="Hyperlink"/>
          </w:rPr>
          <w:t>https://www.legislation.gov.uk/ukpga/1990/9/contents</w:t>
        </w:r>
      </w:hyperlink>
      <w:r w:rsidR="00FB3C86">
        <w:t xml:space="preserve">&gt; [accessed 27 April 2022] </w:t>
      </w:r>
    </w:p>
    <w:bookmarkEnd w:id="22"/>
  </w:footnote>
  <w:footnote w:id="32">
    <w:p w14:paraId="771432DA" w14:textId="13242D12" w:rsidR="00377EAF" w:rsidRDefault="00377EAF">
      <w:pPr>
        <w:pStyle w:val="FootnoteText"/>
      </w:pPr>
      <w:r>
        <w:rPr>
          <w:rStyle w:val="FootnoteReference"/>
        </w:rPr>
        <w:footnoteRef/>
      </w:r>
      <w:r>
        <w:t xml:space="preserve"> </w:t>
      </w:r>
      <w:bookmarkStart w:id="23" w:name="_Hlk102573410"/>
      <w:r>
        <w:t xml:space="preserve">‘Listed Buildings: </w:t>
      </w:r>
      <w:r w:rsidR="00C67AB2">
        <w:t>Identification</w:t>
      </w:r>
      <w:r>
        <w:t xml:space="preserve"> and Extent’, </w:t>
      </w:r>
      <w:r w:rsidRPr="00C67AB2">
        <w:rPr>
          <w:i/>
          <w:iCs/>
        </w:rPr>
        <w:t>Historic England</w:t>
      </w:r>
      <w:r>
        <w:t xml:space="preserve"> </w:t>
      </w:r>
      <w:r w:rsidR="00C67AB2">
        <w:t>&lt;</w:t>
      </w:r>
      <w:hyperlink r:id="rId27" w:history="1">
        <w:r w:rsidR="00C67AB2" w:rsidRPr="00D21293">
          <w:rPr>
            <w:rStyle w:val="Hyperlink"/>
          </w:rPr>
          <w:t>https://historicengland.org.uk/advice/hpg/has/listed-buildings/</w:t>
        </w:r>
      </w:hyperlink>
      <w:r w:rsidR="00C67AB2">
        <w:t xml:space="preserve">&gt; [accessed 30 April 2022] </w:t>
      </w:r>
      <w:bookmarkEnd w:id="23"/>
    </w:p>
  </w:footnote>
  <w:footnote w:id="33">
    <w:p w14:paraId="6F351DFC" w14:textId="50ED0E43" w:rsidR="00034174" w:rsidRDefault="00034174">
      <w:pPr>
        <w:pStyle w:val="FootnoteText"/>
      </w:pPr>
      <w:r>
        <w:rPr>
          <w:rStyle w:val="FootnoteReference"/>
        </w:rPr>
        <w:footnoteRef/>
      </w:r>
      <w:r>
        <w:t xml:space="preserve"> </w:t>
      </w:r>
      <w:bookmarkStart w:id="24" w:name="_Hlk102573364"/>
      <w:r>
        <w:t xml:space="preserve">‘National Planning Policy Framework’, </w:t>
      </w:r>
      <w:r w:rsidRPr="00034174">
        <w:rPr>
          <w:i/>
          <w:iCs/>
        </w:rPr>
        <w:t>Gov.uk</w:t>
      </w:r>
      <w:r>
        <w:t xml:space="preserve"> &lt;</w:t>
      </w:r>
      <w:hyperlink r:id="rId28" w:history="1">
        <w:r w:rsidRPr="00096FD6">
          <w:rPr>
            <w:rStyle w:val="Hyperlink"/>
          </w:rPr>
          <w:t>https://www.gov.uk/guidance/national-planning-policy-framework</w:t>
        </w:r>
      </w:hyperlink>
      <w:r>
        <w:t>&gt; [accessed 27 April 2022]</w:t>
      </w:r>
      <w:bookmarkEnd w:id="24"/>
    </w:p>
  </w:footnote>
  <w:footnote w:id="34">
    <w:p w14:paraId="62C9F687" w14:textId="20B7EC38" w:rsidR="006A64A0" w:rsidRDefault="006A64A0">
      <w:pPr>
        <w:pStyle w:val="FootnoteText"/>
      </w:pPr>
      <w:r>
        <w:rPr>
          <w:rStyle w:val="FootnoteReference"/>
        </w:rPr>
        <w:footnoteRef/>
      </w:r>
      <w:r w:rsidRPr="006A64A0">
        <w:rPr>
          <w:i/>
          <w:iCs/>
        </w:rPr>
        <w:t xml:space="preserve"> </w:t>
      </w:r>
      <w:bookmarkStart w:id="25" w:name="_Hlk102573350"/>
      <w:r w:rsidRPr="006A64A0">
        <w:rPr>
          <w:i/>
          <w:iCs/>
        </w:rPr>
        <w:t>CADW</w:t>
      </w:r>
      <w:r>
        <w:t>, &lt;</w:t>
      </w:r>
      <w:hyperlink r:id="rId29" w:history="1">
        <w:r w:rsidRPr="00386DB6">
          <w:rPr>
            <w:rStyle w:val="Hyperlink"/>
          </w:rPr>
          <w:t>https://cadw.gov.wales/sites/default/files/2021-06/introducing%20CadwEnglish%20WEB%20-%updated%20June%202021.pdf</w:t>
        </w:r>
      </w:hyperlink>
      <w:r>
        <w:t xml:space="preserve">&gt; [accessed 4 April 2022] </w:t>
      </w:r>
      <w:bookmarkEnd w:id="25"/>
    </w:p>
  </w:footnote>
  <w:footnote w:id="35">
    <w:p w14:paraId="0F188F12" w14:textId="0F2EDED8" w:rsidR="000715B0" w:rsidRDefault="000715B0">
      <w:pPr>
        <w:pStyle w:val="FootnoteText"/>
      </w:pPr>
      <w:r>
        <w:rPr>
          <w:rStyle w:val="FootnoteReference"/>
        </w:rPr>
        <w:footnoteRef/>
      </w:r>
      <w:r>
        <w:t xml:space="preserve"> </w:t>
      </w:r>
      <w:bookmarkStart w:id="26" w:name="_Hlk102310922"/>
      <w:r>
        <w:t xml:space="preserve">Paul Belford, ‘Politics and Heritage: Developments in Historic </w:t>
      </w:r>
      <w:r w:rsidR="00AC3E64">
        <w:t>Environment</w:t>
      </w:r>
      <w:r>
        <w:t xml:space="preserve"> Policy and Practice in Wales’, </w:t>
      </w:r>
      <w:r w:rsidRPr="00AC3E64">
        <w:rPr>
          <w:i/>
          <w:iCs/>
        </w:rPr>
        <w:t xml:space="preserve">The Historic </w:t>
      </w:r>
      <w:r w:rsidR="00AC3E64" w:rsidRPr="00AC3E64">
        <w:rPr>
          <w:i/>
          <w:iCs/>
        </w:rPr>
        <w:t>Environment: Policy and Practice,</w:t>
      </w:r>
      <w:proofErr w:type="gramStart"/>
      <w:r w:rsidR="00AC3E64" w:rsidRPr="00AC3E64">
        <w:rPr>
          <w:i/>
          <w:iCs/>
        </w:rPr>
        <w:t>2018</w:t>
      </w:r>
      <w:r w:rsidR="00AC3E64">
        <w:t xml:space="preserve"> </w:t>
      </w:r>
      <w:r>
        <w:t xml:space="preserve"> </w:t>
      </w:r>
      <w:r w:rsidR="00AC3E64">
        <w:t>&lt;</w:t>
      </w:r>
      <w:proofErr w:type="gramEnd"/>
      <w:r w:rsidR="009967AA">
        <w:fldChar w:fldCharType="begin"/>
      </w:r>
      <w:r w:rsidR="009967AA">
        <w:instrText xml:space="preserve"> HYPERLINK "https://doi.org/10.1080/17567505.2018.1456721" </w:instrText>
      </w:r>
      <w:r w:rsidR="009967AA">
        <w:fldChar w:fldCharType="separate"/>
      </w:r>
      <w:r w:rsidR="00AC3E64" w:rsidRPr="00386DB6">
        <w:rPr>
          <w:rStyle w:val="Hyperlink"/>
        </w:rPr>
        <w:t>https://doi.org/10.1080/17567505.2018.1456721</w:t>
      </w:r>
      <w:r w:rsidR="009967AA">
        <w:rPr>
          <w:rStyle w:val="Hyperlink"/>
        </w:rPr>
        <w:fldChar w:fldCharType="end"/>
      </w:r>
      <w:r w:rsidR="00AC3E64">
        <w:t xml:space="preserve">&gt;  </w:t>
      </w:r>
    </w:p>
    <w:bookmarkEnd w:id="26"/>
  </w:footnote>
  <w:footnote w:id="36">
    <w:p w14:paraId="3020756E" w14:textId="626604BB" w:rsidR="00404441" w:rsidRDefault="00404441">
      <w:pPr>
        <w:pStyle w:val="FootnoteText"/>
      </w:pPr>
      <w:r>
        <w:rPr>
          <w:rStyle w:val="FootnoteReference"/>
        </w:rPr>
        <w:footnoteRef/>
      </w:r>
      <w:r>
        <w:t xml:space="preserve"> </w:t>
      </w:r>
      <w:r w:rsidRPr="00EE5E46">
        <w:rPr>
          <w:i/>
          <w:iCs/>
        </w:rPr>
        <w:t>The Royal Commission on the Ancient and Historical Monuments of Wales</w:t>
      </w:r>
      <w:r>
        <w:t xml:space="preserve"> &lt;</w:t>
      </w:r>
      <w:hyperlink r:id="rId30" w:history="1">
        <w:r w:rsidRPr="00386DB6">
          <w:rPr>
            <w:rStyle w:val="Hyperlink"/>
          </w:rPr>
          <w:t>https://rcahmw.gov.uk/</w:t>
        </w:r>
      </w:hyperlink>
      <w:r>
        <w:t xml:space="preserve">&gt; [accessed 28 April 2022] </w:t>
      </w:r>
    </w:p>
  </w:footnote>
  <w:footnote w:id="37">
    <w:p w14:paraId="283F1057" w14:textId="7DC993AF" w:rsidR="003006AE" w:rsidRDefault="003006AE">
      <w:pPr>
        <w:pStyle w:val="FootnoteText"/>
      </w:pPr>
      <w:r>
        <w:rPr>
          <w:rStyle w:val="FootnoteReference"/>
        </w:rPr>
        <w:footnoteRef/>
      </w:r>
      <w:r>
        <w:t xml:space="preserve"> ‘What We Do’, </w:t>
      </w:r>
      <w:proofErr w:type="spellStart"/>
      <w:r w:rsidRPr="003006AE">
        <w:rPr>
          <w:i/>
          <w:iCs/>
        </w:rPr>
        <w:t>Cadw</w:t>
      </w:r>
      <w:proofErr w:type="spellEnd"/>
      <w:r>
        <w:rPr>
          <w:i/>
          <w:iCs/>
        </w:rPr>
        <w:t xml:space="preserve"> &lt;</w:t>
      </w:r>
      <w:r>
        <w:t xml:space="preserve"> </w:t>
      </w:r>
      <w:hyperlink r:id="rId31" w:history="1">
        <w:r w:rsidRPr="00386DB6">
          <w:rPr>
            <w:rStyle w:val="Hyperlink"/>
          </w:rPr>
          <w:t>https://cadw.gov.wales/about-us/what-we-do</w:t>
        </w:r>
      </w:hyperlink>
      <w:proofErr w:type="gramStart"/>
      <w:r>
        <w:t>&gt;  [</w:t>
      </w:r>
      <w:proofErr w:type="gramEnd"/>
      <w:r>
        <w:t>accessed 28 April 2022]</w:t>
      </w:r>
    </w:p>
  </w:footnote>
  <w:footnote w:id="38">
    <w:p w14:paraId="2A98F711" w14:textId="573A6BB4" w:rsidR="00A53835" w:rsidRDefault="00A53835">
      <w:pPr>
        <w:pStyle w:val="FootnoteText"/>
      </w:pPr>
      <w:bookmarkStart w:id="29" w:name="_Hlk102413115"/>
      <w:r>
        <w:rPr>
          <w:rStyle w:val="FootnoteReference"/>
        </w:rPr>
        <w:footnoteRef/>
      </w:r>
      <w:r>
        <w:t xml:space="preserve"> ‘National Bodies: </w:t>
      </w:r>
      <w:proofErr w:type="spellStart"/>
      <w:r>
        <w:t>Wales’</w:t>
      </w:r>
      <w:proofErr w:type="spellEnd"/>
      <w:r w:rsidR="00D02393">
        <w:t xml:space="preserve"> </w:t>
      </w:r>
      <w:r w:rsidR="00D02393" w:rsidRPr="00D02393">
        <w:rPr>
          <w:i/>
          <w:iCs/>
        </w:rPr>
        <w:t>Building Conservation</w:t>
      </w:r>
      <w:r w:rsidR="00D02393">
        <w:t xml:space="preserve"> &lt;</w:t>
      </w:r>
      <w:hyperlink r:id="rId32" w:history="1">
        <w:r w:rsidR="00D02393" w:rsidRPr="00386DB6">
          <w:rPr>
            <w:rStyle w:val="Hyperlink"/>
          </w:rPr>
          <w:t xml:space="preserve">https://www.buildingconservation.co./directory/ </w:t>
        </w:r>
        <w:proofErr w:type="spellStart"/>
        <w:r w:rsidR="00D02393" w:rsidRPr="00386DB6">
          <w:rPr>
            <w:rStyle w:val="Hyperlink"/>
          </w:rPr>
          <w:t>prodlist.php?category</w:t>
        </w:r>
        <w:proofErr w:type="spellEnd"/>
        <w:r w:rsidR="00D02393" w:rsidRPr="00386DB6">
          <w:rPr>
            <w:rStyle w:val="Hyperlink"/>
          </w:rPr>
          <w:t>=National+bodies%3A+Wales</w:t>
        </w:r>
      </w:hyperlink>
      <w:proofErr w:type="gramStart"/>
      <w:r w:rsidR="00D02393">
        <w:t>&gt;  [</w:t>
      </w:r>
      <w:proofErr w:type="gramEnd"/>
      <w:r w:rsidR="00D02393">
        <w:t>accessed 28 April 2022]</w:t>
      </w:r>
    </w:p>
    <w:bookmarkEnd w:id="29"/>
  </w:footnote>
  <w:footnote w:id="39">
    <w:p w14:paraId="0A3E70B4" w14:textId="52CC6862" w:rsidR="00336C81" w:rsidRDefault="00336C81">
      <w:pPr>
        <w:pStyle w:val="FootnoteText"/>
      </w:pPr>
      <w:r>
        <w:rPr>
          <w:rStyle w:val="FootnoteReference"/>
        </w:rPr>
        <w:footnoteRef/>
      </w:r>
      <w:r>
        <w:t xml:space="preserve"> </w:t>
      </w:r>
      <w:bookmarkStart w:id="30" w:name="_Hlk102573197"/>
      <w:r>
        <w:t xml:space="preserve">‘What We Do’, </w:t>
      </w:r>
      <w:proofErr w:type="spellStart"/>
      <w:r w:rsidRPr="003006AE">
        <w:rPr>
          <w:i/>
          <w:iCs/>
        </w:rPr>
        <w:t>Cadw</w:t>
      </w:r>
      <w:proofErr w:type="spellEnd"/>
      <w:r>
        <w:rPr>
          <w:i/>
          <w:iCs/>
        </w:rPr>
        <w:t xml:space="preserve"> &lt;</w:t>
      </w:r>
      <w:r>
        <w:t xml:space="preserve"> </w:t>
      </w:r>
      <w:hyperlink r:id="rId33" w:history="1">
        <w:r w:rsidRPr="00386DB6">
          <w:rPr>
            <w:rStyle w:val="Hyperlink"/>
          </w:rPr>
          <w:t>https://cadw.gov.wales/about-us/what-we-do</w:t>
        </w:r>
      </w:hyperlink>
      <w:proofErr w:type="gramStart"/>
      <w:r>
        <w:t>&gt;  [</w:t>
      </w:r>
      <w:proofErr w:type="gramEnd"/>
      <w:r>
        <w:t>accessed 28 April 2022]</w:t>
      </w:r>
      <w:bookmarkEnd w:id="30"/>
    </w:p>
  </w:footnote>
  <w:footnote w:id="40">
    <w:p w14:paraId="5AFDA66E" w14:textId="5FD22DF3" w:rsidR="00707786" w:rsidRDefault="00707786">
      <w:pPr>
        <w:pStyle w:val="FootnoteText"/>
      </w:pPr>
      <w:r>
        <w:rPr>
          <w:rStyle w:val="FootnoteReference"/>
        </w:rPr>
        <w:footnoteRef/>
      </w:r>
      <w:r>
        <w:t xml:space="preserve"> </w:t>
      </w:r>
      <w:bookmarkStart w:id="31" w:name="_Hlk102413040"/>
      <w:r>
        <w:t xml:space="preserve">Johnathan Taylor, ‘The National Heritage bodies’, </w:t>
      </w:r>
      <w:r w:rsidRPr="00EE5E46">
        <w:rPr>
          <w:i/>
          <w:iCs/>
        </w:rPr>
        <w:t>Building Conservation</w:t>
      </w:r>
      <w:r>
        <w:t xml:space="preserve"> &lt;</w:t>
      </w:r>
      <w:hyperlink r:id="rId34" w:history="1">
        <w:r w:rsidRPr="00386DB6">
          <w:rPr>
            <w:rStyle w:val="Hyperlink"/>
          </w:rPr>
          <w:t>https://buildingconservation.com.articles/national-heritage-bodies/national-heritage-bodies.htm</w:t>
        </w:r>
      </w:hyperlink>
      <w:r>
        <w:t xml:space="preserve">&gt; [accessed 3 April 2022] </w:t>
      </w:r>
    </w:p>
    <w:bookmarkEnd w:id="31"/>
  </w:footnote>
  <w:footnote w:id="41">
    <w:p w14:paraId="2C12537A" w14:textId="4D269A6E" w:rsidR="00FE717B" w:rsidRDefault="00FE717B">
      <w:pPr>
        <w:pStyle w:val="FootnoteText"/>
      </w:pPr>
      <w:r>
        <w:rPr>
          <w:rStyle w:val="FootnoteReference"/>
        </w:rPr>
        <w:footnoteRef/>
      </w:r>
      <w:r>
        <w:t xml:space="preserve"> </w:t>
      </w:r>
      <w:bookmarkStart w:id="32" w:name="_Hlk102573139"/>
      <w:r>
        <w:t xml:space="preserve">‘English Heritage has Changed’, </w:t>
      </w:r>
      <w:r w:rsidRPr="00EE5E46">
        <w:rPr>
          <w:i/>
          <w:iCs/>
        </w:rPr>
        <w:t>English Heritage</w:t>
      </w:r>
      <w:r>
        <w:t xml:space="preserve"> &lt;</w:t>
      </w:r>
      <w:hyperlink r:id="rId35" w:history="1">
        <w:r w:rsidRPr="00386DB6">
          <w:rPr>
            <w:rStyle w:val="Hyperlink"/>
          </w:rPr>
          <w:t>https://www.english-heritage.org.uk/about-us/search-news/english-heritage-has-changed/</w:t>
        </w:r>
      </w:hyperlink>
      <w:r>
        <w:t>&gt; [accessed 28 April 2022]</w:t>
      </w:r>
    </w:p>
    <w:bookmarkEnd w:id="32"/>
  </w:footnote>
  <w:footnote w:id="42">
    <w:p w14:paraId="2E90B6C1" w14:textId="6A26415F" w:rsidR="00300BFF" w:rsidRDefault="00300BFF">
      <w:pPr>
        <w:pStyle w:val="FootnoteText"/>
      </w:pPr>
      <w:r>
        <w:rPr>
          <w:rStyle w:val="FootnoteReference"/>
        </w:rPr>
        <w:footnoteRef/>
      </w:r>
      <w:r>
        <w:t xml:space="preserve"> </w:t>
      </w:r>
      <w:bookmarkStart w:id="33" w:name="_Hlk102573097"/>
      <w:r>
        <w:t xml:space="preserve">‘How We Are Funded’, </w:t>
      </w:r>
      <w:r w:rsidRPr="00300BFF">
        <w:rPr>
          <w:i/>
          <w:iCs/>
        </w:rPr>
        <w:t>Historic England</w:t>
      </w:r>
      <w:r>
        <w:t xml:space="preserve"> &lt;</w:t>
      </w:r>
      <w:hyperlink r:id="rId36" w:history="1">
        <w:r w:rsidRPr="00386DB6">
          <w:rPr>
            <w:rStyle w:val="Hyperlink"/>
          </w:rPr>
          <w:t>https://historicengland.org.uk/about/who-we-are/how-we-are-funded/</w:t>
        </w:r>
      </w:hyperlink>
      <w:r>
        <w:t xml:space="preserve">&gt; [accessed 28 April 2022] </w:t>
      </w:r>
    </w:p>
    <w:bookmarkEnd w:id="33"/>
  </w:footnote>
  <w:footnote w:id="43">
    <w:p w14:paraId="7B9CBB7F" w14:textId="76307BC8" w:rsidR="00A348EE" w:rsidRDefault="00A348EE">
      <w:pPr>
        <w:pStyle w:val="FootnoteText"/>
      </w:pPr>
      <w:r>
        <w:rPr>
          <w:rStyle w:val="FootnoteReference"/>
        </w:rPr>
        <w:footnoteRef/>
      </w:r>
      <w:r>
        <w:t xml:space="preserve"> </w:t>
      </w:r>
      <w:bookmarkStart w:id="34" w:name="_Hlk102573062"/>
      <w:r>
        <w:t xml:space="preserve">‘Historic England Library’, </w:t>
      </w:r>
      <w:r w:rsidRPr="00EE5E46">
        <w:rPr>
          <w:i/>
          <w:iCs/>
        </w:rPr>
        <w:t>Historic England</w:t>
      </w:r>
      <w:r>
        <w:t xml:space="preserve"> &lt;</w:t>
      </w:r>
      <w:hyperlink r:id="rId37" w:history="1">
        <w:r w:rsidRPr="00386DB6">
          <w:rPr>
            <w:rStyle w:val="Hyperlink"/>
          </w:rPr>
          <w:t>https://historicengland.org.uk/images-books/archive/library/</w:t>
        </w:r>
      </w:hyperlink>
      <w:r>
        <w:t xml:space="preserve">&gt; [accessed 28 April 2022] </w:t>
      </w:r>
    </w:p>
    <w:bookmarkEnd w:id="34"/>
  </w:footnote>
  <w:footnote w:id="44">
    <w:p w14:paraId="49281470" w14:textId="07C025D9" w:rsidR="0048092D" w:rsidRDefault="0048092D">
      <w:pPr>
        <w:pStyle w:val="FootnoteText"/>
      </w:pPr>
      <w:r>
        <w:rPr>
          <w:rStyle w:val="FootnoteReference"/>
        </w:rPr>
        <w:footnoteRef/>
      </w:r>
      <w:r>
        <w:t xml:space="preserve"> </w:t>
      </w:r>
      <w:bookmarkStart w:id="35" w:name="_Hlk102573007"/>
      <w:r w:rsidRPr="00474F4C">
        <w:rPr>
          <w:i/>
          <w:iCs/>
        </w:rPr>
        <w:t>The National Trust</w:t>
      </w:r>
      <w:r>
        <w:t xml:space="preserve"> &lt;</w:t>
      </w:r>
      <w:hyperlink r:id="rId38" w:history="1">
        <w:r w:rsidRPr="00095D8C">
          <w:rPr>
            <w:rStyle w:val="Hyperlink"/>
          </w:rPr>
          <w:t>https://www.nationaltrust.org.uk/</w:t>
        </w:r>
      </w:hyperlink>
      <w:r>
        <w:t xml:space="preserve">&gt; [accessed 29 April 2022] </w:t>
      </w:r>
    </w:p>
    <w:bookmarkEnd w:id="35"/>
  </w:footnote>
  <w:footnote w:id="45">
    <w:p w14:paraId="31D2EE10" w14:textId="41F57476" w:rsidR="00965B55" w:rsidRDefault="00965B55">
      <w:pPr>
        <w:pStyle w:val="FootnoteText"/>
      </w:pPr>
      <w:r>
        <w:rPr>
          <w:rStyle w:val="FootnoteReference"/>
        </w:rPr>
        <w:footnoteRef/>
      </w:r>
      <w:r>
        <w:t xml:space="preserve"> </w:t>
      </w:r>
      <w:bookmarkStart w:id="36" w:name="_Hlk102572969"/>
      <w:r>
        <w:t xml:space="preserve">‘Explanatory Memorandum </w:t>
      </w:r>
      <w:r w:rsidR="00812D07">
        <w:t xml:space="preserve">to The Charities (National Trust) Order 2005’, </w:t>
      </w:r>
      <w:r w:rsidR="00812D07" w:rsidRPr="00812D07">
        <w:rPr>
          <w:i/>
          <w:iCs/>
        </w:rPr>
        <w:t>Legislation.gov.uk</w:t>
      </w:r>
      <w:r w:rsidR="00812D07">
        <w:t xml:space="preserve"> &lt;</w:t>
      </w:r>
      <w:hyperlink r:id="rId39" w:history="1">
        <w:r w:rsidR="00812D07" w:rsidRPr="00095D8C">
          <w:rPr>
            <w:rStyle w:val="Hyperlink"/>
          </w:rPr>
          <w:t>https://www.legislation.gov.uk/uksi/2005/712/pdfs/uksiem_20050712_en.pdf</w:t>
        </w:r>
      </w:hyperlink>
      <w:r w:rsidR="00812D07">
        <w:t xml:space="preserve">&gt; [accessed 29April 2022] </w:t>
      </w:r>
    </w:p>
    <w:bookmarkStart w:id="37" w:name="_Hlk102572911"/>
    <w:bookmarkEnd w:id="36"/>
  </w:footnote>
  <w:footnote w:id="46">
    <w:p w14:paraId="56B35603" w14:textId="209028A2" w:rsidR="00E4231A" w:rsidRDefault="00E4231A">
      <w:pPr>
        <w:pStyle w:val="FootnoteText"/>
      </w:pPr>
      <w:bookmarkStart w:id="39" w:name="_Hlk102572911"/>
      <w:r>
        <w:rPr>
          <w:rStyle w:val="FootnoteReference"/>
        </w:rPr>
        <w:footnoteRef/>
      </w:r>
      <w:r>
        <w:t xml:space="preserve"> ‘The Churches Conservation Trust’, </w:t>
      </w:r>
      <w:r w:rsidRPr="00036898">
        <w:rPr>
          <w:i/>
          <w:iCs/>
        </w:rPr>
        <w:t>Churches Conservation Trust</w:t>
      </w:r>
      <w:r>
        <w:t xml:space="preserve"> &lt;</w:t>
      </w:r>
      <w:hyperlink r:id="rId40" w:history="1">
        <w:r w:rsidRPr="00095D8C">
          <w:rPr>
            <w:rStyle w:val="Hyperlink"/>
          </w:rPr>
          <w:t>https://www.visitchurches.org.uk/</w:t>
        </w:r>
      </w:hyperlink>
      <w:r>
        <w:t xml:space="preserve">&gt; [accessed 29 April 2022] </w:t>
      </w:r>
      <w:bookmarkEnd w:id="39"/>
    </w:p>
  </w:footnote>
  <w:footnote w:id="47">
    <w:p w14:paraId="7D2508EE" w14:textId="2A248EFF" w:rsidR="00C6040C" w:rsidRDefault="00C6040C">
      <w:pPr>
        <w:pStyle w:val="FootnoteText"/>
      </w:pPr>
      <w:r>
        <w:rPr>
          <w:rStyle w:val="FootnoteReference"/>
        </w:rPr>
        <w:footnoteRef/>
      </w:r>
      <w:r>
        <w:t xml:space="preserve"> </w:t>
      </w:r>
      <w:bookmarkStart w:id="40" w:name="_Hlk102572877"/>
      <w:r>
        <w:t>Discovering Old Welsh Houses &lt;</w:t>
      </w:r>
      <w:hyperlink r:id="rId41" w:history="1">
        <w:r w:rsidRPr="00095D8C">
          <w:rPr>
            <w:rStyle w:val="Hyperlink"/>
          </w:rPr>
          <w:t>https://discoveringoldwelshhouses.co.uk/</w:t>
        </w:r>
      </w:hyperlink>
      <w:r>
        <w:t xml:space="preserve">&gt; [accessed 29 April 2022] </w:t>
      </w:r>
      <w:bookmarkEnd w:id="40"/>
    </w:p>
  </w:footnote>
  <w:footnote w:id="48">
    <w:p w14:paraId="0C83CB0C" w14:textId="08376068" w:rsidR="00A7128E" w:rsidRDefault="00A7128E">
      <w:pPr>
        <w:pStyle w:val="FootnoteText"/>
      </w:pPr>
      <w:r>
        <w:rPr>
          <w:rStyle w:val="FootnoteReference"/>
        </w:rPr>
        <w:footnoteRef/>
      </w:r>
      <w:r>
        <w:t xml:space="preserve"> </w:t>
      </w:r>
      <w:bookmarkStart w:id="41" w:name="_Hlk102217593"/>
      <w:bookmarkStart w:id="42" w:name="_Hlk102572839"/>
      <w:r>
        <w:t xml:space="preserve">Historic Environment (Wales) Act 2016, </w:t>
      </w:r>
      <w:bookmarkEnd w:id="41"/>
      <w:r w:rsidRPr="00010156">
        <w:rPr>
          <w:i/>
          <w:iCs/>
        </w:rPr>
        <w:t>Acts of the National Assembly for Wales</w:t>
      </w:r>
      <w:r>
        <w:t xml:space="preserve"> &lt;</w:t>
      </w:r>
      <w:hyperlink r:id="rId42" w:history="1">
        <w:r w:rsidRPr="003E6C1D">
          <w:rPr>
            <w:rStyle w:val="Hyperlink"/>
          </w:rPr>
          <w:t>https://www.legislation.gov.uk/anaw/2016/4/section/1</w:t>
        </w:r>
      </w:hyperlink>
      <w:r>
        <w:t>&gt; [accessed 7 April 2022]</w:t>
      </w:r>
    </w:p>
    <w:bookmarkEnd w:id="42"/>
  </w:footnote>
  <w:footnote w:id="49">
    <w:p w14:paraId="500478F5" w14:textId="74BCEF45" w:rsidR="00F37F63" w:rsidRDefault="00F37F63" w:rsidP="00F37F63">
      <w:pPr>
        <w:pStyle w:val="FootnoteText"/>
      </w:pPr>
      <w:r>
        <w:rPr>
          <w:rStyle w:val="FootnoteReference"/>
        </w:rPr>
        <w:footnoteRef/>
      </w:r>
      <w:r>
        <w:t xml:space="preserve"> Heritage Protection for the Twenty first Century’, </w:t>
      </w:r>
      <w:r w:rsidR="00963324" w:rsidRPr="00794D34">
        <w:rPr>
          <w:i/>
          <w:iCs/>
        </w:rPr>
        <w:t>Gov.UK</w:t>
      </w:r>
      <w:r w:rsidR="00963324">
        <w:t xml:space="preserve"> &lt;</w:t>
      </w:r>
      <w:hyperlink r:id="rId43" w:history="1">
        <w:r w:rsidRPr="003E6C1D">
          <w:rPr>
            <w:rStyle w:val="Hyperlink"/>
          </w:rPr>
          <w:t>https://www.gov.uk/government/publications/heritage-protection-for-the-21st-century-white-paper</w:t>
        </w:r>
      </w:hyperlink>
      <w:r>
        <w:t xml:space="preserve">&gt; [accessed 22 April 2022] </w:t>
      </w:r>
    </w:p>
    <w:p w14:paraId="6D671D47" w14:textId="56A12DA3" w:rsidR="00F37F63" w:rsidRDefault="00F37F63">
      <w:pPr>
        <w:pStyle w:val="FootnoteText"/>
      </w:pPr>
    </w:p>
  </w:footnote>
  <w:footnote w:id="50">
    <w:p w14:paraId="22FC7B6B" w14:textId="1B0A1412" w:rsidR="00FD752A" w:rsidRDefault="00FD752A">
      <w:pPr>
        <w:pStyle w:val="FootnoteText"/>
      </w:pPr>
      <w:bookmarkStart w:id="43" w:name="_Hlk102572761"/>
      <w:r>
        <w:rPr>
          <w:rStyle w:val="FootnoteReference"/>
        </w:rPr>
        <w:footnoteRef/>
      </w:r>
      <w:r>
        <w:t xml:space="preserve"> </w:t>
      </w:r>
      <w:r w:rsidR="00976892">
        <w:t xml:space="preserve">‘The Hierarchy of Legislation, Planning Guidance and Best Practice Guidance Relating to the Historic Environment in Wales’, </w:t>
      </w:r>
      <w:proofErr w:type="spellStart"/>
      <w:r w:rsidR="00976892" w:rsidRPr="008B4083">
        <w:rPr>
          <w:i/>
          <w:iCs/>
        </w:rPr>
        <w:t>Cadw</w:t>
      </w:r>
      <w:proofErr w:type="spellEnd"/>
      <w:r w:rsidR="00976892">
        <w:t xml:space="preserve"> &lt;</w:t>
      </w:r>
      <w:hyperlink r:id="rId44" w:history="1">
        <w:r w:rsidR="00976892" w:rsidRPr="00426331">
          <w:rPr>
            <w:rStyle w:val="Hyperlink"/>
          </w:rPr>
          <w:t>https://cadw.gov.wales/sites/default/files/2019-09/2019-09-02-hierarchychart-biligual.pdf</w:t>
        </w:r>
      </w:hyperlink>
      <w:r w:rsidR="00976892">
        <w:t xml:space="preserve">&gt; [accessed 4 April 2022] </w:t>
      </w:r>
    </w:p>
    <w:bookmarkEnd w:id="43"/>
  </w:footnote>
  <w:footnote w:id="51">
    <w:p w14:paraId="218AA8AC" w14:textId="1B020B3F" w:rsidR="00073BCE" w:rsidRDefault="00073BCE">
      <w:pPr>
        <w:pStyle w:val="FootnoteText"/>
      </w:pPr>
      <w:r>
        <w:rPr>
          <w:rStyle w:val="FootnoteReference"/>
        </w:rPr>
        <w:footnoteRef/>
      </w:r>
      <w:r>
        <w:t xml:space="preserve"> </w:t>
      </w:r>
      <w:bookmarkStart w:id="44" w:name="_Hlk102572727"/>
      <w:r>
        <w:t xml:space="preserve">‘The Well- being of future Generations Act 2015’, </w:t>
      </w:r>
      <w:r w:rsidRPr="00073BCE">
        <w:rPr>
          <w:i/>
          <w:iCs/>
        </w:rPr>
        <w:t>Welsh Government</w:t>
      </w:r>
      <w:r>
        <w:t xml:space="preserve"> &lt;</w:t>
      </w:r>
      <w:hyperlink r:id="rId45" w:history="1">
        <w:r w:rsidRPr="00D21293">
          <w:rPr>
            <w:rStyle w:val="Hyperlink"/>
          </w:rPr>
          <w:t>https://gov.wales/well-being-of-future-generations-wales</w:t>
        </w:r>
      </w:hyperlink>
      <w:r>
        <w:t xml:space="preserve">&gt; [accessed 30 April 2022] </w:t>
      </w:r>
    </w:p>
    <w:bookmarkEnd w:id="44"/>
  </w:footnote>
  <w:footnote w:id="52">
    <w:p w14:paraId="5AC836E9" w14:textId="39EA8562" w:rsidR="0076229D" w:rsidRDefault="0076229D">
      <w:pPr>
        <w:pStyle w:val="FootnoteText"/>
      </w:pPr>
      <w:r>
        <w:rPr>
          <w:rStyle w:val="FootnoteReference"/>
        </w:rPr>
        <w:footnoteRef/>
      </w:r>
      <w:r>
        <w:t xml:space="preserve"> Heritage Protection for the Twenty first Century’, </w:t>
      </w:r>
      <w:proofErr w:type="gramStart"/>
      <w:r w:rsidRPr="00794D34">
        <w:rPr>
          <w:i/>
          <w:iCs/>
        </w:rPr>
        <w:t>Gov.UK</w:t>
      </w:r>
      <w:r>
        <w:t xml:space="preserve">  &lt;</w:t>
      </w:r>
      <w:proofErr w:type="gramEnd"/>
      <w:r w:rsidR="009967AA">
        <w:fldChar w:fldCharType="begin"/>
      </w:r>
      <w:r w:rsidR="009967AA">
        <w:instrText xml:space="preserve"> HYPERLINK "https://www.gov.uk/government/publications/heritage-protection-for-the-21st-century-white-paper" </w:instrText>
      </w:r>
      <w:r w:rsidR="009967AA">
        <w:fldChar w:fldCharType="separate"/>
      </w:r>
      <w:r w:rsidRPr="003E6C1D">
        <w:rPr>
          <w:rStyle w:val="Hyperlink"/>
        </w:rPr>
        <w:t>https://www.gov.uk/government/publications/heritage-protection-for-the-21st-century-white-paper</w:t>
      </w:r>
      <w:r w:rsidR="009967AA">
        <w:rPr>
          <w:rStyle w:val="Hyperlink"/>
        </w:rPr>
        <w:fldChar w:fldCharType="end"/>
      </w:r>
      <w:r>
        <w:t xml:space="preserve">&gt; [accessed 22 April 2022] </w:t>
      </w:r>
    </w:p>
  </w:footnote>
  <w:footnote w:id="53">
    <w:p w14:paraId="7116FAAE" w14:textId="77777777" w:rsidR="008D239F" w:rsidRDefault="008D239F" w:rsidP="008D239F">
      <w:pPr>
        <w:pStyle w:val="FootnoteText"/>
      </w:pPr>
      <w:r>
        <w:rPr>
          <w:rStyle w:val="FootnoteReference"/>
        </w:rPr>
        <w:footnoteRef/>
      </w:r>
      <w:r>
        <w:t xml:space="preserve"> </w:t>
      </w:r>
      <w:bookmarkStart w:id="45" w:name="_Hlk102412958"/>
      <w:r>
        <w:t xml:space="preserve">Paul Belford, ‘Politics and Heritage: Developments in Historic Environment Policy and Practice in Wales’, </w:t>
      </w:r>
      <w:r w:rsidRPr="00AC3E64">
        <w:rPr>
          <w:i/>
          <w:iCs/>
        </w:rPr>
        <w:t>The Historic Environment: Policy and Practice,</w:t>
      </w:r>
      <w:proofErr w:type="gramStart"/>
      <w:r w:rsidRPr="00AC3E64">
        <w:rPr>
          <w:i/>
          <w:iCs/>
        </w:rPr>
        <w:t>2018</w:t>
      </w:r>
      <w:r>
        <w:t xml:space="preserve">  &lt;</w:t>
      </w:r>
      <w:proofErr w:type="gramEnd"/>
      <w:hyperlink r:id="rId46" w:history="1">
        <w:r w:rsidRPr="00386DB6">
          <w:rPr>
            <w:rStyle w:val="Hyperlink"/>
          </w:rPr>
          <w:t>https://doi.org/10.1080/17567505.2018.1456721</w:t>
        </w:r>
      </w:hyperlink>
      <w:r>
        <w:t xml:space="preserve">&gt;  </w:t>
      </w:r>
    </w:p>
    <w:bookmarkEnd w:id="45"/>
    <w:p w14:paraId="70E0B529" w14:textId="199BE38B" w:rsidR="008D239F" w:rsidRDefault="008D239F">
      <w:pPr>
        <w:pStyle w:val="FootnoteText"/>
      </w:pPr>
    </w:p>
  </w:footnote>
  <w:footnote w:id="54">
    <w:p w14:paraId="7C840AA6" w14:textId="3DFB4D2E" w:rsidR="00FD6825" w:rsidRDefault="00FD6825">
      <w:pPr>
        <w:pStyle w:val="FootnoteText"/>
      </w:pPr>
      <w:r>
        <w:rPr>
          <w:rStyle w:val="FootnoteReference"/>
        </w:rPr>
        <w:footnoteRef/>
      </w:r>
      <w:r>
        <w:t xml:space="preserve"> </w:t>
      </w:r>
      <w:bookmarkStart w:id="46" w:name="_Hlk102412887"/>
      <w:r w:rsidR="008436F2">
        <w:t xml:space="preserve">Joe </w:t>
      </w:r>
      <w:proofErr w:type="spellStart"/>
      <w:r w:rsidR="008436F2">
        <w:t>Flatman</w:t>
      </w:r>
      <w:proofErr w:type="spellEnd"/>
      <w:r w:rsidR="008436F2">
        <w:t xml:space="preserve">, ‘Identity, Value and Protection: The Role of Statutory Heritage Regimes in Post-Brexit England’ </w:t>
      </w:r>
      <w:r w:rsidR="008436F2" w:rsidRPr="00174507">
        <w:rPr>
          <w:i/>
          <w:iCs/>
        </w:rPr>
        <w:t>The Historic Environment: Policy and Practic</w:t>
      </w:r>
      <w:r w:rsidR="00174507">
        <w:rPr>
          <w:i/>
          <w:iCs/>
        </w:rPr>
        <w:t>e</w:t>
      </w:r>
      <w:r w:rsidR="00174507" w:rsidRPr="00174507">
        <w:t>, 8:3,181-187 p.186</w:t>
      </w:r>
      <w:r w:rsidR="00174507">
        <w:t xml:space="preserve"> &lt;</w:t>
      </w:r>
      <w:hyperlink r:id="rId47" w:history="1">
        <w:r w:rsidR="00174507" w:rsidRPr="0023051A">
          <w:rPr>
            <w:rStyle w:val="Hyperlink"/>
          </w:rPr>
          <w:t>https://doi.org/10.1080/17567505.2017.138318</w:t>
        </w:r>
      </w:hyperlink>
      <w:r w:rsidR="00174507">
        <w:t xml:space="preserve">&gt; </w:t>
      </w:r>
    </w:p>
    <w:bookmarkEnd w:id="46"/>
    <w:p w14:paraId="6CCCAEC8" w14:textId="035A1D08" w:rsidR="00F642ED" w:rsidRDefault="00F642ED">
      <w:pPr>
        <w:pStyle w:val="FootnoteText"/>
      </w:pPr>
    </w:p>
    <w:p w14:paraId="33185E73" w14:textId="48EC3180" w:rsidR="00F642ED" w:rsidRDefault="00F642ED">
      <w:pPr>
        <w:pStyle w:val="FootnoteText"/>
      </w:pPr>
    </w:p>
    <w:p w14:paraId="2833DF88" w14:textId="69132AB0" w:rsidR="00F642ED" w:rsidRDefault="00F642ED">
      <w:pPr>
        <w:pStyle w:val="FootnoteText"/>
      </w:pPr>
    </w:p>
    <w:p w14:paraId="1F598A51" w14:textId="491BF9E0" w:rsidR="00F642ED" w:rsidRDefault="00F642ED">
      <w:pPr>
        <w:pStyle w:val="FootnoteText"/>
      </w:pPr>
    </w:p>
    <w:p w14:paraId="514DE5E8" w14:textId="3479E5D3" w:rsidR="00F642ED" w:rsidRDefault="00F642ED">
      <w:pPr>
        <w:pStyle w:val="FootnoteText"/>
      </w:pPr>
    </w:p>
    <w:p w14:paraId="4372A2BF" w14:textId="1FDA6416" w:rsidR="00F642ED" w:rsidRDefault="00F642ED">
      <w:pPr>
        <w:pStyle w:val="FootnoteText"/>
      </w:pPr>
    </w:p>
    <w:p w14:paraId="183E6CA6" w14:textId="2DDAC8D0" w:rsidR="00F642ED" w:rsidRDefault="00F642ED">
      <w:pPr>
        <w:pStyle w:val="FootnoteText"/>
      </w:pPr>
    </w:p>
    <w:p w14:paraId="3D56A95B" w14:textId="40ABE113" w:rsidR="00F642ED" w:rsidRDefault="00F642ED">
      <w:pPr>
        <w:pStyle w:val="FootnoteText"/>
      </w:pPr>
    </w:p>
    <w:p w14:paraId="1CE667A7" w14:textId="4E232BA9" w:rsidR="00F642ED" w:rsidRDefault="00F642ED">
      <w:pPr>
        <w:pStyle w:val="FootnoteText"/>
      </w:pPr>
    </w:p>
    <w:p w14:paraId="364EE2DD" w14:textId="0B62046A" w:rsidR="00F642ED" w:rsidRDefault="00F642ED">
      <w:pPr>
        <w:pStyle w:val="FootnoteText"/>
      </w:pPr>
    </w:p>
    <w:p w14:paraId="4A501EF7" w14:textId="7EC0B601" w:rsidR="00F642ED" w:rsidRDefault="00F642ED">
      <w:pPr>
        <w:pStyle w:val="FootnoteText"/>
      </w:pPr>
    </w:p>
    <w:p w14:paraId="4213411E" w14:textId="77B6065E" w:rsidR="00F642ED" w:rsidRDefault="00F642ED">
      <w:pPr>
        <w:pStyle w:val="FootnoteText"/>
      </w:pPr>
    </w:p>
    <w:p w14:paraId="1D1F48A0" w14:textId="5431DAFF" w:rsidR="00F642ED" w:rsidRDefault="00F642ED">
      <w:pPr>
        <w:pStyle w:val="FootnoteText"/>
      </w:pPr>
    </w:p>
    <w:p w14:paraId="17AB3D4F" w14:textId="77777777" w:rsidR="00F642ED" w:rsidRDefault="00F642E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D4D90" w14:textId="77777777" w:rsidR="00495DAD" w:rsidRDefault="00495D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C989F" w14:textId="4C7EB160" w:rsidR="00495DAD" w:rsidRDefault="00495DAD">
    <w:pPr>
      <w:pStyle w:val="Header"/>
    </w:pPr>
    <w:r>
      <w:t>Student No: 26002929 Assignment 3</w:t>
    </w:r>
  </w:p>
  <w:p w14:paraId="2631CB37" w14:textId="77777777" w:rsidR="00495DAD" w:rsidRDefault="00495D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6ED0E9" w14:textId="77777777" w:rsidR="00495DAD" w:rsidRDefault="00495D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DAD"/>
    <w:rsid w:val="0000052D"/>
    <w:rsid w:val="00002C7F"/>
    <w:rsid w:val="00010156"/>
    <w:rsid w:val="000171C4"/>
    <w:rsid w:val="00020145"/>
    <w:rsid w:val="00024438"/>
    <w:rsid w:val="0002483C"/>
    <w:rsid w:val="00034174"/>
    <w:rsid w:val="00036898"/>
    <w:rsid w:val="00045101"/>
    <w:rsid w:val="00067AC2"/>
    <w:rsid w:val="000715B0"/>
    <w:rsid w:val="00072CB2"/>
    <w:rsid w:val="00073BCE"/>
    <w:rsid w:val="00075BCF"/>
    <w:rsid w:val="00076768"/>
    <w:rsid w:val="00076B25"/>
    <w:rsid w:val="000779C2"/>
    <w:rsid w:val="0008166B"/>
    <w:rsid w:val="00097189"/>
    <w:rsid w:val="000A54EC"/>
    <w:rsid w:val="000A654F"/>
    <w:rsid w:val="000B06A1"/>
    <w:rsid w:val="000B2F8B"/>
    <w:rsid w:val="000C54B9"/>
    <w:rsid w:val="000C7254"/>
    <w:rsid w:val="000D41DA"/>
    <w:rsid w:val="000F43AB"/>
    <w:rsid w:val="00100275"/>
    <w:rsid w:val="001017DF"/>
    <w:rsid w:val="00101D67"/>
    <w:rsid w:val="00105F1C"/>
    <w:rsid w:val="00106ED9"/>
    <w:rsid w:val="00113919"/>
    <w:rsid w:val="001301F4"/>
    <w:rsid w:val="00131E58"/>
    <w:rsid w:val="001358A2"/>
    <w:rsid w:val="001729FB"/>
    <w:rsid w:val="00174507"/>
    <w:rsid w:val="00192F26"/>
    <w:rsid w:val="00195948"/>
    <w:rsid w:val="001B4E0B"/>
    <w:rsid w:val="001D5BA8"/>
    <w:rsid w:val="001E2FB7"/>
    <w:rsid w:val="001E6046"/>
    <w:rsid w:val="001F093E"/>
    <w:rsid w:val="00225BE8"/>
    <w:rsid w:val="002378E9"/>
    <w:rsid w:val="00243B83"/>
    <w:rsid w:val="00254D00"/>
    <w:rsid w:val="002678BF"/>
    <w:rsid w:val="00272750"/>
    <w:rsid w:val="0027458C"/>
    <w:rsid w:val="0029383A"/>
    <w:rsid w:val="002A0D93"/>
    <w:rsid w:val="002A2614"/>
    <w:rsid w:val="002A6FA5"/>
    <w:rsid w:val="002B5464"/>
    <w:rsid w:val="002C5137"/>
    <w:rsid w:val="002C660A"/>
    <w:rsid w:val="002D2FC8"/>
    <w:rsid w:val="002D68DA"/>
    <w:rsid w:val="003006AE"/>
    <w:rsid w:val="00300BFF"/>
    <w:rsid w:val="00302371"/>
    <w:rsid w:val="003124AC"/>
    <w:rsid w:val="003145B8"/>
    <w:rsid w:val="00317F20"/>
    <w:rsid w:val="00333484"/>
    <w:rsid w:val="00333EB4"/>
    <w:rsid w:val="00336C81"/>
    <w:rsid w:val="00337094"/>
    <w:rsid w:val="00342816"/>
    <w:rsid w:val="003467CA"/>
    <w:rsid w:val="00365687"/>
    <w:rsid w:val="00367232"/>
    <w:rsid w:val="00377EAF"/>
    <w:rsid w:val="003829B2"/>
    <w:rsid w:val="00392859"/>
    <w:rsid w:val="00396AB2"/>
    <w:rsid w:val="003E0157"/>
    <w:rsid w:val="00400506"/>
    <w:rsid w:val="0040338C"/>
    <w:rsid w:val="00404441"/>
    <w:rsid w:val="00406E1A"/>
    <w:rsid w:val="0041310C"/>
    <w:rsid w:val="00420C49"/>
    <w:rsid w:val="00425DF3"/>
    <w:rsid w:val="00437E74"/>
    <w:rsid w:val="004419BF"/>
    <w:rsid w:val="00443124"/>
    <w:rsid w:val="004569C0"/>
    <w:rsid w:val="00465F30"/>
    <w:rsid w:val="00473428"/>
    <w:rsid w:val="00474F4C"/>
    <w:rsid w:val="0048092D"/>
    <w:rsid w:val="00483977"/>
    <w:rsid w:val="0049192D"/>
    <w:rsid w:val="00492060"/>
    <w:rsid w:val="00495DAD"/>
    <w:rsid w:val="00495E1C"/>
    <w:rsid w:val="004A0CD8"/>
    <w:rsid w:val="004A7B55"/>
    <w:rsid w:val="004C1B3D"/>
    <w:rsid w:val="004C54B2"/>
    <w:rsid w:val="004C73E1"/>
    <w:rsid w:val="004D7B58"/>
    <w:rsid w:val="004E171F"/>
    <w:rsid w:val="004E420E"/>
    <w:rsid w:val="004E67E5"/>
    <w:rsid w:val="004E6CC4"/>
    <w:rsid w:val="004F5F7E"/>
    <w:rsid w:val="004F6A1A"/>
    <w:rsid w:val="004F70F3"/>
    <w:rsid w:val="00516FA8"/>
    <w:rsid w:val="00524D43"/>
    <w:rsid w:val="005303B2"/>
    <w:rsid w:val="00530E47"/>
    <w:rsid w:val="00534041"/>
    <w:rsid w:val="00534C4D"/>
    <w:rsid w:val="00540DD3"/>
    <w:rsid w:val="005437D4"/>
    <w:rsid w:val="0054571C"/>
    <w:rsid w:val="005468D2"/>
    <w:rsid w:val="0055259F"/>
    <w:rsid w:val="0056404E"/>
    <w:rsid w:val="00565080"/>
    <w:rsid w:val="00565745"/>
    <w:rsid w:val="00566E64"/>
    <w:rsid w:val="00570D6B"/>
    <w:rsid w:val="0057208B"/>
    <w:rsid w:val="00577ECE"/>
    <w:rsid w:val="00580496"/>
    <w:rsid w:val="00583154"/>
    <w:rsid w:val="00585062"/>
    <w:rsid w:val="00587C65"/>
    <w:rsid w:val="00592378"/>
    <w:rsid w:val="005B15EE"/>
    <w:rsid w:val="005C1F30"/>
    <w:rsid w:val="005E1411"/>
    <w:rsid w:val="005F1AC2"/>
    <w:rsid w:val="005F65A2"/>
    <w:rsid w:val="0061053C"/>
    <w:rsid w:val="006301BF"/>
    <w:rsid w:val="0065582B"/>
    <w:rsid w:val="00655B95"/>
    <w:rsid w:val="00656768"/>
    <w:rsid w:val="00661D4C"/>
    <w:rsid w:val="00665255"/>
    <w:rsid w:val="00673F80"/>
    <w:rsid w:val="00674F3C"/>
    <w:rsid w:val="006763A8"/>
    <w:rsid w:val="00676A78"/>
    <w:rsid w:val="00680BF5"/>
    <w:rsid w:val="00681728"/>
    <w:rsid w:val="00683A54"/>
    <w:rsid w:val="0068518B"/>
    <w:rsid w:val="00691459"/>
    <w:rsid w:val="006961BD"/>
    <w:rsid w:val="006A1AA7"/>
    <w:rsid w:val="006A36D0"/>
    <w:rsid w:val="006A64A0"/>
    <w:rsid w:val="006B6073"/>
    <w:rsid w:val="006E68A8"/>
    <w:rsid w:val="006F75B0"/>
    <w:rsid w:val="00705B95"/>
    <w:rsid w:val="00707786"/>
    <w:rsid w:val="007107B8"/>
    <w:rsid w:val="00712D92"/>
    <w:rsid w:val="007150D9"/>
    <w:rsid w:val="00715BB5"/>
    <w:rsid w:val="0072621D"/>
    <w:rsid w:val="007274B1"/>
    <w:rsid w:val="00733444"/>
    <w:rsid w:val="007367CA"/>
    <w:rsid w:val="00742C7E"/>
    <w:rsid w:val="00750FE0"/>
    <w:rsid w:val="00754C19"/>
    <w:rsid w:val="00756059"/>
    <w:rsid w:val="0076229D"/>
    <w:rsid w:val="00771B68"/>
    <w:rsid w:val="00774048"/>
    <w:rsid w:val="007748FC"/>
    <w:rsid w:val="00780052"/>
    <w:rsid w:val="00794D34"/>
    <w:rsid w:val="00795B29"/>
    <w:rsid w:val="00797C15"/>
    <w:rsid w:val="007A0CF2"/>
    <w:rsid w:val="007A1FBF"/>
    <w:rsid w:val="007A44E0"/>
    <w:rsid w:val="007B6407"/>
    <w:rsid w:val="007B72CD"/>
    <w:rsid w:val="007D2C2B"/>
    <w:rsid w:val="007D4F2F"/>
    <w:rsid w:val="007D6FF8"/>
    <w:rsid w:val="007E31C4"/>
    <w:rsid w:val="007F0178"/>
    <w:rsid w:val="00812D07"/>
    <w:rsid w:val="00814817"/>
    <w:rsid w:val="008247FE"/>
    <w:rsid w:val="00826306"/>
    <w:rsid w:val="00827FEF"/>
    <w:rsid w:val="008436F2"/>
    <w:rsid w:val="008614FC"/>
    <w:rsid w:val="00866C58"/>
    <w:rsid w:val="008828CF"/>
    <w:rsid w:val="00893B61"/>
    <w:rsid w:val="008A22AC"/>
    <w:rsid w:val="008A5B82"/>
    <w:rsid w:val="008B4083"/>
    <w:rsid w:val="008B4D20"/>
    <w:rsid w:val="008B4D9D"/>
    <w:rsid w:val="008B6224"/>
    <w:rsid w:val="008D0DF6"/>
    <w:rsid w:val="008D239F"/>
    <w:rsid w:val="008F3223"/>
    <w:rsid w:val="00901BE4"/>
    <w:rsid w:val="00920EA0"/>
    <w:rsid w:val="00940F84"/>
    <w:rsid w:val="009414C0"/>
    <w:rsid w:val="009439D9"/>
    <w:rsid w:val="009450C1"/>
    <w:rsid w:val="009546CE"/>
    <w:rsid w:val="00963324"/>
    <w:rsid w:val="00964447"/>
    <w:rsid w:val="00965B55"/>
    <w:rsid w:val="00976892"/>
    <w:rsid w:val="009823AC"/>
    <w:rsid w:val="009852BD"/>
    <w:rsid w:val="009865DC"/>
    <w:rsid w:val="00992434"/>
    <w:rsid w:val="009967AA"/>
    <w:rsid w:val="009A01C6"/>
    <w:rsid w:val="009A1A42"/>
    <w:rsid w:val="009A3507"/>
    <w:rsid w:val="009C5C12"/>
    <w:rsid w:val="009D6C71"/>
    <w:rsid w:val="009E08F5"/>
    <w:rsid w:val="009E67BA"/>
    <w:rsid w:val="009E6C97"/>
    <w:rsid w:val="009F2C7A"/>
    <w:rsid w:val="009F7652"/>
    <w:rsid w:val="00A01F2D"/>
    <w:rsid w:val="00A07993"/>
    <w:rsid w:val="00A13595"/>
    <w:rsid w:val="00A15B09"/>
    <w:rsid w:val="00A348EE"/>
    <w:rsid w:val="00A34FB6"/>
    <w:rsid w:val="00A4357C"/>
    <w:rsid w:val="00A472E0"/>
    <w:rsid w:val="00A53835"/>
    <w:rsid w:val="00A60C48"/>
    <w:rsid w:val="00A64684"/>
    <w:rsid w:val="00A703BB"/>
    <w:rsid w:val="00A7128E"/>
    <w:rsid w:val="00A73912"/>
    <w:rsid w:val="00A80B07"/>
    <w:rsid w:val="00A93D9C"/>
    <w:rsid w:val="00AA333F"/>
    <w:rsid w:val="00AA7EA8"/>
    <w:rsid w:val="00AB2B41"/>
    <w:rsid w:val="00AB48E4"/>
    <w:rsid w:val="00AB734A"/>
    <w:rsid w:val="00AC36C3"/>
    <w:rsid w:val="00AC3E64"/>
    <w:rsid w:val="00AD4AAF"/>
    <w:rsid w:val="00AE1DAE"/>
    <w:rsid w:val="00AE4F42"/>
    <w:rsid w:val="00AF354B"/>
    <w:rsid w:val="00B05D19"/>
    <w:rsid w:val="00B05DAD"/>
    <w:rsid w:val="00B06664"/>
    <w:rsid w:val="00B10308"/>
    <w:rsid w:val="00B167AF"/>
    <w:rsid w:val="00B20F08"/>
    <w:rsid w:val="00B2342E"/>
    <w:rsid w:val="00B33852"/>
    <w:rsid w:val="00B35B38"/>
    <w:rsid w:val="00B37753"/>
    <w:rsid w:val="00B44373"/>
    <w:rsid w:val="00B44F4A"/>
    <w:rsid w:val="00B52DDD"/>
    <w:rsid w:val="00B52E2B"/>
    <w:rsid w:val="00B55E65"/>
    <w:rsid w:val="00B5673B"/>
    <w:rsid w:val="00B5684E"/>
    <w:rsid w:val="00B705FA"/>
    <w:rsid w:val="00B770F5"/>
    <w:rsid w:val="00BA1EDB"/>
    <w:rsid w:val="00BA45B9"/>
    <w:rsid w:val="00BB401A"/>
    <w:rsid w:val="00BB70EB"/>
    <w:rsid w:val="00BB7F86"/>
    <w:rsid w:val="00BC0C4B"/>
    <w:rsid w:val="00BC2C00"/>
    <w:rsid w:val="00BD4BE7"/>
    <w:rsid w:val="00BD6B17"/>
    <w:rsid w:val="00BE0904"/>
    <w:rsid w:val="00C109E2"/>
    <w:rsid w:val="00C15CDD"/>
    <w:rsid w:val="00C168A2"/>
    <w:rsid w:val="00C30E80"/>
    <w:rsid w:val="00C41709"/>
    <w:rsid w:val="00C4546E"/>
    <w:rsid w:val="00C6040C"/>
    <w:rsid w:val="00C63999"/>
    <w:rsid w:val="00C67AB2"/>
    <w:rsid w:val="00C80EF4"/>
    <w:rsid w:val="00C94BF8"/>
    <w:rsid w:val="00CA21AA"/>
    <w:rsid w:val="00CA2BE8"/>
    <w:rsid w:val="00CA6C69"/>
    <w:rsid w:val="00CB5528"/>
    <w:rsid w:val="00CB638B"/>
    <w:rsid w:val="00CC3844"/>
    <w:rsid w:val="00CE2A0B"/>
    <w:rsid w:val="00CF0057"/>
    <w:rsid w:val="00CF4CFA"/>
    <w:rsid w:val="00D00C12"/>
    <w:rsid w:val="00D02393"/>
    <w:rsid w:val="00D067AF"/>
    <w:rsid w:val="00D14629"/>
    <w:rsid w:val="00D16500"/>
    <w:rsid w:val="00D216AC"/>
    <w:rsid w:val="00D33F7E"/>
    <w:rsid w:val="00D4439A"/>
    <w:rsid w:val="00D45663"/>
    <w:rsid w:val="00D457DC"/>
    <w:rsid w:val="00D46E90"/>
    <w:rsid w:val="00D609B4"/>
    <w:rsid w:val="00D73394"/>
    <w:rsid w:val="00D9532A"/>
    <w:rsid w:val="00DC2E9E"/>
    <w:rsid w:val="00DF39A4"/>
    <w:rsid w:val="00DF663F"/>
    <w:rsid w:val="00DF7506"/>
    <w:rsid w:val="00E0010A"/>
    <w:rsid w:val="00E10E02"/>
    <w:rsid w:val="00E16B7B"/>
    <w:rsid w:val="00E20C34"/>
    <w:rsid w:val="00E269A6"/>
    <w:rsid w:val="00E30311"/>
    <w:rsid w:val="00E3135C"/>
    <w:rsid w:val="00E31BD7"/>
    <w:rsid w:val="00E374FA"/>
    <w:rsid w:val="00E37E57"/>
    <w:rsid w:val="00E4231A"/>
    <w:rsid w:val="00E4387E"/>
    <w:rsid w:val="00E470E1"/>
    <w:rsid w:val="00E646EB"/>
    <w:rsid w:val="00E6555E"/>
    <w:rsid w:val="00E900AA"/>
    <w:rsid w:val="00E95D48"/>
    <w:rsid w:val="00EA153B"/>
    <w:rsid w:val="00EA1D17"/>
    <w:rsid w:val="00EB254B"/>
    <w:rsid w:val="00EB415E"/>
    <w:rsid w:val="00EE165F"/>
    <w:rsid w:val="00EE2340"/>
    <w:rsid w:val="00EE5E46"/>
    <w:rsid w:val="00EE69D3"/>
    <w:rsid w:val="00EF49A6"/>
    <w:rsid w:val="00F02154"/>
    <w:rsid w:val="00F05945"/>
    <w:rsid w:val="00F25180"/>
    <w:rsid w:val="00F26FDA"/>
    <w:rsid w:val="00F31BFD"/>
    <w:rsid w:val="00F37F63"/>
    <w:rsid w:val="00F42BE6"/>
    <w:rsid w:val="00F446C3"/>
    <w:rsid w:val="00F47734"/>
    <w:rsid w:val="00F51409"/>
    <w:rsid w:val="00F642ED"/>
    <w:rsid w:val="00F81ABB"/>
    <w:rsid w:val="00F83255"/>
    <w:rsid w:val="00F87C9E"/>
    <w:rsid w:val="00F92DF9"/>
    <w:rsid w:val="00F95CC9"/>
    <w:rsid w:val="00FA350A"/>
    <w:rsid w:val="00FB3C86"/>
    <w:rsid w:val="00FB6EC2"/>
    <w:rsid w:val="00FD3A7D"/>
    <w:rsid w:val="00FD6825"/>
    <w:rsid w:val="00FD752A"/>
    <w:rsid w:val="00FE0D1C"/>
    <w:rsid w:val="00FE177F"/>
    <w:rsid w:val="00FE717B"/>
    <w:rsid w:val="00FF7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F08A4"/>
  <w15:chartTrackingRefBased/>
  <w15:docId w15:val="{2D6D18D4-3183-4736-B255-CC2979499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6A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07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5D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DAD"/>
  </w:style>
  <w:style w:type="paragraph" w:styleId="Footer">
    <w:name w:val="footer"/>
    <w:basedOn w:val="Normal"/>
    <w:link w:val="FooterChar"/>
    <w:uiPriority w:val="99"/>
    <w:unhideWhenUsed/>
    <w:rsid w:val="00495D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DAD"/>
  </w:style>
  <w:style w:type="paragraph" w:styleId="FootnoteText">
    <w:name w:val="footnote text"/>
    <w:basedOn w:val="Normal"/>
    <w:link w:val="FootnoteTextChar"/>
    <w:uiPriority w:val="99"/>
    <w:semiHidden/>
    <w:unhideWhenUsed/>
    <w:rsid w:val="004920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2060"/>
    <w:rPr>
      <w:sz w:val="20"/>
      <w:szCs w:val="20"/>
    </w:rPr>
  </w:style>
  <w:style w:type="character" w:styleId="FootnoteReference">
    <w:name w:val="footnote reference"/>
    <w:basedOn w:val="DefaultParagraphFont"/>
    <w:uiPriority w:val="99"/>
    <w:semiHidden/>
    <w:unhideWhenUsed/>
    <w:rsid w:val="00492060"/>
    <w:rPr>
      <w:vertAlign w:val="superscript"/>
    </w:rPr>
  </w:style>
  <w:style w:type="character" w:styleId="Hyperlink">
    <w:name w:val="Hyperlink"/>
    <w:basedOn w:val="DefaultParagraphFont"/>
    <w:uiPriority w:val="99"/>
    <w:unhideWhenUsed/>
    <w:rsid w:val="00492060"/>
    <w:rPr>
      <w:color w:val="0563C1" w:themeColor="hyperlink"/>
      <w:u w:val="single"/>
    </w:rPr>
  </w:style>
  <w:style w:type="character" w:styleId="UnresolvedMention">
    <w:name w:val="Unresolved Mention"/>
    <w:basedOn w:val="DefaultParagraphFont"/>
    <w:uiPriority w:val="99"/>
    <w:semiHidden/>
    <w:unhideWhenUsed/>
    <w:rsid w:val="00492060"/>
    <w:rPr>
      <w:color w:val="605E5C"/>
      <w:shd w:val="clear" w:color="auto" w:fill="E1DFDD"/>
    </w:rPr>
  </w:style>
  <w:style w:type="character" w:customStyle="1" w:styleId="Heading1Char">
    <w:name w:val="Heading 1 Char"/>
    <w:basedOn w:val="DefaultParagraphFont"/>
    <w:link w:val="Heading1"/>
    <w:uiPriority w:val="9"/>
    <w:rsid w:val="004F6A1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107B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095242">
      <w:bodyDiv w:val="1"/>
      <w:marLeft w:val="0"/>
      <w:marRight w:val="0"/>
      <w:marTop w:val="0"/>
      <w:marBottom w:val="0"/>
      <w:divBdr>
        <w:top w:val="none" w:sz="0" w:space="0" w:color="auto"/>
        <w:left w:val="none" w:sz="0" w:space="0" w:color="auto"/>
        <w:bottom w:val="none" w:sz="0" w:space="0" w:color="auto"/>
        <w:right w:val="none" w:sz="0" w:space="0" w:color="auto"/>
      </w:divBdr>
    </w:div>
    <w:div w:id="822356353">
      <w:bodyDiv w:val="1"/>
      <w:marLeft w:val="0"/>
      <w:marRight w:val="0"/>
      <w:marTop w:val="0"/>
      <w:marBottom w:val="0"/>
      <w:divBdr>
        <w:top w:val="none" w:sz="0" w:space="0" w:color="auto"/>
        <w:left w:val="none" w:sz="0" w:space="0" w:color="auto"/>
        <w:bottom w:val="none" w:sz="0" w:space="0" w:color="auto"/>
        <w:right w:val="none" w:sz="0" w:space="0" w:color="auto"/>
      </w:divBdr>
    </w:div>
    <w:div w:id="1688360276">
      <w:bodyDiv w:val="1"/>
      <w:marLeft w:val="0"/>
      <w:marRight w:val="0"/>
      <w:marTop w:val="0"/>
      <w:marBottom w:val="0"/>
      <w:divBdr>
        <w:top w:val="none" w:sz="0" w:space="0" w:color="auto"/>
        <w:left w:val="none" w:sz="0" w:space="0" w:color="auto"/>
        <w:bottom w:val="none" w:sz="0" w:space="0" w:color="auto"/>
        <w:right w:val="none" w:sz="0" w:space="0" w:color="auto"/>
      </w:divBdr>
    </w:div>
    <w:div w:id="1806240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pi.parliament.uk/historic-hansard/commons/1931/jun/11/royal-assent" TargetMode="External"/><Relationship Id="rId18" Type="http://schemas.openxmlformats.org/officeDocument/2006/relationships/hyperlink" Target="https://buildingconservation.com.articles/national-heritage-bodies/national-heritage-bodies.htm" TargetMode="External"/><Relationship Id="rId26" Type="http://schemas.openxmlformats.org/officeDocument/2006/relationships/hyperlink" Target="https://cadw.gov.wales/advice%20-support/placemaking/legislation-and-guidance/historic-environment-records" TargetMode="External"/><Relationship Id="rId39" Type="http://schemas.openxmlformats.org/officeDocument/2006/relationships/hyperlink" Target="https://www.parliament.uk/about/living-heritage/transformingsociety/towncountry/landscape/overview/historicsites/" TargetMode="External"/><Relationship Id="rId21" Type="http://schemas.openxmlformats.org/officeDocument/2006/relationships/hyperlink" Target="https://discoveringoldwelshhouses.co.uk/" TargetMode="External"/><Relationship Id="rId34" Type="http://schemas.openxmlformats.org/officeDocument/2006/relationships/hyperlink" Target="https://www.legislation.gov.uk/ukpga/1980/17/contents" TargetMode="External"/><Relationship Id="rId42" Type="http://schemas.openxmlformats.org/officeDocument/2006/relationships/hyperlink" Target="https://cadw.gov.wales/sites/default/files/2019-09/2019-09-02-hierarchychart-biligual.pdf" TargetMode="External"/><Relationship Id="rId47" Type="http://schemas.openxmlformats.org/officeDocument/2006/relationships/hyperlink" Target="https://cadw.gov.wales/about-us/what-we-do" TargetMode="Externa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hyperlink" Target="https://en.wikipedia.org/wiki/Cefn_Bryn" TargetMode="External"/><Relationship Id="rId12" Type="http://schemas.openxmlformats.org/officeDocument/2006/relationships/hyperlink" Target="https://hansard.parliament.uk/lords/1953-07-30/debates/9a1bf3ad-3cb3-4a36-bc45-91f6e83e35d0/HistoricBuildingsAndAncientMonumentsBill" TargetMode="External"/><Relationship Id="rId17" Type="http://schemas.openxmlformats.org/officeDocument/2006/relationships/hyperlink" Target="https://www.buildingconservation.co./directory/%20prodlist.php?category=National+bodies%3A+Wales" TargetMode="External"/><Relationship Id="rId25" Type="http://schemas.openxmlformats.org/officeDocument/2006/relationships/hyperlink" Target="https://historicengland.org.uk/images-books/archive/library/" TargetMode="External"/><Relationship Id="rId33" Type="http://schemas.openxmlformats.org/officeDocument/2006/relationships/hyperlink" Target="http://www.welshcountryhome.co.uk/lost/" TargetMode="External"/><Relationship Id="rId38" Type="http://schemas.openxmlformats.org/officeDocument/2006/relationships/hyperlink" Target="https://www.legislation.gov.uk/ukpga/1990/9/contents" TargetMode="External"/><Relationship Id="rId46" Type="http://schemas.openxmlformats.org/officeDocument/2006/relationships/hyperlink" Target="https://law.gov.wales/culture/welsh-language/welsh-language-act-1993" TargetMode="External"/><Relationship Id="rId2" Type="http://schemas.openxmlformats.org/officeDocument/2006/relationships/styles" Target="styles.xml"/><Relationship Id="rId16" Type="http://schemas.openxmlformats.org/officeDocument/2006/relationships/hyperlink" Target="https://www.jstor.org/stable/44790117" TargetMode="External"/><Relationship Id="rId20" Type="http://schemas.openxmlformats.org/officeDocument/2006/relationships/hyperlink" Target="https://cadw.gov.wales/sites/default/files/2021-06/introducing%20CadwEnglish%20WEB%20-%25updated%20June%202021.pdf" TargetMode="External"/><Relationship Id="rId29" Type="http://schemas.openxmlformats.org/officeDocument/2006/relationships/hyperlink" Target="https://www.victoriansociety.org.uk/" TargetMode="External"/><Relationship Id="rId41" Type="http://schemas.openxmlformats.org/officeDocument/2006/relationships/hyperlink" Target="https://www.visitchurches.org.uk/"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government/publications/heritage-protectiob-for-the-21stcentury-white-paper" TargetMode="External"/><Relationship Id="rId24" Type="http://schemas.openxmlformats.org/officeDocument/2006/relationships/hyperlink" Target="https://www.legislation.gov.uk/uk/ukpga/Eliz2/1-2/49/introduction/enacted" TargetMode="External"/><Relationship Id="rId32" Type="http://schemas.openxmlformats.org/officeDocument/2006/relationships/hyperlink" Target="https://law.gov.wales/culture/historic-environment/listed-buildings" TargetMode="External"/><Relationship Id="rId37" Type="http://schemas.openxmlformats.org/officeDocument/2006/relationships/hyperlink" Target="https://www.gov.uk/government/news/new-legal-protection-for-england-s-heritage" TargetMode="External"/><Relationship Id="rId40" Type="http://schemas.openxmlformats.org/officeDocument/2006/relationships/hyperlink" Target="https://blog.britishnewspaperarchive.co.uk/2019/03/20/31-march-2019-destrcution-of-the-country-house/" TargetMode="External"/><Relationship Id="rId45" Type="http://schemas.openxmlformats.org/officeDocument/2006/relationships/hyperlink" Target="https://gov.wales/well-being-of-future-generations-wales" TargetMode="External"/><Relationship Id="rId53"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doi.org/10.1080/17567505.2017.138318" TargetMode="External"/><Relationship Id="rId23" Type="http://schemas.openxmlformats.org/officeDocument/2006/relationships/hyperlink" Target="https://www.legislation.gov.uk/uksi/2005/712/pdfs/uksiem_20050712_en.pdf" TargetMode="External"/><Relationship Id="rId28" Type="http://schemas.openxmlformats.org/officeDocument/2006/relationships/hyperlink" Target="https://www.visitchurches.org.uk/" TargetMode="External"/><Relationship Id="rId36" Type="http://schemas.openxmlformats.org/officeDocument/2006/relationships/hyperlink" Target="https://www.gov.uk/guidance/national-planning-policy-framework" TargetMode="External"/><Relationship Id="rId49" Type="http://schemas.openxmlformats.org/officeDocument/2006/relationships/header" Target="header1.xml"/><Relationship Id="rId10" Type="http://schemas.openxmlformats.org/officeDocument/2006/relationships/hyperlink" Target="https://api.parliament.uk/historic-hansard/commons/1913/aug/12/clause-22-definition-of-ancient-monument" TargetMode="External"/><Relationship Id="rId19" Type="http://schemas.openxmlformats.org/officeDocument/2006/relationships/hyperlink" Target="http://dx.doi.org/10.1080/09548960802362157" TargetMode="External"/><Relationship Id="rId31" Type="http://schemas.openxmlformats.org/officeDocument/2006/relationships/hyperlink" Target="https://historicengland.org.uk/advice/hpg/has/listed-buildings/" TargetMode="External"/><Relationship Id="rId44" Type="http://schemas.openxmlformats.org/officeDocument/2006/relationships/hyperlink" Target="https://rcahmw.gov.uk/" TargetMode="External"/><Relationship Id="rId52"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api.parliament.uk/historichansard/acts/ancient-monuments-protection-act-1900" TargetMode="External"/><Relationship Id="rId14" Type="http://schemas.openxmlformats.org/officeDocument/2006/relationships/hyperlink" Target="https://doi.org/10.1080/09548969809365058" TargetMode="External"/><Relationship Id="rId22" Type="http://schemas.openxmlformats.org/officeDocument/2006/relationships/hyperlink" Target="https://www.english-heritage.org.uk/about-us/search-news/english-heritage-has-changed/" TargetMode="External"/><Relationship Id="rId27" Type="http://schemas.openxmlformats.org/officeDocument/2006/relationships/hyperlink" Target="https://www.legislation.gov.uk/anaw/2016/4/section/1" TargetMode="External"/><Relationship Id="rId30" Type="http://schemas.openxmlformats.org/officeDocument/2006/relationships/hyperlink" Target="https://historicengland.org.uk/about/who-we-are/how-we-are-funded/" TargetMode="External"/><Relationship Id="rId35" Type="http://schemas.openxmlformats.org/officeDocument/2006/relationships/hyperlink" Target="https://www.legislation.gov.uk/ukpga/1983/47" TargetMode="External"/><Relationship Id="rId43" Type="http://schemas.openxmlformats.org/officeDocument/2006/relationships/hyperlink" Target="https://www.nationaltrust.org.uk/" TargetMode="External"/><Relationship Id="rId48" Type="http://schemas.openxmlformats.org/officeDocument/2006/relationships/hyperlink" Target="https://statutes.org.uk/site/the-statutes/twentieth-century/1900-63-64-victoria-c-34-ancient-monuments-protection-act/" TargetMode="External"/><Relationship Id="rId56" Type="http://schemas.openxmlformats.org/officeDocument/2006/relationships/theme" Target="theme/theme1.xml"/><Relationship Id="rId8" Type="http://schemas.openxmlformats.org/officeDocument/2006/relationships/hyperlink" Target="https://en.wikipedia.org/wiki/Pentre_Ifan" TargetMode="External"/><Relationship Id="rId51" Type="http://schemas.openxmlformats.org/officeDocument/2006/relationships/footer" Target="footer1.xml"/><Relationship Id="rId3" Type="http://schemas.openxmlformats.org/officeDocument/2006/relationships/settings" Target="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api.parliament.uk/historic-hansard/acts/ancient-monuments-protection-act-1900" TargetMode="External"/><Relationship Id="rId13" Type="http://schemas.openxmlformats.org/officeDocument/2006/relationships/hyperlink" Target="https://www.legislation.gov.uk/uk/ukpga/Eliz2/1-2/49/introduction/enacted" TargetMode="External"/><Relationship Id="rId18" Type="http://schemas.openxmlformats.org/officeDocument/2006/relationships/hyperlink" Target="https://www.legislation.gov.uk/ukpga/1983/47" TargetMode="External"/><Relationship Id="rId26" Type="http://schemas.openxmlformats.org/officeDocument/2006/relationships/hyperlink" Target="https://www.legislation.gov.uk/ukpga/1990/9/contents" TargetMode="External"/><Relationship Id="rId39" Type="http://schemas.openxmlformats.org/officeDocument/2006/relationships/hyperlink" Target="https://www.legislation.gov.uk/uksi/2005/712/pdfs/uksiem_20050712_en.pdf" TargetMode="External"/><Relationship Id="rId3" Type="http://schemas.openxmlformats.org/officeDocument/2006/relationships/hyperlink" Target="https://www.gov/government/publications/heritage-protectiob-for-the-21stcentury-white-paper" TargetMode="External"/><Relationship Id="rId21" Type="http://schemas.openxmlformats.org/officeDocument/2006/relationships/hyperlink" Target="https://cadw.gov.wales/sites/default/files/2019-09/2019-09-02-hierarchychart-biligual.pdf" TargetMode="External"/><Relationship Id="rId34" Type="http://schemas.openxmlformats.org/officeDocument/2006/relationships/hyperlink" Target="https://buildingconservation.com.articles/national-heritage-bodies/national-heritage-bodies.htm" TargetMode="External"/><Relationship Id="rId42" Type="http://schemas.openxmlformats.org/officeDocument/2006/relationships/hyperlink" Target="https://www.legislation.gov.uk/anaw/2016/4/section/1" TargetMode="External"/><Relationship Id="rId47" Type="http://schemas.openxmlformats.org/officeDocument/2006/relationships/hyperlink" Target="https://doi.org/10.1080/17567505.2017.138318" TargetMode="External"/><Relationship Id="rId7" Type="http://schemas.openxmlformats.org/officeDocument/2006/relationships/hyperlink" Target="https://www.parliament.uk/about/living-heritage/transformingsociety/towncountry/landscape/overview/historicsites/" TargetMode="External"/><Relationship Id="rId12" Type="http://schemas.openxmlformats.org/officeDocument/2006/relationships/hyperlink" Target="https://doi.org/10.1080/09548969809365058" TargetMode="External"/><Relationship Id="rId17" Type="http://schemas.openxmlformats.org/officeDocument/2006/relationships/hyperlink" Target="https://www.legislation.gov.uk/ukpga/1980/17/contents" TargetMode="External"/><Relationship Id="rId25" Type="http://schemas.openxmlformats.org/officeDocument/2006/relationships/hyperlink" Target="https://law.gov.wales/culture/historic-environment/listed-buildings" TargetMode="External"/><Relationship Id="rId33" Type="http://schemas.openxmlformats.org/officeDocument/2006/relationships/hyperlink" Target="https://cadw.gov.wales/about-us/what-we-do" TargetMode="External"/><Relationship Id="rId38" Type="http://schemas.openxmlformats.org/officeDocument/2006/relationships/hyperlink" Target="https://www.nationaltrust.org.uk/" TargetMode="External"/><Relationship Id="rId46" Type="http://schemas.openxmlformats.org/officeDocument/2006/relationships/hyperlink" Target="https://doi.org/10.1080/17567505.2018.1456721" TargetMode="External"/><Relationship Id="rId2" Type="http://schemas.openxmlformats.org/officeDocument/2006/relationships/hyperlink" Target="https://buildingconservation.com/articles/national-heritage-bodies/national-heritage-bodies.htm" TargetMode="External"/><Relationship Id="rId16" Type="http://schemas.openxmlformats.org/officeDocument/2006/relationships/hyperlink" Target="http://www.welshcountryhome.co.uk/lost/" TargetMode="External"/><Relationship Id="rId20" Type="http://schemas.openxmlformats.org/officeDocument/2006/relationships/hyperlink" Target="https://www.legislation.gov.uk/anaw/2016/4/section/1" TargetMode="External"/><Relationship Id="rId29" Type="http://schemas.openxmlformats.org/officeDocument/2006/relationships/hyperlink" Target="https://cadw.gov.wales/sites/default/files/2021-06/introducing%20CadwEnglish%20WEB%20-%25updated%20June%202021.pdf" TargetMode="External"/><Relationship Id="rId41" Type="http://schemas.openxmlformats.org/officeDocument/2006/relationships/hyperlink" Target="https://discoveringoldwelshhouses.co.uk/" TargetMode="External"/><Relationship Id="rId1" Type="http://schemas.openxmlformats.org/officeDocument/2006/relationships/hyperlink" Target="https://www.legislation.gov.uk/ukpga/Eliz2/1-2/49/introduction/en.acted" TargetMode="External"/><Relationship Id="rId6" Type="http://schemas.openxmlformats.org/officeDocument/2006/relationships/hyperlink" Target="https://www.visitchurches.org.uk/" TargetMode="External"/><Relationship Id="rId11" Type="http://schemas.openxmlformats.org/officeDocument/2006/relationships/hyperlink" Target="https://api.parliament.uk/historic-hansard/commons/1931/jun/11/royal-assent" TargetMode="External"/><Relationship Id="rId24" Type="http://schemas.openxmlformats.org/officeDocument/2006/relationships/hyperlink" Target="https://law.gov.wales/culture/welsh-language/welsh-language-act-1993" TargetMode="External"/><Relationship Id="rId32" Type="http://schemas.openxmlformats.org/officeDocument/2006/relationships/hyperlink" Target="https://www.buildingconservation.co./directory/%20prodlist.php?category=National+bodies%3A+Wales" TargetMode="External"/><Relationship Id="rId37" Type="http://schemas.openxmlformats.org/officeDocument/2006/relationships/hyperlink" Target="https://historicengland.org.uk/images-books/archive/library/" TargetMode="External"/><Relationship Id="rId40" Type="http://schemas.openxmlformats.org/officeDocument/2006/relationships/hyperlink" Target="https://www.visitchurches.org.uk/" TargetMode="External"/><Relationship Id="rId45" Type="http://schemas.openxmlformats.org/officeDocument/2006/relationships/hyperlink" Target="https://gov.wales/well-being-of-future-generations-wales" TargetMode="External"/><Relationship Id="rId5" Type="http://schemas.openxmlformats.org/officeDocument/2006/relationships/hyperlink" Target="https://www.victoriansociety.org.uk/" TargetMode="External"/><Relationship Id="rId15" Type="http://schemas.openxmlformats.org/officeDocument/2006/relationships/hyperlink" Target="https://blog.britishnewspaperarchive.co.uk/2019/03/20/31-march-2019-destrcution-of-the-country-house/" TargetMode="External"/><Relationship Id="rId23" Type="http://schemas.openxmlformats.org/officeDocument/2006/relationships/hyperlink" Target="https://www.gov.uk/government/news/new-legal-protection-for-england-s-heritage" TargetMode="External"/><Relationship Id="rId28" Type="http://schemas.openxmlformats.org/officeDocument/2006/relationships/hyperlink" Target="https://www.gov.uk/guidance/national-planning-policy-framework" TargetMode="External"/><Relationship Id="rId36" Type="http://schemas.openxmlformats.org/officeDocument/2006/relationships/hyperlink" Target="https://historicengland.org.uk/about/who-we-are/how-we-are-funded/" TargetMode="External"/><Relationship Id="rId10" Type="http://schemas.openxmlformats.org/officeDocument/2006/relationships/hyperlink" Target="https://api.parliament.uk/historic-hansard/commons/1913/aug/12/clause-22-definition-of-ancient-monument" TargetMode="External"/><Relationship Id="rId19" Type="http://schemas.openxmlformats.org/officeDocument/2006/relationships/hyperlink" Target="http://dx.doi.org/10.1080/09548960802362157" TargetMode="External"/><Relationship Id="rId31" Type="http://schemas.openxmlformats.org/officeDocument/2006/relationships/hyperlink" Target="https://cadw.gov.wales/about-us/what-we-do" TargetMode="External"/><Relationship Id="rId44" Type="http://schemas.openxmlformats.org/officeDocument/2006/relationships/hyperlink" Target="https://cadw.gov.wales/sites/default/files/2019-09/2019-09-02-hierarchychart-biligual.pdf" TargetMode="External"/><Relationship Id="rId4" Type="http://schemas.openxmlformats.org/officeDocument/2006/relationships/hyperlink" Target="https://www.nationaltrust.org.uk/" TargetMode="External"/><Relationship Id="rId9" Type="http://schemas.openxmlformats.org/officeDocument/2006/relationships/hyperlink" Target="https://statutes.org.uk/site/the-statutes/twentieth-century/1900-63-64-victoria-c-34-ancient-monuments-protection-act/" TargetMode="External"/><Relationship Id="rId14" Type="http://schemas.openxmlformats.org/officeDocument/2006/relationships/hyperlink" Target="https://hansard.parliament.uk/lords/1953-07-30/debates/9a1bf3ad-3cb3-4a36-bc45-91f6e83e35d0/HistoricBuildingsAndAncientMonumentsBill" TargetMode="External"/><Relationship Id="rId22" Type="http://schemas.openxmlformats.org/officeDocument/2006/relationships/hyperlink" Target="https://cadw.gov.wales/advice%20-support/placemaking/legislation-and-guidance/historic-environment-records" TargetMode="External"/><Relationship Id="rId27" Type="http://schemas.openxmlformats.org/officeDocument/2006/relationships/hyperlink" Target="https://historicengland.org.uk/advice/hpg/has/listed-buildings/" TargetMode="External"/><Relationship Id="rId30" Type="http://schemas.openxmlformats.org/officeDocument/2006/relationships/hyperlink" Target="https://rcahmw.gov.uk/" TargetMode="External"/><Relationship Id="rId35" Type="http://schemas.openxmlformats.org/officeDocument/2006/relationships/hyperlink" Target="https://www.english-heritage.org.uk/about-us/search-news/english-heritage-has-changed/" TargetMode="External"/><Relationship Id="rId43" Type="http://schemas.openxmlformats.org/officeDocument/2006/relationships/hyperlink" Target="https://www.gov.uk/government/publications/heritage-protection-for-the-21st-century-white-pa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CEA936-27CA-4E8D-9C77-58014D707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4330</Words>
  <Characters>30953</Characters>
  <Application>Microsoft Office Word</Application>
  <DocSecurity>0</DocSecurity>
  <Lines>257</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Jones</dc:creator>
  <cp:keywords/>
  <dc:description/>
  <cp:lastModifiedBy>Jane Jones</cp:lastModifiedBy>
  <cp:revision>2</cp:revision>
  <cp:lastPrinted>2022-05-01T17:32:00Z</cp:lastPrinted>
  <dcterms:created xsi:type="dcterms:W3CDTF">2022-05-04T18:38:00Z</dcterms:created>
  <dcterms:modified xsi:type="dcterms:W3CDTF">2022-05-04T18:38:00Z</dcterms:modified>
</cp:coreProperties>
</file>