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4"/>
        <w:rPr>
          <w:rFonts w:ascii="Times New Roman"/>
          <w:sz w:val="17"/>
        </w:rPr>
      </w:pPr>
      <w:r>
        <w:rPr>
          <w:rFonts w:ascii="Times New Roman"/>
          <w:sz w:val="17"/>
        </w:rPr>
        <w:drawing>
          <wp:anchor distT="0" distB="0" distL="0" distR="0" allowOverlap="1" layoutInCell="1" locked="0" behindDoc="0" simplePos="0" relativeHeight="15728640">
            <wp:simplePos x="0" y="0"/>
            <wp:positionH relativeFrom="page">
              <wp:posOffset>0</wp:posOffset>
            </wp:positionH>
            <wp:positionV relativeFrom="page">
              <wp:posOffset>7227</wp:posOffset>
            </wp:positionV>
            <wp:extent cx="7556500" cy="10678947"/>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7556500" cy="10678947"/>
                    </a:xfrm>
                    <a:prstGeom prst="rect">
                      <a:avLst/>
                    </a:prstGeom>
                  </pic:spPr>
                </pic:pic>
              </a:graphicData>
            </a:graphic>
          </wp:anchor>
        </w:drawing>
      </w:r>
    </w:p>
    <w:p>
      <w:pPr>
        <w:pStyle w:val="BodyText"/>
        <w:spacing w:after="0"/>
        <w:rPr>
          <w:rFonts w:ascii="Times New Roman"/>
          <w:sz w:val="17"/>
        </w:rPr>
        <w:sectPr>
          <w:type w:val="continuous"/>
          <w:pgSz w:w="11900" w:h="16840"/>
          <w:pgMar w:top="1940" w:bottom="280" w:left="1700" w:right="1700"/>
        </w:sectPr>
      </w:pPr>
    </w:p>
    <w:p>
      <w:pPr>
        <w:pStyle w:val="Heading1"/>
        <w:spacing w:before="80"/>
      </w:pPr>
      <w:r>
        <w:rPr/>
        <w:t>Letter</w:t>
      </w:r>
      <w:r>
        <w:rPr>
          <w:spacing w:val="-3"/>
        </w:rPr>
        <w:t> </w:t>
      </w:r>
      <w:r>
        <w:rPr/>
        <w:t>of</w:t>
      </w:r>
      <w:r>
        <w:rPr>
          <w:spacing w:val="-3"/>
        </w:rPr>
        <w:t> </w:t>
      </w:r>
      <w:r>
        <w:rPr/>
        <w:t>Advice</w:t>
      </w:r>
      <w:r>
        <w:rPr>
          <w:spacing w:val="-3"/>
        </w:rPr>
        <w:t> </w:t>
      </w:r>
      <w:r>
        <w:rPr/>
        <w:t>to</w:t>
      </w:r>
      <w:r>
        <w:rPr>
          <w:spacing w:val="-3"/>
        </w:rPr>
        <w:t> </w:t>
      </w:r>
      <w:r>
        <w:rPr/>
        <w:t>Mr.</w:t>
      </w:r>
      <w:r>
        <w:rPr>
          <w:spacing w:val="-2"/>
        </w:rPr>
        <w:t> Smith</w:t>
      </w:r>
    </w:p>
    <w:p>
      <w:pPr>
        <w:pStyle w:val="BodyText"/>
        <w:spacing w:before="5"/>
        <w:rPr>
          <w:rFonts w:ascii="Arial"/>
          <w:b/>
        </w:rPr>
      </w:pPr>
    </w:p>
    <w:p>
      <w:pPr>
        <w:pStyle w:val="BodyText"/>
        <w:ind w:left="23"/>
      </w:pPr>
      <w:r>
        <w:rPr>
          <w:spacing w:val="-4"/>
        </w:rPr>
        <w:t>Jane</w:t>
      </w:r>
    </w:p>
    <w:p>
      <w:pPr>
        <w:pStyle w:val="BodyText"/>
        <w:spacing w:line="276" w:lineRule="auto" w:before="42"/>
        <w:ind w:left="23" w:right="7286"/>
        <w:jc w:val="both"/>
      </w:pPr>
      <w:r>
        <w:rPr/>
        <w:t>66 Alexandra Road SA1</w:t>
      </w:r>
      <w:r>
        <w:rPr>
          <w:spacing w:val="-17"/>
        </w:rPr>
        <w:t> </w:t>
      </w:r>
      <w:r>
        <w:rPr/>
        <w:t>1AA,</w:t>
      </w:r>
      <w:r>
        <w:rPr>
          <w:spacing w:val="-17"/>
        </w:rPr>
        <w:t> </w:t>
      </w:r>
      <w:r>
        <w:rPr/>
        <w:t>Swansea </w:t>
      </w:r>
      <w:r>
        <w:rPr>
          <w:spacing w:val="-2"/>
        </w:rPr>
        <w:t>21/5/2025</w:t>
      </w:r>
    </w:p>
    <w:p>
      <w:pPr>
        <w:pStyle w:val="BodyText"/>
        <w:spacing w:before="240"/>
        <w:ind w:left="23"/>
      </w:pPr>
      <w:r>
        <w:rPr/>
        <w:t>Mr.</w:t>
      </w:r>
      <w:r>
        <w:rPr>
          <w:spacing w:val="-14"/>
        </w:rPr>
        <w:t> </w:t>
      </w:r>
      <w:r>
        <w:rPr>
          <w:spacing w:val="-2"/>
        </w:rPr>
        <w:t>Smith</w:t>
      </w:r>
    </w:p>
    <w:p>
      <w:pPr>
        <w:pStyle w:val="BodyText"/>
        <w:spacing w:before="5"/>
      </w:pPr>
    </w:p>
    <w:p>
      <w:pPr>
        <w:pStyle w:val="BodyText"/>
        <w:spacing w:line="276" w:lineRule="auto"/>
        <w:ind w:left="23" w:right="6440"/>
      </w:pPr>
      <w:r>
        <w:rPr/>
        <w:t>Flat</w:t>
      </w:r>
      <w:r>
        <w:rPr>
          <w:spacing w:val="-13"/>
        </w:rPr>
        <w:t> </w:t>
      </w:r>
      <w:r>
        <w:rPr/>
        <w:t>31,</w:t>
      </w:r>
      <w:r>
        <w:rPr>
          <w:spacing w:val="-13"/>
        </w:rPr>
        <w:t> </w:t>
      </w:r>
      <w:r>
        <w:rPr/>
        <w:t>Hitherwood</w:t>
      </w:r>
      <w:r>
        <w:rPr>
          <w:spacing w:val="-13"/>
        </w:rPr>
        <w:t> </w:t>
      </w:r>
      <w:r>
        <w:rPr/>
        <w:t>Court 28 Charcot Road</w:t>
      </w:r>
    </w:p>
    <w:p>
      <w:pPr>
        <w:pStyle w:val="BodyText"/>
        <w:spacing w:line="484" w:lineRule="auto"/>
        <w:ind w:left="23" w:right="7339"/>
        <w:jc w:val="both"/>
      </w:pPr>
      <w:r>
        <w:rPr/>
        <w:t>NW9</w:t>
      </w:r>
      <w:r>
        <w:rPr>
          <w:spacing w:val="-17"/>
        </w:rPr>
        <w:t> </w:t>
      </w:r>
      <w:r>
        <w:rPr/>
        <w:t>5YW,</w:t>
      </w:r>
      <w:r>
        <w:rPr>
          <w:spacing w:val="-17"/>
        </w:rPr>
        <w:t> </w:t>
      </w:r>
      <w:r>
        <w:rPr/>
        <w:t>London Dear Mr. Smith,</w:t>
      </w:r>
    </w:p>
    <w:p>
      <w:pPr>
        <w:pStyle w:val="Heading1"/>
        <w:spacing w:before="0"/>
      </w:pPr>
      <w:r>
        <w:rPr/>
        <w:t>Re:</w:t>
      </w:r>
      <w:r>
        <w:rPr>
          <w:spacing w:val="-2"/>
        </w:rPr>
        <w:t> </w:t>
      </w:r>
      <w:r>
        <w:rPr/>
        <w:t>Legally</w:t>
      </w:r>
      <w:r>
        <w:rPr>
          <w:spacing w:val="-2"/>
        </w:rPr>
        <w:t> </w:t>
      </w:r>
      <w:r>
        <w:rPr/>
        <w:t>Binding</w:t>
      </w:r>
      <w:r>
        <w:rPr>
          <w:spacing w:val="-2"/>
        </w:rPr>
        <w:t> </w:t>
      </w:r>
      <w:r>
        <w:rPr/>
        <w:t>Contract</w:t>
      </w:r>
      <w:r>
        <w:rPr>
          <w:spacing w:val="-2"/>
        </w:rPr>
        <w:t> </w:t>
      </w:r>
      <w:r>
        <w:rPr/>
        <w:t>for</w:t>
      </w:r>
      <w:r>
        <w:rPr>
          <w:spacing w:val="-2"/>
        </w:rPr>
        <w:t> </w:t>
      </w:r>
      <w:r>
        <w:rPr/>
        <w:t>the</w:t>
      </w:r>
      <w:r>
        <w:rPr>
          <w:spacing w:val="-2"/>
        </w:rPr>
        <w:t> </w:t>
      </w:r>
      <w:r>
        <w:rPr/>
        <w:t>Rental</w:t>
      </w:r>
      <w:r>
        <w:rPr>
          <w:spacing w:val="-2"/>
        </w:rPr>
        <w:t> </w:t>
      </w:r>
      <w:r>
        <w:rPr/>
        <w:t>of</w:t>
      </w:r>
      <w:r>
        <w:rPr>
          <w:spacing w:val="-2"/>
        </w:rPr>
        <w:t> </w:t>
      </w:r>
      <w:r>
        <w:rPr/>
        <w:t>Your</w:t>
      </w:r>
      <w:r>
        <w:rPr>
          <w:spacing w:val="-2"/>
        </w:rPr>
        <w:t> </w:t>
      </w:r>
      <w:r>
        <w:rPr>
          <w:spacing w:val="-4"/>
        </w:rPr>
        <w:t>Flat</w:t>
      </w:r>
    </w:p>
    <w:p>
      <w:pPr>
        <w:pStyle w:val="BodyText"/>
        <w:spacing w:before="5"/>
        <w:rPr>
          <w:rFonts w:ascii="Arial"/>
          <w:b/>
        </w:rPr>
      </w:pPr>
    </w:p>
    <w:p>
      <w:pPr>
        <w:pStyle w:val="BodyText"/>
        <w:spacing w:line="276" w:lineRule="auto"/>
        <w:ind w:left="23" w:right="24"/>
        <w:jc w:val="both"/>
      </w:pPr>
      <w:r>
        <w:rPr/>
        <w:t>I am writing to address the situation regarding the tenancy agreement for your </w:t>
      </w:r>
      <w:r>
        <w:rPr/>
        <w:t>flat,</w:t>
      </w:r>
      <w:r>
        <w:rPr>
          <w:spacing w:val="40"/>
        </w:rPr>
        <w:t> </w:t>
      </w:r>
      <w:r>
        <w:rPr/>
        <w:t>which I had agreed to rent for the upcoming academic year 2025/2026. Based on our interactions, I wish to clarify</w:t>
      </w:r>
      <w:r>
        <w:rPr>
          <w:spacing w:val="-3"/>
        </w:rPr>
        <w:t> </w:t>
      </w:r>
      <w:r>
        <w:rPr/>
        <w:t>whether</w:t>
      </w:r>
      <w:r>
        <w:rPr>
          <w:spacing w:val="-3"/>
        </w:rPr>
        <w:t> </w:t>
      </w:r>
      <w:r>
        <w:rPr/>
        <w:t>the</w:t>
      </w:r>
      <w:r>
        <w:rPr>
          <w:spacing w:val="-3"/>
        </w:rPr>
        <w:t> </w:t>
      </w:r>
      <w:r>
        <w:rPr/>
        <w:t>legally</w:t>
      </w:r>
      <w:r>
        <w:rPr>
          <w:spacing w:val="-3"/>
        </w:rPr>
        <w:t> </w:t>
      </w:r>
      <w:r>
        <w:rPr/>
        <w:t>enforceable</w:t>
      </w:r>
      <w:r>
        <w:rPr>
          <w:spacing w:val="-3"/>
        </w:rPr>
        <w:t> </w:t>
      </w:r>
      <w:r>
        <w:rPr/>
        <w:t>agreement</w:t>
      </w:r>
      <w:r>
        <w:rPr>
          <w:spacing w:val="-3"/>
        </w:rPr>
        <w:t> </w:t>
      </w:r>
      <w:r>
        <w:rPr/>
        <w:t>between</w:t>
      </w:r>
      <w:r>
        <w:rPr>
          <w:spacing w:val="-3"/>
        </w:rPr>
        <w:t> </w:t>
      </w:r>
      <w:r>
        <w:rPr/>
        <w:t>us</w:t>
      </w:r>
      <w:r>
        <w:rPr>
          <w:spacing w:val="-3"/>
        </w:rPr>
        <w:t> </w:t>
      </w:r>
      <w:r>
        <w:rPr/>
        <w:t>has been established and the potential legal implications of your decision to rent the flat to another individual.</w:t>
      </w:r>
    </w:p>
    <w:p>
      <w:pPr>
        <w:pStyle w:val="BodyText"/>
        <w:spacing w:before="84"/>
      </w:pPr>
    </w:p>
    <w:p>
      <w:pPr>
        <w:pStyle w:val="Heading1"/>
        <w:spacing w:before="0"/>
      </w:pPr>
      <w:bookmarkStart w:name="Elements of Contract Formation " w:id="1"/>
      <w:bookmarkEnd w:id="1"/>
      <w:r>
        <w:rPr>
          <w:b w:val="0"/>
        </w:rPr>
      </w:r>
      <w:r>
        <w:rPr/>
        <w:t>Elements of Contract </w:t>
      </w:r>
      <w:r>
        <w:rPr>
          <w:spacing w:val="-2"/>
        </w:rPr>
        <w:t>Formation</w:t>
      </w:r>
    </w:p>
    <w:p>
      <w:pPr>
        <w:pStyle w:val="BodyText"/>
        <w:spacing w:before="5"/>
        <w:rPr>
          <w:rFonts w:ascii="Arial"/>
          <w:b/>
        </w:rPr>
      </w:pPr>
    </w:p>
    <w:p>
      <w:pPr>
        <w:pStyle w:val="BodyText"/>
        <w:spacing w:line="276" w:lineRule="auto" w:before="1"/>
        <w:ind w:left="23" w:right="34"/>
        <w:jc w:val="both"/>
      </w:pPr>
      <w:r>
        <w:rPr/>
        <w:t>Under English contract law, a legally binding contract requires the presence of </w:t>
      </w:r>
      <w:r>
        <w:rPr/>
        <w:t>the following elements:</w:t>
      </w:r>
    </w:p>
    <w:p>
      <w:pPr>
        <w:pStyle w:val="ListParagraph"/>
        <w:numPr>
          <w:ilvl w:val="0"/>
          <w:numId w:val="1"/>
        </w:numPr>
        <w:tabs>
          <w:tab w:pos="742" w:val="left" w:leader="none"/>
        </w:tabs>
        <w:spacing w:line="240" w:lineRule="auto" w:before="240" w:after="0"/>
        <w:ind w:left="742" w:right="0" w:hanging="359"/>
        <w:jc w:val="left"/>
        <w:rPr>
          <w:sz w:val="24"/>
        </w:rPr>
      </w:pPr>
      <w:r>
        <w:rPr>
          <w:rFonts w:ascii="Arial" w:hAnsi="Arial"/>
          <w:b/>
          <w:sz w:val="24"/>
        </w:rPr>
        <w:t>Offer </w:t>
      </w:r>
      <w:r>
        <w:rPr>
          <w:sz w:val="24"/>
        </w:rPr>
        <w:t>– A clear expression of willingness to contract on specific </w:t>
      </w:r>
      <w:r>
        <w:rPr>
          <w:spacing w:val="-2"/>
          <w:sz w:val="24"/>
        </w:rPr>
        <w:t>terms.</w:t>
      </w:r>
    </w:p>
    <w:p>
      <w:pPr>
        <w:pStyle w:val="ListParagraph"/>
        <w:numPr>
          <w:ilvl w:val="0"/>
          <w:numId w:val="1"/>
        </w:numPr>
        <w:tabs>
          <w:tab w:pos="742" w:val="left" w:leader="none"/>
        </w:tabs>
        <w:spacing w:line="240" w:lineRule="auto" w:before="41" w:after="0"/>
        <w:ind w:left="742" w:right="0" w:hanging="359"/>
        <w:jc w:val="left"/>
        <w:rPr>
          <w:sz w:val="24"/>
        </w:rPr>
      </w:pPr>
      <w:r>
        <w:rPr>
          <w:rFonts w:ascii="Arial" w:hAnsi="Arial"/>
          <w:b/>
          <w:sz w:val="24"/>
        </w:rPr>
        <w:t>Acceptance</w:t>
      </w:r>
      <w:r>
        <w:rPr>
          <w:rFonts w:ascii="Arial" w:hAnsi="Arial"/>
          <w:b/>
          <w:spacing w:val="-2"/>
          <w:sz w:val="24"/>
        </w:rPr>
        <w:t> </w:t>
      </w:r>
      <w:r>
        <w:rPr>
          <w:sz w:val="24"/>
        </w:rPr>
        <w:t>– Unqualified agreement to the terms of the </w:t>
      </w:r>
      <w:r>
        <w:rPr>
          <w:spacing w:val="-2"/>
          <w:sz w:val="24"/>
        </w:rPr>
        <w:t>offer.</w:t>
      </w:r>
    </w:p>
    <w:p>
      <w:pPr>
        <w:pStyle w:val="ListParagraph"/>
        <w:numPr>
          <w:ilvl w:val="0"/>
          <w:numId w:val="1"/>
        </w:numPr>
        <w:tabs>
          <w:tab w:pos="742" w:val="left" w:leader="none"/>
        </w:tabs>
        <w:spacing w:line="240" w:lineRule="auto" w:before="41" w:after="0"/>
        <w:ind w:left="742" w:right="0" w:hanging="359"/>
        <w:jc w:val="left"/>
        <w:rPr>
          <w:sz w:val="24"/>
        </w:rPr>
      </w:pPr>
      <w:r>
        <w:rPr>
          <w:rFonts w:ascii="Arial" w:hAnsi="Arial"/>
          <w:b/>
          <w:sz w:val="24"/>
        </w:rPr>
        <w:t>Consideration </w:t>
      </w:r>
      <w:r>
        <w:rPr>
          <w:sz w:val="24"/>
        </w:rPr>
        <w:t>– Something of value exchanged between the </w:t>
      </w:r>
      <w:r>
        <w:rPr>
          <w:spacing w:val="-2"/>
          <w:sz w:val="24"/>
        </w:rPr>
        <w:t>parties.</w:t>
      </w:r>
    </w:p>
    <w:p>
      <w:pPr>
        <w:pStyle w:val="ListParagraph"/>
        <w:numPr>
          <w:ilvl w:val="0"/>
          <w:numId w:val="1"/>
        </w:numPr>
        <w:tabs>
          <w:tab w:pos="743" w:val="left" w:leader="none"/>
        </w:tabs>
        <w:spacing w:line="276" w:lineRule="auto" w:before="42" w:after="0"/>
        <w:ind w:left="743" w:right="27" w:hanging="360"/>
        <w:jc w:val="left"/>
        <w:rPr>
          <w:sz w:val="24"/>
        </w:rPr>
      </w:pPr>
      <w:r>
        <w:rPr>
          <w:rFonts w:ascii="Arial" w:hAnsi="Arial"/>
          <w:b/>
          <w:sz w:val="24"/>
        </w:rPr>
        <w:t>Intention to Create Legal Relations </w:t>
      </w:r>
      <w:r>
        <w:rPr>
          <w:sz w:val="24"/>
        </w:rPr>
        <w:t>– An intention by both parties</w:t>
      </w:r>
      <w:r>
        <w:rPr>
          <w:spacing w:val="-3"/>
          <w:sz w:val="24"/>
        </w:rPr>
        <w:t> </w:t>
      </w:r>
      <w:r>
        <w:rPr>
          <w:sz w:val="24"/>
        </w:rPr>
        <w:t>to</w:t>
      </w:r>
      <w:r>
        <w:rPr>
          <w:spacing w:val="-3"/>
          <w:sz w:val="24"/>
        </w:rPr>
        <w:t> </w:t>
      </w:r>
      <w:r>
        <w:rPr>
          <w:sz w:val="24"/>
        </w:rPr>
        <w:t>be</w:t>
      </w:r>
      <w:r>
        <w:rPr>
          <w:spacing w:val="-3"/>
          <w:sz w:val="24"/>
        </w:rPr>
        <w:t> </w:t>
      </w:r>
      <w:r>
        <w:rPr>
          <w:sz w:val="24"/>
        </w:rPr>
        <w:t>legally </w:t>
      </w:r>
      <w:r>
        <w:rPr>
          <w:spacing w:val="-2"/>
          <w:sz w:val="24"/>
        </w:rPr>
        <w:t>bound.</w:t>
      </w:r>
    </w:p>
    <w:p>
      <w:pPr>
        <w:pStyle w:val="ListParagraph"/>
        <w:numPr>
          <w:ilvl w:val="0"/>
          <w:numId w:val="1"/>
        </w:numPr>
        <w:tabs>
          <w:tab w:pos="742" w:val="left" w:leader="none"/>
        </w:tabs>
        <w:spacing w:line="240" w:lineRule="auto" w:before="0" w:after="0"/>
        <w:ind w:left="742" w:right="0" w:hanging="359"/>
        <w:jc w:val="left"/>
        <w:rPr>
          <w:sz w:val="24"/>
        </w:rPr>
      </w:pPr>
      <w:r>
        <w:rPr>
          <w:rFonts w:ascii="Arial" w:hAnsi="Arial"/>
          <w:b/>
          <w:sz w:val="24"/>
        </w:rPr>
        <w:t>Capacity to Contract </w:t>
      </w:r>
      <w:r>
        <w:rPr>
          <w:sz w:val="24"/>
        </w:rPr>
        <w:t>– The legal ability of both parties to enter into a </w:t>
      </w:r>
      <w:r>
        <w:rPr>
          <w:spacing w:val="-2"/>
          <w:sz w:val="24"/>
        </w:rPr>
        <w:t>contract.</w:t>
      </w:r>
    </w:p>
    <w:p>
      <w:pPr>
        <w:pStyle w:val="BodyText"/>
        <w:spacing w:before="5"/>
      </w:pPr>
    </w:p>
    <w:p>
      <w:pPr>
        <w:pStyle w:val="BodyText"/>
        <w:spacing w:line="276" w:lineRule="auto"/>
        <w:ind w:left="23" w:right="23"/>
        <w:jc w:val="both"/>
      </w:pPr>
      <w:r>
        <w:rPr/>
        <w:t>The validity of a contract depends on all three elements that can be interpreted </w:t>
      </w:r>
      <w:r>
        <w:rPr/>
        <w:t>in various ways. This section explains each element with specific details about their application in our situation.</w:t>
      </w:r>
    </w:p>
    <w:p>
      <w:pPr>
        <w:pStyle w:val="BodyText"/>
        <w:spacing w:after="0" w:line="276" w:lineRule="auto"/>
        <w:jc w:val="both"/>
        <w:sectPr>
          <w:pgSz w:w="12240" w:h="15840"/>
          <w:pgMar w:top="1600" w:bottom="280" w:left="1417" w:right="1417"/>
        </w:sectPr>
      </w:pPr>
    </w:p>
    <w:p>
      <w:pPr>
        <w:pStyle w:val="Heading1"/>
        <w:numPr>
          <w:ilvl w:val="0"/>
          <w:numId w:val="2"/>
        </w:numPr>
        <w:tabs>
          <w:tab w:pos="289" w:val="left" w:leader="none"/>
        </w:tabs>
        <w:spacing w:line="240" w:lineRule="auto" w:before="80" w:after="0"/>
        <w:ind w:left="289" w:right="0" w:hanging="266"/>
        <w:jc w:val="left"/>
      </w:pPr>
      <w:bookmarkStart w:name="1. Offer " w:id="2"/>
      <w:bookmarkEnd w:id="2"/>
      <w:r>
        <w:rPr>
          <w:b w:val="0"/>
        </w:rPr>
      </w:r>
      <w:r>
        <w:rPr>
          <w:spacing w:val="-2"/>
        </w:rPr>
        <w:t>Offer</w:t>
      </w:r>
    </w:p>
    <w:p>
      <w:pPr>
        <w:pStyle w:val="BodyText"/>
        <w:spacing w:before="5"/>
        <w:rPr>
          <w:rFonts w:ascii="Arial"/>
          <w:b/>
        </w:rPr>
      </w:pPr>
    </w:p>
    <w:p>
      <w:pPr>
        <w:pStyle w:val="BodyText"/>
        <w:spacing w:line="276" w:lineRule="auto"/>
        <w:ind w:left="23" w:right="23"/>
        <w:jc w:val="both"/>
      </w:pPr>
      <w:r>
        <w:rPr/>
        <w:t>An offer stands as a certain promise between an</w:t>
      </w:r>
      <w:r>
        <w:rPr>
          <w:spacing w:val="-3"/>
        </w:rPr>
        <w:t> </w:t>
      </w:r>
      <w:r>
        <w:rPr/>
        <w:t>offeror</w:t>
      </w:r>
      <w:r>
        <w:rPr>
          <w:spacing w:val="-3"/>
        </w:rPr>
        <w:t> </w:t>
      </w:r>
      <w:r>
        <w:rPr/>
        <w:t>who</w:t>
      </w:r>
      <w:r>
        <w:rPr>
          <w:spacing w:val="-3"/>
        </w:rPr>
        <w:t> </w:t>
      </w:r>
      <w:r>
        <w:rPr/>
        <w:t>directs</w:t>
      </w:r>
      <w:r>
        <w:rPr>
          <w:spacing w:val="-3"/>
        </w:rPr>
        <w:t> </w:t>
      </w:r>
      <w:r>
        <w:rPr/>
        <w:t>their</w:t>
      </w:r>
      <w:r>
        <w:rPr>
          <w:spacing w:val="-3"/>
        </w:rPr>
        <w:t> </w:t>
      </w:r>
      <w:r>
        <w:rPr/>
        <w:t>promise</w:t>
      </w:r>
      <w:r>
        <w:rPr>
          <w:spacing w:val="-3"/>
        </w:rPr>
        <w:t> </w:t>
      </w:r>
      <w:r>
        <w:rPr/>
        <w:t>to</w:t>
      </w:r>
      <w:r>
        <w:rPr>
          <w:spacing w:val="-3"/>
        </w:rPr>
        <w:t> </w:t>
      </w:r>
      <w:r>
        <w:rPr/>
        <w:t>an offeree for</w:t>
      </w:r>
      <w:r>
        <w:rPr>
          <w:spacing w:val="-3"/>
        </w:rPr>
        <w:t> </w:t>
      </w:r>
      <w:r>
        <w:rPr/>
        <w:t>the</w:t>
      </w:r>
      <w:r>
        <w:rPr>
          <w:spacing w:val="-3"/>
        </w:rPr>
        <w:t> </w:t>
      </w:r>
      <w:r>
        <w:rPr/>
        <w:t>promise</w:t>
      </w:r>
      <w:r>
        <w:rPr>
          <w:spacing w:val="-3"/>
        </w:rPr>
        <w:t> </w:t>
      </w:r>
      <w:r>
        <w:rPr/>
        <w:t>to</w:t>
      </w:r>
      <w:r>
        <w:rPr>
          <w:spacing w:val="-3"/>
        </w:rPr>
        <w:t> </w:t>
      </w:r>
      <w:r>
        <w:rPr/>
        <w:t>create</w:t>
      </w:r>
      <w:r>
        <w:rPr>
          <w:spacing w:val="-3"/>
        </w:rPr>
        <w:t> </w:t>
      </w:r>
      <w:r>
        <w:rPr/>
        <w:t>binding</w:t>
      </w:r>
      <w:r>
        <w:rPr>
          <w:spacing w:val="-3"/>
        </w:rPr>
        <w:t> </w:t>
      </w:r>
      <w:r>
        <w:rPr/>
        <w:t>legal</w:t>
      </w:r>
      <w:r>
        <w:rPr>
          <w:spacing w:val="-3"/>
        </w:rPr>
        <w:t> </w:t>
      </w:r>
      <w:r>
        <w:rPr/>
        <w:t>obligations</w:t>
      </w:r>
      <w:r>
        <w:rPr>
          <w:spacing w:val="-3"/>
        </w:rPr>
        <w:t> </w:t>
      </w:r>
      <w:r>
        <w:rPr/>
        <w:t>upon</w:t>
      </w:r>
      <w:r>
        <w:rPr>
          <w:spacing w:val="-3"/>
        </w:rPr>
        <w:t> </w:t>
      </w:r>
      <w:r>
        <w:rPr/>
        <w:t>acceptance.</w:t>
      </w:r>
      <w:r>
        <w:rPr>
          <w:spacing w:val="-3"/>
        </w:rPr>
        <w:t> </w:t>
      </w:r>
      <w:r>
        <w:rPr/>
        <w:t>A</w:t>
      </w:r>
      <w:r>
        <w:rPr>
          <w:spacing w:val="-3"/>
        </w:rPr>
        <w:t> </w:t>
      </w:r>
      <w:r>
        <w:rPr/>
        <w:t>valid</w:t>
      </w:r>
      <w:r>
        <w:rPr>
          <w:spacing w:val="-3"/>
        </w:rPr>
        <w:t> </w:t>
      </w:r>
      <w:r>
        <w:rPr/>
        <w:t>offer needs</w:t>
      </w:r>
      <w:r>
        <w:rPr>
          <w:spacing w:val="27"/>
        </w:rPr>
        <w:t> </w:t>
      </w:r>
      <w:r>
        <w:rPr/>
        <w:t>to</w:t>
      </w:r>
      <w:r>
        <w:rPr>
          <w:spacing w:val="27"/>
        </w:rPr>
        <w:t> </w:t>
      </w:r>
      <w:r>
        <w:rPr/>
        <w:t>contain</w:t>
      </w:r>
      <w:r>
        <w:rPr>
          <w:spacing w:val="27"/>
        </w:rPr>
        <w:t> </w:t>
      </w:r>
      <w:r>
        <w:rPr/>
        <w:t>clear statements that a recipient offeree can understand and delivers to the intended person. A legal binding</w:t>
      </w:r>
      <w:r>
        <w:rPr>
          <w:spacing w:val="-3"/>
        </w:rPr>
        <w:t> </w:t>
      </w:r>
      <w:r>
        <w:rPr/>
        <w:t>promise</w:t>
      </w:r>
      <w:r>
        <w:rPr>
          <w:spacing w:val="-3"/>
        </w:rPr>
        <w:t> </w:t>
      </w:r>
      <w:r>
        <w:rPr/>
        <w:t>through</w:t>
      </w:r>
      <w:r>
        <w:rPr>
          <w:spacing w:val="-3"/>
        </w:rPr>
        <w:t> </w:t>
      </w:r>
      <w:r>
        <w:rPr/>
        <w:t>an</w:t>
      </w:r>
      <w:r>
        <w:rPr>
          <w:spacing w:val="-3"/>
        </w:rPr>
        <w:t> </w:t>
      </w:r>
      <w:r>
        <w:rPr/>
        <w:t>offer</w:t>
      </w:r>
      <w:r>
        <w:rPr>
          <w:spacing w:val="-3"/>
        </w:rPr>
        <w:t> </w:t>
      </w:r>
      <w:r>
        <w:rPr/>
        <w:t>offers</w:t>
      </w:r>
      <w:r>
        <w:rPr>
          <w:spacing w:val="-3"/>
        </w:rPr>
        <w:t> </w:t>
      </w:r>
      <w:r>
        <w:rPr/>
        <w:t>clear</w:t>
      </w:r>
      <w:r>
        <w:rPr>
          <w:spacing w:val="-3"/>
        </w:rPr>
        <w:t> </w:t>
      </w:r>
      <w:r>
        <w:rPr/>
        <w:t>differences from an invitation to treat serving only as a starting point for discussions between parties. The significance of this distinction was emphasized in </w:t>
      </w:r>
      <w:r>
        <w:rPr>
          <w:rFonts w:ascii="Arial"/>
          <w:b/>
        </w:rPr>
        <w:t>Partridge v Crittenden [1968] 1 WLR 1204</w:t>
      </w:r>
      <w:r>
        <w:rPr/>
        <w:t>, where it was held that advertisements for the sale of goods are generally considered invitations to treat rather than offers unless the wording suggests </w:t>
      </w:r>
      <w:r>
        <w:rPr>
          <w:spacing w:val="-2"/>
        </w:rPr>
        <w:t>otherwise.</w:t>
      </w:r>
    </w:p>
    <w:p>
      <w:pPr>
        <w:pStyle w:val="BodyText"/>
        <w:spacing w:line="276" w:lineRule="auto" w:before="240"/>
        <w:ind w:left="23" w:right="21"/>
        <w:jc w:val="both"/>
      </w:pPr>
      <w:r>
        <w:rPr/>
        <w:t>In our case, you verbally offered to rent the flat to me for</w:t>
      </w:r>
      <w:r>
        <w:rPr>
          <w:spacing w:val="-2"/>
        </w:rPr>
        <w:t> </w:t>
      </w:r>
      <w:r>
        <w:rPr/>
        <w:t>£500</w:t>
      </w:r>
      <w:r>
        <w:rPr>
          <w:spacing w:val="-2"/>
        </w:rPr>
        <w:t> </w:t>
      </w:r>
      <w:r>
        <w:rPr/>
        <w:t>per</w:t>
      </w:r>
      <w:r>
        <w:rPr>
          <w:spacing w:val="-2"/>
        </w:rPr>
        <w:t> </w:t>
      </w:r>
      <w:r>
        <w:rPr/>
        <w:t>month,</w:t>
      </w:r>
      <w:r>
        <w:rPr>
          <w:spacing w:val="-2"/>
        </w:rPr>
        <w:t> </w:t>
      </w:r>
      <w:r>
        <w:rPr/>
        <w:t>starting</w:t>
      </w:r>
      <w:r>
        <w:rPr>
          <w:spacing w:val="-2"/>
        </w:rPr>
        <w:t> </w:t>
      </w:r>
      <w:r>
        <w:rPr/>
        <w:t>from September 1, 2025. This was a clear and specific promise regarding the property, rent amount, and start date. Unlike an invitation to treat, this statement was made with the intention of securing a tenant, meaning it was a valid offer rather than an invitation to negotiate further terms.</w:t>
      </w:r>
    </w:p>
    <w:p>
      <w:pPr>
        <w:pStyle w:val="BodyText"/>
        <w:spacing w:line="276" w:lineRule="auto" w:before="240"/>
        <w:ind w:left="23" w:right="25"/>
        <w:jc w:val="both"/>
      </w:pPr>
      <w:r>
        <w:rPr/>
        <w:t>Additionally, the offer was later </w:t>
      </w:r>
      <w:r>
        <w:rPr>
          <w:rFonts w:ascii="Arial"/>
          <w:b/>
        </w:rPr>
        <w:t>confirmed in writing</w:t>
      </w:r>
      <w:r>
        <w:rPr/>
        <w:t>, strengthening its legal </w:t>
      </w:r>
      <w:r>
        <w:rPr/>
        <w:t>standing. In your email, you explicitly stated:</w:t>
      </w:r>
    </w:p>
    <w:p>
      <w:pPr>
        <w:spacing w:line="276" w:lineRule="auto" w:before="240"/>
        <w:ind w:left="23" w:right="31" w:firstLine="0"/>
        <w:jc w:val="both"/>
        <w:rPr>
          <w:rFonts w:ascii="Arial" w:hAnsi="Arial"/>
          <w:i/>
          <w:sz w:val="24"/>
        </w:rPr>
      </w:pPr>
      <w:r>
        <w:rPr>
          <w:rFonts w:ascii="Arial" w:hAnsi="Arial"/>
          <w:i/>
          <w:sz w:val="24"/>
        </w:rPr>
        <w:t>"Sure, the rent is £500 per month, and you can move in</w:t>
      </w:r>
      <w:r>
        <w:rPr>
          <w:rFonts w:ascii="Arial" w:hAnsi="Arial"/>
          <w:i/>
          <w:spacing w:val="-3"/>
          <w:sz w:val="24"/>
        </w:rPr>
        <w:t> </w:t>
      </w:r>
      <w:r>
        <w:rPr>
          <w:rFonts w:ascii="Arial" w:hAnsi="Arial"/>
          <w:i/>
          <w:sz w:val="24"/>
        </w:rPr>
        <w:t>on</w:t>
      </w:r>
      <w:r>
        <w:rPr>
          <w:rFonts w:ascii="Arial" w:hAnsi="Arial"/>
          <w:i/>
          <w:spacing w:val="-3"/>
          <w:sz w:val="24"/>
        </w:rPr>
        <w:t> </w:t>
      </w:r>
      <w:r>
        <w:rPr>
          <w:rFonts w:ascii="Arial" w:hAnsi="Arial"/>
          <w:i/>
          <w:sz w:val="24"/>
        </w:rPr>
        <w:t>September</w:t>
      </w:r>
      <w:r>
        <w:rPr>
          <w:rFonts w:ascii="Arial" w:hAnsi="Arial"/>
          <w:i/>
          <w:spacing w:val="-3"/>
          <w:sz w:val="24"/>
        </w:rPr>
        <w:t> </w:t>
      </w:r>
      <w:r>
        <w:rPr>
          <w:rFonts w:ascii="Arial" w:hAnsi="Arial"/>
          <w:i/>
          <w:sz w:val="24"/>
        </w:rPr>
        <w:t>1,</w:t>
      </w:r>
      <w:r>
        <w:rPr>
          <w:rFonts w:ascii="Arial" w:hAnsi="Arial"/>
          <w:i/>
          <w:spacing w:val="-3"/>
          <w:sz w:val="24"/>
        </w:rPr>
        <w:t> </w:t>
      </w:r>
      <w:r>
        <w:rPr>
          <w:rFonts w:ascii="Arial" w:hAnsi="Arial"/>
          <w:i/>
          <w:sz w:val="24"/>
        </w:rPr>
        <w:t>2025.</w:t>
      </w:r>
      <w:r>
        <w:rPr>
          <w:rFonts w:ascii="Arial" w:hAnsi="Arial"/>
          <w:i/>
          <w:spacing w:val="-3"/>
          <w:sz w:val="24"/>
        </w:rPr>
        <w:t> </w:t>
      </w:r>
      <w:r>
        <w:rPr>
          <w:rFonts w:ascii="Arial" w:hAnsi="Arial"/>
          <w:i/>
          <w:sz w:val="24"/>
        </w:rPr>
        <w:t>Please confirm if you agree."</w:t>
      </w:r>
    </w:p>
    <w:p>
      <w:pPr>
        <w:spacing w:before="240"/>
        <w:ind w:left="23" w:right="0" w:firstLine="0"/>
        <w:jc w:val="both"/>
        <w:rPr>
          <w:sz w:val="24"/>
        </w:rPr>
      </w:pPr>
      <w:r>
        <w:rPr>
          <w:sz w:val="24"/>
        </w:rPr>
        <w:t>This written confirmation meets the criteria for a </w:t>
      </w:r>
      <w:r>
        <w:rPr>
          <w:rFonts w:ascii="Arial"/>
          <w:b/>
          <w:sz w:val="24"/>
        </w:rPr>
        <w:t>valid contractual offer </w:t>
      </w:r>
      <w:r>
        <w:rPr>
          <w:spacing w:val="-2"/>
          <w:sz w:val="24"/>
        </w:rPr>
        <w:t>because:</w:t>
      </w:r>
    </w:p>
    <w:p>
      <w:pPr>
        <w:pStyle w:val="BodyText"/>
        <w:spacing w:before="5"/>
      </w:pPr>
    </w:p>
    <w:p>
      <w:pPr>
        <w:pStyle w:val="ListParagraph"/>
        <w:numPr>
          <w:ilvl w:val="1"/>
          <w:numId w:val="2"/>
        </w:numPr>
        <w:tabs>
          <w:tab w:pos="743" w:val="left" w:leader="none"/>
        </w:tabs>
        <w:spacing w:line="276" w:lineRule="auto" w:before="1" w:after="0"/>
        <w:ind w:left="743" w:right="22" w:hanging="360"/>
        <w:jc w:val="left"/>
        <w:rPr>
          <w:sz w:val="24"/>
        </w:rPr>
      </w:pPr>
      <w:r>
        <w:rPr>
          <w:sz w:val="24"/>
        </w:rPr>
        <w:t>It</w:t>
      </w:r>
      <w:r>
        <w:rPr>
          <w:spacing w:val="40"/>
          <w:sz w:val="24"/>
        </w:rPr>
        <w:t> </w:t>
      </w:r>
      <w:r>
        <w:rPr>
          <w:sz w:val="24"/>
        </w:rPr>
        <w:t>specifies</w:t>
      </w:r>
      <w:r>
        <w:rPr>
          <w:spacing w:val="40"/>
          <w:sz w:val="24"/>
        </w:rPr>
        <w:t> </w:t>
      </w:r>
      <w:r>
        <w:rPr>
          <w:rFonts w:ascii="Arial"/>
          <w:b/>
          <w:sz w:val="24"/>
        </w:rPr>
        <w:t>essential</w:t>
      </w:r>
      <w:r>
        <w:rPr>
          <w:rFonts w:ascii="Arial"/>
          <w:b/>
          <w:spacing w:val="40"/>
          <w:sz w:val="24"/>
        </w:rPr>
        <w:t> </w:t>
      </w:r>
      <w:r>
        <w:rPr>
          <w:rFonts w:ascii="Arial"/>
          <w:b/>
          <w:sz w:val="24"/>
        </w:rPr>
        <w:t>contractual</w:t>
      </w:r>
      <w:r>
        <w:rPr>
          <w:rFonts w:ascii="Arial"/>
          <w:b/>
          <w:spacing w:val="40"/>
          <w:sz w:val="24"/>
        </w:rPr>
        <w:t> </w:t>
      </w:r>
      <w:r>
        <w:rPr>
          <w:rFonts w:ascii="Arial"/>
          <w:b/>
          <w:sz w:val="24"/>
        </w:rPr>
        <w:t>terms</w:t>
      </w:r>
      <w:r>
        <w:rPr>
          <w:rFonts w:ascii="Arial"/>
          <w:b/>
          <w:spacing w:val="40"/>
          <w:sz w:val="24"/>
        </w:rPr>
        <w:t> </w:t>
      </w:r>
      <w:r>
        <w:rPr>
          <w:sz w:val="24"/>
        </w:rPr>
        <w:t>(property</w:t>
      </w:r>
      <w:r>
        <w:rPr>
          <w:spacing w:val="40"/>
          <w:sz w:val="24"/>
        </w:rPr>
        <w:t> </w:t>
      </w:r>
      <w:r>
        <w:rPr>
          <w:sz w:val="24"/>
        </w:rPr>
        <w:t>location,</w:t>
      </w:r>
      <w:r>
        <w:rPr>
          <w:spacing w:val="40"/>
          <w:sz w:val="24"/>
        </w:rPr>
        <w:t> </w:t>
      </w:r>
      <w:r>
        <w:rPr>
          <w:sz w:val="24"/>
        </w:rPr>
        <w:t>rental</w:t>
      </w:r>
      <w:r>
        <w:rPr>
          <w:spacing w:val="40"/>
          <w:sz w:val="24"/>
        </w:rPr>
        <w:t> </w:t>
      </w:r>
      <w:r>
        <w:rPr>
          <w:sz w:val="24"/>
        </w:rPr>
        <w:t>price,</w:t>
      </w:r>
      <w:r>
        <w:rPr>
          <w:spacing w:val="40"/>
          <w:sz w:val="24"/>
        </w:rPr>
        <w:t> </w:t>
      </w:r>
      <w:r>
        <w:rPr>
          <w:sz w:val="24"/>
        </w:rPr>
        <w:t>and move-in date).</w:t>
      </w:r>
    </w:p>
    <w:p>
      <w:pPr>
        <w:pStyle w:val="ListParagraph"/>
        <w:numPr>
          <w:ilvl w:val="1"/>
          <w:numId w:val="2"/>
        </w:numPr>
        <w:tabs>
          <w:tab w:pos="742" w:val="left" w:leader="none"/>
        </w:tabs>
        <w:spacing w:line="240" w:lineRule="auto" w:before="0" w:after="0"/>
        <w:ind w:left="742" w:right="0" w:hanging="359"/>
        <w:jc w:val="left"/>
        <w:rPr>
          <w:sz w:val="24"/>
        </w:rPr>
      </w:pPr>
      <w:r>
        <w:rPr>
          <w:sz w:val="24"/>
        </w:rPr>
        <w:t>It </w:t>
      </w:r>
      <w:r>
        <w:rPr>
          <w:rFonts w:ascii="Arial"/>
          <w:b/>
          <w:sz w:val="24"/>
        </w:rPr>
        <w:t>demonstrates an intention to be bound </w:t>
      </w:r>
      <w:r>
        <w:rPr>
          <w:sz w:val="24"/>
        </w:rPr>
        <w:t>by the agreement if I </w:t>
      </w:r>
      <w:r>
        <w:rPr>
          <w:spacing w:val="-2"/>
          <w:sz w:val="24"/>
        </w:rPr>
        <w:t>accepted.</w:t>
      </w:r>
    </w:p>
    <w:p>
      <w:pPr>
        <w:pStyle w:val="ListParagraph"/>
        <w:numPr>
          <w:ilvl w:val="1"/>
          <w:numId w:val="2"/>
        </w:numPr>
        <w:tabs>
          <w:tab w:pos="743" w:val="left" w:leader="none"/>
        </w:tabs>
        <w:spacing w:line="276" w:lineRule="auto" w:before="41" w:after="0"/>
        <w:ind w:left="743" w:right="29" w:hanging="360"/>
        <w:jc w:val="left"/>
        <w:rPr>
          <w:sz w:val="24"/>
        </w:rPr>
      </w:pPr>
      <w:r>
        <w:rPr>
          <w:sz w:val="24"/>
        </w:rPr>
        <w:t>It</w:t>
      </w:r>
      <w:r>
        <w:rPr>
          <w:spacing w:val="40"/>
          <w:sz w:val="24"/>
        </w:rPr>
        <w:t> </w:t>
      </w:r>
      <w:r>
        <w:rPr>
          <w:sz w:val="24"/>
        </w:rPr>
        <w:t>was</w:t>
      </w:r>
      <w:r>
        <w:rPr>
          <w:spacing w:val="40"/>
          <w:sz w:val="24"/>
        </w:rPr>
        <w:t> </w:t>
      </w:r>
      <w:r>
        <w:rPr>
          <w:sz w:val="24"/>
        </w:rPr>
        <w:t>communicated</w:t>
      </w:r>
      <w:r>
        <w:rPr>
          <w:spacing w:val="40"/>
          <w:sz w:val="24"/>
        </w:rPr>
        <w:t> </w:t>
      </w:r>
      <w:r>
        <w:rPr>
          <w:sz w:val="24"/>
        </w:rPr>
        <w:t>directly</w:t>
      </w:r>
      <w:r>
        <w:rPr>
          <w:spacing w:val="40"/>
          <w:sz w:val="24"/>
        </w:rPr>
        <w:t> </w:t>
      </w:r>
      <w:r>
        <w:rPr>
          <w:sz w:val="24"/>
        </w:rPr>
        <w:t>to</w:t>
      </w:r>
      <w:r>
        <w:rPr>
          <w:spacing w:val="40"/>
          <w:sz w:val="24"/>
        </w:rPr>
        <w:t> </w:t>
      </w:r>
      <w:r>
        <w:rPr>
          <w:sz w:val="24"/>
        </w:rPr>
        <w:t>me,</w:t>
      </w:r>
      <w:r>
        <w:rPr>
          <w:spacing w:val="40"/>
          <w:sz w:val="24"/>
        </w:rPr>
        <w:t> </w:t>
      </w:r>
      <w:r>
        <w:rPr>
          <w:sz w:val="24"/>
        </w:rPr>
        <w:t>the</w:t>
      </w:r>
      <w:r>
        <w:rPr>
          <w:spacing w:val="40"/>
          <w:sz w:val="24"/>
        </w:rPr>
        <w:t> </w:t>
      </w:r>
      <w:r>
        <w:rPr>
          <w:sz w:val="24"/>
        </w:rPr>
        <w:t>offeree,</w:t>
      </w:r>
      <w:r>
        <w:rPr>
          <w:spacing w:val="40"/>
          <w:sz w:val="24"/>
        </w:rPr>
        <w:t> </w:t>
      </w:r>
      <w:r>
        <w:rPr>
          <w:sz w:val="24"/>
        </w:rPr>
        <w:t>creating</w:t>
      </w:r>
      <w:r>
        <w:rPr>
          <w:spacing w:val="40"/>
          <w:sz w:val="24"/>
        </w:rPr>
        <w:t> </w:t>
      </w:r>
      <w:r>
        <w:rPr>
          <w:sz w:val="24"/>
        </w:rPr>
        <w:t>the</w:t>
      </w:r>
      <w:r>
        <w:rPr>
          <w:spacing w:val="40"/>
          <w:sz w:val="24"/>
        </w:rPr>
        <w:t> </w:t>
      </w:r>
      <w:r>
        <w:rPr>
          <w:sz w:val="24"/>
        </w:rPr>
        <w:t>possibility</w:t>
      </w:r>
      <w:r>
        <w:rPr>
          <w:spacing w:val="40"/>
          <w:sz w:val="24"/>
        </w:rPr>
        <w:t> </w:t>
      </w:r>
      <w:r>
        <w:rPr>
          <w:sz w:val="24"/>
        </w:rPr>
        <w:t>of</w:t>
      </w:r>
      <w:r>
        <w:rPr>
          <w:spacing w:val="40"/>
          <w:sz w:val="24"/>
        </w:rPr>
        <w:t> </w:t>
      </w:r>
      <w:r>
        <w:rPr>
          <w:sz w:val="24"/>
        </w:rPr>
        <w:t>a legally enforceable agreement.</w:t>
      </w:r>
    </w:p>
    <w:p>
      <w:pPr>
        <w:pStyle w:val="BodyText"/>
        <w:spacing w:line="276" w:lineRule="auto" w:before="240"/>
        <w:ind w:left="23" w:right="24"/>
        <w:jc w:val="both"/>
      </w:pPr>
      <w:r>
        <w:rPr/>
        <w:t>The enforceability of conditional acceptance through offers depends heavily on the decision made by</w:t>
      </w:r>
      <w:r>
        <w:rPr>
          <w:spacing w:val="-3"/>
        </w:rPr>
        <w:t> </w:t>
      </w:r>
      <w:r>
        <w:rPr/>
        <w:t>the</w:t>
      </w:r>
      <w:r>
        <w:rPr>
          <w:spacing w:val="-3"/>
        </w:rPr>
        <w:t> </w:t>
      </w:r>
      <w:r>
        <w:rPr/>
        <w:t>courts</w:t>
      </w:r>
      <w:r>
        <w:rPr>
          <w:spacing w:val="-3"/>
        </w:rPr>
        <w:t> </w:t>
      </w:r>
      <w:r>
        <w:rPr/>
        <w:t>in</w:t>
      </w:r>
      <w:r>
        <w:rPr>
          <w:spacing w:val="-3"/>
        </w:rPr>
        <w:t> </w:t>
      </w:r>
      <w:r>
        <w:rPr>
          <w:rFonts w:ascii="Arial"/>
          <w:b/>
        </w:rPr>
        <w:t>Storer</w:t>
      </w:r>
      <w:r>
        <w:rPr>
          <w:rFonts w:ascii="Arial"/>
          <w:b/>
          <w:spacing w:val="-3"/>
        </w:rPr>
        <w:t> </w:t>
      </w:r>
      <w:r>
        <w:rPr>
          <w:rFonts w:ascii="Arial"/>
          <w:b/>
        </w:rPr>
        <w:t>v</w:t>
      </w:r>
      <w:r>
        <w:rPr>
          <w:rFonts w:ascii="Arial"/>
          <w:b/>
          <w:spacing w:val="-3"/>
        </w:rPr>
        <w:t> </w:t>
      </w:r>
      <w:r>
        <w:rPr>
          <w:rFonts w:ascii="Arial"/>
          <w:b/>
        </w:rPr>
        <w:t>Manchester</w:t>
      </w:r>
      <w:r>
        <w:rPr>
          <w:rFonts w:ascii="Arial"/>
          <w:b/>
          <w:spacing w:val="-3"/>
        </w:rPr>
        <w:t> </w:t>
      </w:r>
      <w:r>
        <w:rPr>
          <w:rFonts w:ascii="Arial"/>
          <w:b/>
        </w:rPr>
        <w:t>City</w:t>
      </w:r>
      <w:r>
        <w:rPr>
          <w:rFonts w:ascii="Arial"/>
          <w:b/>
          <w:spacing w:val="-3"/>
        </w:rPr>
        <w:t> </w:t>
      </w:r>
      <w:r>
        <w:rPr>
          <w:rFonts w:ascii="Arial"/>
          <w:b/>
        </w:rPr>
        <w:t>Council</w:t>
      </w:r>
      <w:r>
        <w:rPr>
          <w:rFonts w:ascii="Arial"/>
          <w:b/>
          <w:spacing w:val="-3"/>
        </w:rPr>
        <w:t> </w:t>
      </w:r>
      <w:r>
        <w:rPr>
          <w:rFonts w:ascii="Arial"/>
          <w:b/>
        </w:rPr>
        <w:t>[1974]</w:t>
      </w:r>
      <w:r>
        <w:rPr>
          <w:rFonts w:ascii="Arial"/>
          <w:b/>
          <w:spacing w:val="-3"/>
        </w:rPr>
        <w:t> </w:t>
      </w:r>
      <w:r>
        <w:rPr>
          <w:rFonts w:ascii="Arial"/>
          <w:b/>
        </w:rPr>
        <w:t>1</w:t>
      </w:r>
      <w:r>
        <w:rPr>
          <w:rFonts w:ascii="Arial"/>
          <w:b/>
          <w:spacing w:val="-3"/>
        </w:rPr>
        <w:t> </w:t>
      </w:r>
      <w:r>
        <w:rPr>
          <w:rFonts w:ascii="Arial"/>
          <w:b/>
        </w:rPr>
        <w:t>WLR</w:t>
      </w:r>
      <w:r>
        <w:rPr>
          <w:rFonts w:ascii="Arial"/>
          <w:b/>
          <w:spacing w:val="-3"/>
        </w:rPr>
        <w:t> </w:t>
      </w:r>
      <w:r>
        <w:rPr>
          <w:rFonts w:ascii="Arial"/>
          <w:b/>
        </w:rPr>
        <w:t>1403. </w:t>
      </w:r>
      <w:r>
        <w:rPr/>
        <w:t>Based on the judgment made in Storer v Manchester City Council [1974] 1 WLR 1403 the court determined that clear contractual terms make an offer enforceable without requiring a signed formal document. Manchester City Council sent a letter to the defendant which explained that house</w:t>
      </w:r>
      <w:r>
        <w:rPr>
          <w:spacing w:val="-4"/>
        </w:rPr>
        <w:t> </w:t>
      </w:r>
      <w:r>
        <w:rPr/>
        <w:t>sale</w:t>
      </w:r>
      <w:r>
        <w:rPr>
          <w:spacing w:val="-4"/>
        </w:rPr>
        <w:t> </w:t>
      </w:r>
      <w:r>
        <w:rPr/>
        <w:t>after</w:t>
      </w:r>
      <w:r>
        <w:rPr>
          <w:spacing w:val="-4"/>
        </w:rPr>
        <w:t> </w:t>
      </w:r>
      <w:r>
        <w:rPr/>
        <w:t>the</w:t>
      </w:r>
      <w:r>
        <w:rPr>
          <w:spacing w:val="-4"/>
        </w:rPr>
        <w:t> </w:t>
      </w:r>
      <w:r>
        <w:rPr/>
        <w:t>plaintiff</w:t>
      </w:r>
      <w:r>
        <w:rPr>
          <w:spacing w:val="-4"/>
        </w:rPr>
        <w:t> </w:t>
      </w:r>
      <w:r>
        <w:rPr/>
        <w:t>signed</w:t>
      </w:r>
      <w:r>
        <w:rPr>
          <w:spacing w:val="-4"/>
        </w:rPr>
        <w:t> </w:t>
      </w:r>
      <w:r>
        <w:rPr/>
        <w:t>the</w:t>
      </w:r>
      <w:r>
        <w:rPr>
          <w:spacing w:val="-4"/>
        </w:rPr>
        <w:t> </w:t>
      </w:r>
      <w:r>
        <w:rPr/>
        <w:t>document</w:t>
      </w:r>
      <w:r>
        <w:rPr>
          <w:spacing w:val="-4"/>
        </w:rPr>
        <w:t> </w:t>
      </w:r>
      <w:r>
        <w:rPr/>
        <w:t>would proceed with the agreement. A binding contract existed according to court decision</w:t>
      </w:r>
      <w:r>
        <w:rPr>
          <w:spacing w:val="40"/>
        </w:rPr>
        <w:t> </w:t>
      </w:r>
      <w:r>
        <w:rPr/>
        <w:t>even though policy changed since the offer was unambiguous and clearly presented with subsequent acceptance.</w:t>
      </w:r>
    </w:p>
    <w:p>
      <w:pPr>
        <w:pStyle w:val="BodyText"/>
        <w:spacing w:after="0" w:line="276" w:lineRule="auto"/>
        <w:jc w:val="both"/>
        <w:sectPr>
          <w:pgSz w:w="12240" w:h="15840"/>
          <w:pgMar w:top="1360" w:bottom="280" w:left="1417" w:right="1417"/>
        </w:sectPr>
      </w:pPr>
    </w:p>
    <w:p>
      <w:pPr>
        <w:spacing w:line="276" w:lineRule="auto" w:before="80"/>
        <w:ind w:left="23" w:right="25" w:firstLine="0"/>
        <w:jc w:val="both"/>
        <w:rPr>
          <w:sz w:val="24"/>
        </w:rPr>
      </w:pPr>
      <w:r>
        <w:rPr>
          <w:sz w:val="24"/>
        </w:rPr>
        <w:t>Similarly, in </w:t>
      </w:r>
      <w:r>
        <w:rPr>
          <w:rFonts w:ascii="Arial" w:hAnsi="Arial"/>
          <w:b/>
          <w:sz w:val="24"/>
        </w:rPr>
        <w:t>Gibson v Manchester City Council [1979] 1 WLR 294</w:t>
      </w:r>
      <w:r>
        <w:rPr>
          <w:sz w:val="24"/>
        </w:rPr>
        <w:t>, the court</w:t>
      </w:r>
      <w:r>
        <w:rPr>
          <w:spacing w:val="-4"/>
          <w:sz w:val="24"/>
        </w:rPr>
        <w:t> </w:t>
      </w:r>
      <w:r>
        <w:rPr>
          <w:sz w:val="24"/>
        </w:rPr>
        <w:t>clarified that </w:t>
      </w:r>
      <w:r>
        <w:rPr>
          <w:rFonts w:ascii="Arial" w:hAnsi="Arial"/>
          <w:b/>
          <w:sz w:val="24"/>
        </w:rPr>
        <w:t>an offer must be distinct from preliminary negotiations</w:t>
      </w:r>
      <w:r>
        <w:rPr>
          <w:sz w:val="24"/>
        </w:rPr>
        <w:t>. While the wording in Gibson was deemed insufficiently clear to constitute an offer, the wording in your</w:t>
      </w:r>
      <w:r>
        <w:rPr>
          <w:spacing w:val="-4"/>
          <w:sz w:val="24"/>
        </w:rPr>
        <w:t> </w:t>
      </w:r>
      <w:r>
        <w:rPr>
          <w:sz w:val="24"/>
        </w:rPr>
        <w:t>email explicitly stated </w:t>
      </w:r>
      <w:r>
        <w:rPr>
          <w:rFonts w:ascii="Arial" w:hAnsi="Arial"/>
          <w:b/>
          <w:sz w:val="24"/>
        </w:rPr>
        <w:t>“Sure, the rent is £500 per month, and you can move in on September 1, 2025”</w:t>
      </w:r>
      <w:r>
        <w:rPr>
          <w:sz w:val="24"/>
        </w:rPr>
        <w:t>, indicating a firm and clear offer rather than a mere negotiation.</w:t>
      </w:r>
    </w:p>
    <w:p>
      <w:pPr>
        <w:pStyle w:val="BodyText"/>
        <w:spacing w:line="276" w:lineRule="auto" w:before="240"/>
        <w:ind w:left="23" w:right="23"/>
        <w:jc w:val="both"/>
      </w:pPr>
      <w:r>
        <w:rPr/>
        <w:t>The court established in </w:t>
      </w:r>
      <w:r>
        <w:rPr>
          <w:rFonts w:ascii="Arial"/>
          <w:b/>
        </w:rPr>
        <w:t>Carlill v Carbolic Smoke Ball Co [1893] 1 QB 256 </w:t>
      </w:r>
      <w:r>
        <w:rPr/>
        <w:t>that uncertain offers do</w:t>
      </w:r>
      <w:r>
        <w:rPr>
          <w:spacing w:val="-3"/>
        </w:rPr>
        <w:t> </w:t>
      </w:r>
      <w:r>
        <w:rPr/>
        <w:t>not</w:t>
      </w:r>
      <w:r>
        <w:rPr>
          <w:spacing w:val="-3"/>
        </w:rPr>
        <w:t> </w:t>
      </w:r>
      <w:r>
        <w:rPr/>
        <w:t>hold</w:t>
      </w:r>
      <w:r>
        <w:rPr>
          <w:spacing w:val="-3"/>
        </w:rPr>
        <w:t> </w:t>
      </w:r>
      <w:r>
        <w:rPr/>
        <w:t>legal</w:t>
      </w:r>
      <w:r>
        <w:rPr>
          <w:spacing w:val="-3"/>
        </w:rPr>
        <w:t> </w:t>
      </w:r>
      <w:r>
        <w:rPr/>
        <w:t>value.</w:t>
      </w:r>
      <w:r>
        <w:rPr>
          <w:spacing w:val="-3"/>
        </w:rPr>
        <w:t> </w:t>
      </w:r>
      <w:r>
        <w:rPr/>
        <w:t>The</w:t>
      </w:r>
      <w:r>
        <w:rPr>
          <w:spacing w:val="-3"/>
        </w:rPr>
        <w:t> </w:t>
      </w:r>
      <w:r>
        <w:rPr/>
        <w:t>stated</w:t>
      </w:r>
      <w:r>
        <w:rPr>
          <w:spacing w:val="-3"/>
        </w:rPr>
        <w:t> </w:t>
      </w:r>
      <w:r>
        <w:rPr/>
        <w:t>terms</w:t>
      </w:r>
      <w:r>
        <w:rPr>
          <w:spacing w:val="-3"/>
        </w:rPr>
        <w:t> </w:t>
      </w:r>
      <w:r>
        <w:rPr/>
        <w:t>for</w:t>
      </w:r>
      <w:r>
        <w:rPr>
          <w:spacing w:val="-3"/>
        </w:rPr>
        <w:t> </w:t>
      </w:r>
      <w:r>
        <w:rPr/>
        <w:t>monthly</w:t>
      </w:r>
      <w:r>
        <w:rPr>
          <w:spacing w:val="-3"/>
        </w:rPr>
        <w:t> </w:t>
      </w:r>
      <w:r>
        <w:rPr/>
        <w:t>rent</w:t>
      </w:r>
      <w:r>
        <w:rPr>
          <w:spacing w:val="-3"/>
        </w:rPr>
        <w:t> </w:t>
      </w:r>
      <w:r>
        <w:rPr/>
        <w:t>and</w:t>
      </w:r>
      <w:r>
        <w:rPr>
          <w:spacing w:val="-3"/>
        </w:rPr>
        <w:t> </w:t>
      </w:r>
      <w:r>
        <w:rPr/>
        <w:t>start</w:t>
      </w:r>
      <w:r>
        <w:rPr>
          <w:spacing w:val="-3"/>
        </w:rPr>
        <w:t> </w:t>
      </w:r>
      <w:r>
        <w:rPr/>
        <w:t>date demonstrate offer clarity because they do not need further approval or negotiation to become binding.</w:t>
      </w:r>
    </w:p>
    <w:p>
      <w:pPr>
        <w:pStyle w:val="BodyText"/>
        <w:spacing w:line="276" w:lineRule="auto" w:before="240"/>
        <w:ind w:left="23" w:right="28"/>
        <w:jc w:val="both"/>
      </w:pPr>
      <w:r>
        <w:rPr/>
        <w:t>A clear offer stands as an essential factor as demonstrated through</w:t>
      </w:r>
      <w:r>
        <w:rPr>
          <w:spacing w:val="-3"/>
        </w:rPr>
        <w:t> </w:t>
      </w:r>
      <w:r>
        <w:rPr/>
        <w:t>this</w:t>
      </w:r>
      <w:r>
        <w:rPr>
          <w:spacing w:val="-3"/>
        </w:rPr>
        <w:t> </w:t>
      </w:r>
      <w:r>
        <w:rPr/>
        <w:t>particular</w:t>
      </w:r>
      <w:r>
        <w:rPr>
          <w:spacing w:val="-3"/>
        </w:rPr>
        <w:t> </w:t>
      </w:r>
      <w:r>
        <w:rPr/>
        <w:t>case example </w:t>
      </w:r>
      <w:r>
        <w:rPr>
          <w:rFonts w:ascii="Arial"/>
          <w:b/>
        </w:rPr>
        <w:t>Harvey v Facey [1893] AC 552</w:t>
      </w:r>
      <w:r>
        <w:rPr/>
        <w:t>, Price statements serve as offers only when the speaker shows a willingness to be</w:t>
      </w:r>
      <w:r>
        <w:rPr>
          <w:spacing w:val="-4"/>
        </w:rPr>
        <w:t> </w:t>
      </w:r>
      <w:r>
        <w:rPr/>
        <w:t>bound</w:t>
      </w:r>
      <w:r>
        <w:rPr>
          <w:spacing w:val="-4"/>
        </w:rPr>
        <w:t> </w:t>
      </w:r>
      <w:r>
        <w:rPr/>
        <w:t>under</w:t>
      </w:r>
      <w:r>
        <w:rPr>
          <w:spacing w:val="-4"/>
        </w:rPr>
        <w:t> </w:t>
      </w:r>
      <w:r>
        <w:rPr/>
        <w:t>Privy</w:t>
      </w:r>
      <w:r>
        <w:rPr>
          <w:spacing w:val="-4"/>
        </w:rPr>
        <w:t> </w:t>
      </w:r>
      <w:r>
        <w:rPr/>
        <w:t>Council</w:t>
      </w:r>
      <w:r>
        <w:rPr>
          <w:spacing w:val="-4"/>
        </w:rPr>
        <w:t> </w:t>
      </w:r>
      <w:r>
        <w:rPr/>
        <w:t>laws.</w:t>
      </w:r>
      <w:r>
        <w:rPr>
          <w:spacing w:val="-4"/>
        </w:rPr>
        <w:t> </w:t>
      </w:r>
      <w:r>
        <w:rPr/>
        <w:t>However,</w:t>
      </w:r>
      <w:r>
        <w:rPr>
          <w:spacing w:val="-4"/>
        </w:rPr>
        <w:t> </w:t>
      </w:r>
      <w:r>
        <w:rPr/>
        <w:t>in</w:t>
      </w:r>
      <w:r>
        <w:rPr>
          <w:spacing w:val="-4"/>
        </w:rPr>
        <w:t> </w:t>
      </w:r>
      <w:r>
        <w:rPr/>
        <w:t>our case, your</w:t>
      </w:r>
      <w:r>
        <w:rPr>
          <w:spacing w:val="-3"/>
        </w:rPr>
        <w:t> </w:t>
      </w:r>
      <w:r>
        <w:rPr/>
        <w:t>email</w:t>
      </w:r>
      <w:r>
        <w:rPr>
          <w:spacing w:val="-3"/>
        </w:rPr>
        <w:t> </w:t>
      </w:r>
      <w:r>
        <w:rPr/>
        <w:t>did</w:t>
      </w:r>
      <w:r>
        <w:rPr>
          <w:spacing w:val="-3"/>
        </w:rPr>
        <w:t> </w:t>
      </w:r>
      <w:r>
        <w:rPr/>
        <w:t>not</w:t>
      </w:r>
      <w:r>
        <w:rPr>
          <w:spacing w:val="-3"/>
        </w:rPr>
        <w:t> </w:t>
      </w:r>
      <w:r>
        <w:rPr/>
        <w:t>merely</w:t>
      </w:r>
      <w:r>
        <w:rPr>
          <w:spacing w:val="-3"/>
        </w:rPr>
        <w:t> </w:t>
      </w:r>
      <w:r>
        <w:rPr>
          <w:rFonts w:ascii="Arial"/>
          <w:b/>
        </w:rPr>
        <w:t>state</w:t>
      </w:r>
      <w:r>
        <w:rPr>
          <w:rFonts w:ascii="Arial"/>
          <w:b/>
          <w:spacing w:val="-3"/>
        </w:rPr>
        <w:t> </w:t>
      </w:r>
      <w:r>
        <w:rPr>
          <w:rFonts w:ascii="Arial"/>
          <w:b/>
        </w:rPr>
        <w:t>the</w:t>
      </w:r>
      <w:r>
        <w:rPr>
          <w:rFonts w:ascii="Arial"/>
          <w:b/>
          <w:spacing w:val="-3"/>
        </w:rPr>
        <w:t> </w:t>
      </w:r>
      <w:r>
        <w:rPr>
          <w:rFonts w:ascii="Arial"/>
          <w:b/>
        </w:rPr>
        <w:t>rental</w:t>
      </w:r>
      <w:r>
        <w:rPr>
          <w:rFonts w:ascii="Arial"/>
          <w:b/>
          <w:spacing w:val="-3"/>
        </w:rPr>
        <w:t> </w:t>
      </w:r>
      <w:r>
        <w:rPr>
          <w:rFonts w:ascii="Arial"/>
          <w:b/>
        </w:rPr>
        <w:t>price</w:t>
      </w:r>
      <w:r>
        <w:rPr>
          <w:rFonts w:ascii="Arial"/>
          <w:b/>
          <w:spacing w:val="-3"/>
        </w:rPr>
        <w:t> </w:t>
      </w:r>
      <w:r>
        <w:rPr/>
        <w:t>but</w:t>
      </w:r>
      <w:r>
        <w:rPr>
          <w:spacing w:val="-3"/>
        </w:rPr>
        <w:t> </w:t>
      </w:r>
      <w:r>
        <w:rPr/>
        <w:t>explicitly</w:t>
      </w:r>
      <w:r>
        <w:rPr>
          <w:spacing w:val="-3"/>
        </w:rPr>
        <w:t> </w:t>
      </w:r>
      <w:r>
        <w:rPr/>
        <w:t>asked</w:t>
      </w:r>
      <w:r>
        <w:rPr>
          <w:spacing w:val="-3"/>
        </w:rPr>
        <w:t> </w:t>
      </w:r>
      <w:r>
        <w:rPr/>
        <w:t>me</w:t>
      </w:r>
      <w:r>
        <w:rPr>
          <w:spacing w:val="-3"/>
        </w:rPr>
        <w:t> </w:t>
      </w:r>
      <w:r>
        <w:rPr/>
        <w:t>to</w:t>
      </w:r>
      <w:r>
        <w:rPr>
          <w:spacing w:val="-3"/>
        </w:rPr>
        <w:t> </w:t>
      </w:r>
      <w:r>
        <w:rPr/>
        <w:t>confirm my agreement, reinforcing its nature as a </w:t>
      </w:r>
      <w:r>
        <w:rPr>
          <w:rFonts w:ascii="Arial"/>
          <w:b/>
        </w:rPr>
        <w:t>genuine contractual offer</w:t>
      </w:r>
      <w:r>
        <w:rPr/>
        <w:t>.</w:t>
      </w:r>
    </w:p>
    <w:p>
      <w:pPr>
        <w:pStyle w:val="BodyText"/>
        <w:spacing w:line="276" w:lineRule="auto" w:before="240"/>
        <w:ind w:left="23" w:right="23"/>
        <w:jc w:val="both"/>
      </w:pPr>
      <w:r>
        <w:rPr/>
        <w:t>The development of our verbal discussions into a </w:t>
      </w:r>
      <w:r>
        <w:rPr>
          <w:rFonts w:ascii="Arial"/>
          <w:b/>
        </w:rPr>
        <w:t>written agreement </w:t>
      </w:r>
      <w:r>
        <w:rPr/>
        <w:t>through your email email establishes beyond doubt that this was an actual offer as opposed to a negotiation invitation. Your email search for agreement confirmation demonstrates </w:t>
      </w:r>
      <w:r>
        <w:rPr/>
        <w:t>a strong</w:t>
      </w:r>
      <w:r>
        <w:rPr>
          <w:spacing w:val="27"/>
        </w:rPr>
        <w:t> </w:t>
      </w:r>
      <w:r>
        <w:rPr/>
        <w:t>intent</w:t>
      </w:r>
      <w:r>
        <w:rPr>
          <w:spacing w:val="27"/>
        </w:rPr>
        <w:t> </w:t>
      </w:r>
      <w:r>
        <w:rPr/>
        <w:t>to</w:t>
      </w:r>
      <w:r>
        <w:rPr>
          <w:spacing w:val="27"/>
        </w:rPr>
        <w:t> </w:t>
      </w:r>
      <w:r>
        <w:rPr/>
        <w:t>be</w:t>
      </w:r>
      <w:r>
        <w:rPr>
          <w:spacing w:val="27"/>
        </w:rPr>
        <w:t> </w:t>
      </w:r>
      <w:r>
        <w:rPr/>
        <w:t>legally</w:t>
      </w:r>
      <w:r>
        <w:rPr>
          <w:spacing w:val="27"/>
        </w:rPr>
        <w:t> </w:t>
      </w:r>
      <w:r>
        <w:rPr/>
        <w:t>bound which surpasses the standard of an invitation to treat as shown in </w:t>
      </w:r>
      <w:r>
        <w:rPr>
          <w:rFonts w:ascii="Arial"/>
          <w:b/>
        </w:rPr>
        <w:t>Fisher v Bell [1961] 1 QB 394 </w:t>
      </w:r>
      <w:r>
        <w:rPr/>
        <w:t>about shop window displays.</w:t>
      </w:r>
    </w:p>
    <w:p>
      <w:pPr>
        <w:pStyle w:val="BodyText"/>
        <w:spacing w:line="276" w:lineRule="auto" w:before="240"/>
        <w:ind w:left="23" w:right="29"/>
        <w:jc w:val="both"/>
      </w:pPr>
      <w:r>
        <w:rPr/>
        <w:t>Given these considerations, your email qualifies as a </w:t>
      </w:r>
      <w:r>
        <w:rPr>
          <w:rFonts w:ascii="Arial" w:hAnsi="Arial"/>
          <w:b/>
        </w:rPr>
        <w:t>legally</w:t>
      </w:r>
      <w:r>
        <w:rPr>
          <w:rFonts w:ascii="Arial" w:hAnsi="Arial"/>
          <w:b/>
          <w:spacing w:val="-3"/>
        </w:rPr>
        <w:t> </w:t>
      </w:r>
      <w:r>
        <w:rPr>
          <w:rFonts w:ascii="Arial" w:hAnsi="Arial"/>
          <w:b/>
        </w:rPr>
        <w:t>valid</w:t>
      </w:r>
      <w:r>
        <w:rPr>
          <w:rFonts w:ascii="Arial" w:hAnsi="Arial"/>
          <w:b/>
          <w:spacing w:val="-3"/>
        </w:rPr>
        <w:t> </w:t>
      </w:r>
      <w:r>
        <w:rPr>
          <w:rFonts w:ascii="Arial" w:hAnsi="Arial"/>
          <w:b/>
        </w:rPr>
        <w:t>offer</w:t>
      </w:r>
      <w:r>
        <w:rPr>
          <w:rFonts w:ascii="Arial" w:hAnsi="Arial"/>
          <w:b/>
          <w:spacing w:val="-3"/>
        </w:rPr>
        <w:t> </w:t>
      </w:r>
      <w:r>
        <w:rPr/>
        <w:t>under</w:t>
      </w:r>
      <w:r>
        <w:rPr>
          <w:spacing w:val="-3"/>
        </w:rPr>
        <w:t> </w:t>
      </w:r>
      <w:r>
        <w:rPr/>
        <w:t>contract law. The next crucial step is </w:t>
      </w:r>
      <w:r>
        <w:rPr>
          <w:rFonts w:ascii="Arial" w:hAnsi="Arial"/>
          <w:b/>
        </w:rPr>
        <w:t>acceptance</w:t>
      </w:r>
      <w:r>
        <w:rPr/>
        <w:t>, which I provided in response, further solidifying the contract’s enforceability.</w:t>
      </w:r>
    </w:p>
    <w:p>
      <w:pPr>
        <w:pStyle w:val="BodyText"/>
      </w:pPr>
    </w:p>
    <w:p>
      <w:pPr>
        <w:pStyle w:val="BodyText"/>
      </w:pPr>
    </w:p>
    <w:p>
      <w:pPr>
        <w:pStyle w:val="BodyText"/>
        <w:spacing w:before="9"/>
      </w:pPr>
    </w:p>
    <w:p>
      <w:pPr>
        <w:pStyle w:val="Heading1"/>
        <w:numPr>
          <w:ilvl w:val="0"/>
          <w:numId w:val="2"/>
        </w:numPr>
        <w:tabs>
          <w:tab w:pos="289" w:val="left" w:leader="none"/>
        </w:tabs>
        <w:spacing w:line="240" w:lineRule="auto" w:before="0" w:after="0"/>
        <w:ind w:left="289" w:right="0" w:hanging="266"/>
        <w:jc w:val="left"/>
      </w:pPr>
      <w:bookmarkStart w:name="2. Acceptance " w:id="3"/>
      <w:bookmarkEnd w:id="3"/>
      <w:r>
        <w:rPr>
          <w:b w:val="0"/>
        </w:rPr>
      </w:r>
      <w:r>
        <w:rPr>
          <w:spacing w:val="-2"/>
        </w:rPr>
        <w:t>Acceptance</w:t>
      </w:r>
    </w:p>
    <w:p>
      <w:pPr>
        <w:pStyle w:val="BodyText"/>
        <w:spacing w:before="5"/>
        <w:rPr>
          <w:rFonts w:ascii="Arial"/>
          <w:b/>
        </w:rPr>
      </w:pPr>
    </w:p>
    <w:p>
      <w:pPr>
        <w:pStyle w:val="BodyText"/>
        <w:spacing w:line="276" w:lineRule="auto" w:before="1"/>
        <w:ind w:left="23" w:right="26"/>
        <w:jc w:val="both"/>
      </w:pPr>
      <w:r>
        <w:rPr/>
        <w:t>Acceptance is the </w:t>
      </w:r>
      <w:r>
        <w:rPr>
          <w:rFonts w:ascii="Arial"/>
          <w:b/>
        </w:rPr>
        <w:t>unqualified agreement </w:t>
      </w:r>
      <w:r>
        <w:rPr/>
        <w:t>to the terms of an offer. For acceptance </w:t>
      </w:r>
      <w:r>
        <w:rPr/>
        <w:t>to</w:t>
      </w:r>
      <w:r>
        <w:rPr>
          <w:spacing w:val="40"/>
        </w:rPr>
        <w:t> </w:t>
      </w:r>
      <w:r>
        <w:rPr/>
        <w:t>be legally valid, it must meet the following criteria:</w:t>
      </w:r>
    </w:p>
    <w:p>
      <w:pPr>
        <w:pStyle w:val="ListParagraph"/>
        <w:numPr>
          <w:ilvl w:val="1"/>
          <w:numId w:val="2"/>
        </w:numPr>
        <w:tabs>
          <w:tab w:pos="743" w:val="left" w:leader="none"/>
        </w:tabs>
        <w:spacing w:line="276" w:lineRule="auto" w:before="240" w:after="0"/>
        <w:ind w:left="743" w:right="25" w:hanging="360"/>
        <w:jc w:val="both"/>
        <w:rPr>
          <w:sz w:val="24"/>
        </w:rPr>
      </w:pPr>
      <w:r>
        <w:rPr>
          <w:rFonts w:ascii="Arial" w:hAnsi="Arial"/>
          <w:b/>
          <w:sz w:val="24"/>
        </w:rPr>
        <w:t>It must be unequivocal </w:t>
      </w:r>
      <w:r>
        <w:rPr>
          <w:sz w:val="24"/>
        </w:rPr>
        <w:t>– The offeree must accept the offer in its exact </w:t>
      </w:r>
      <w:r>
        <w:rPr>
          <w:sz w:val="24"/>
        </w:rPr>
        <w:t>terms without modifications (known as the </w:t>
      </w:r>
      <w:r>
        <w:rPr>
          <w:rFonts w:ascii="Arial" w:hAnsi="Arial"/>
          <w:b/>
          <w:sz w:val="24"/>
        </w:rPr>
        <w:t>mirror image rule</w:t>
      </w:r>
      <w:r>
        <w:rPr>
          <w:sz w:val="24"/>
        </w:rPr>
        <w:t>).</w:t>
      </w:r>
    </w:p>
    <w:p>
      <w:pPr>
        <w:pStyle w:val="ListParagraph"/>
        <w:numPr>
          <w:ilvl w:val="1"/>
          <w:numId w:val="2"/>
        </w:numPr>
        <w:tabs>
          <w:tab w:pos="743" w:val="left" w:leader="none"/>
        </w:tabs>
        <w:spacing w:line="276" w:lineRule="auto" w:before="0" w:after="0"/>
        <w:ind w:left="743" w:right="25" w:hanging="360"/>
        <w:jc w:val="both"/>
        <w:rPr>
          <w:sz w:val="24"/>
        </w:rPr>
      </w:pPr>
      <w:r>
        <w:rPr>
          <w:rFonts w:ascii="Arial" w:hAnsi="Arial"/>
          <w:b/>
          <w:sz w:val="24"/>
        </w:rPr>
        <w:t>It must be communicated to the offeror </w:t>
      </w:r>
      <w:r>
        <w:rPr>
          <w:sz w:val="24"/>
        </w:rPr>
        <w:t>– The law considers silence </w:t>
      </w:r>
      <w:r>
        <w:rPr>
          <w:sz w:val="24"/>
        </w:rPr>
        <w:t>to</w:t>
      </w:r>
      <w:r>
        <w:rPr>
          <w:spacing w:val="40"/>
          <w:sz w:val="24"/>
        </w:rPr>
        <w:t> </w:t>
      </w:r>
      <w:r>
        <w:rPr>
          <w:sz w:val="24"/>
        </w:rPr>
        <w:t>become acceptance only when both parties have previously agreed that silence would equal agreement.</w:t>
      </w:r>
    </w:p>
    <w:p>
      <w:pPr>
        <w:pStyle w:val="ListParagraph"/>
        <w:numPr>
          <w:ilvl w:val="1"/>
          <w:numId w:val="2"/>
        </w:numPr>
        <w:tabs>
          <w:tab w:pos="743" w:val="left" w:leader="none"/>
        </w:tabs>
        <w:spacing w:line="276" w:lineRule="auto" w:before="0" w:after="0"/>
        <w:ind w:left="743" w:right="23" w:hanging="360"/>
        <w:jc w:val="both"/>
        <w:rPr>
          <w:sz w:val="24"/>
        </w:rPr>
      </w:pPr>
      <w:r>
        <w:rPr>
          <w:rFonts w:ascii="Arial" w:hAnsi="Arial"/>
          <w:b/>
          <w:sz w:val="24"/>
        </w:rPr>
        <w:t>It must be made within a reasonable timeframe </w:t>
      </w:r>
      <w:r>
        <w:rPr>
          <w:sz w:val="24"/>
        </w:rPr>
        <w:t>– If an offer specifies </w:t>
      </w:r>
      <w:r>
        <w:rPr>
          <w:sz w:val="24"/>
        </w:rPr>
        <w:t>a deadline for acceptance, the offeree must respond within that period. If no deadline is set, acceptance must occur within a reasonable time.</w:t>
      </w:r>
    </w:p>
    <w:p>
      <w:pPr>
        <w:pStyle w:val="ListParagraph"/>
        <w:spacing w:after="0" w:line="276" w:lineRule="auto"/>
        <w:jc w:val="both"/>
        <w:rPr>
          <w:sz w:val="24"/>
        </w:rPr>
        <w:sectPr>
          <w:pgSz w:w="12240" w:h="15840"/>
          <w:pgMar w:top="1360" w:bottom="280" w:left="1417" w:right="1417"/>
        </w:sectPr>
      </w:pPr>
    </w:p>
    <w:p>
      <w:pPr>
        <w:pStyle w:val="BodyText"/>
        <w:spacing w:before="80"/>
        <w:ind w:left="23"/>
        <w:jc w:val="both"/>
      </w:pPr>
      <w:r>
        <w:rPr/>
        <w:t>In response to your email, I </w:t>
      </w:r>
      <w:r>
        <w:rPr>
          <w:spacing w:val="-2"/>
        </w:rPr>
        <w:t>replied:</w:t>
      </w:r>
    </w:p>
    <w:p>
      <w:pPr>
        <w:pStyle w:val="BodyText"/>
        <w:spacing w:before="5"/>
      </w:pPr>
    </w:p>
    <w:p>
      <w:pPr>
        <w:spacing w:before="0"/>
        <w:ind w:left="23" w:right="0" w:firstLine="0"/>
        <w:jc w:val="left"/>
        <w:rPr>
          <w:rFonts w:ascii="Arial"/>
          <w:i/>
          <w:sz w:val="24"/>
        </w:rPr>
      </w:pPr>
      <w:r>
        <w:rPr>
          <w:rFonts w:ascii="Arial"/>
          <w:i/>
          <w:sz w:val="24"/>
        </w:rPr>
        <w:t>"I agree to the terms. I will arrange the deposit payment by the end of this </w:t>
      </w:r>
      <w:r>
        <w:rPr>
          <w:rFonts w:ascii="Arial"/>
          <w:i/>
          <w:spacing w:val="-2"/>
          <w:sz w:val="24"/>
        </w:rPr>
        <w:t>week."</w:t>
      </w:r>
    </w:p>
    <w:p>
      <w:pPr>
        <w:pStyle w:val="BodyText"/>
        <w:spacing w:before="5"/>
        <w:rPr>
          <w:rFonts w:ascii="Arial"/>
          <w:i/>
        </w:rPr>
      </w:pPr>
    </w:p>
    <w:p>
      <w:pPr>
        <w:spacing w:line="276" w:lineRule="auto" w:before="1"/>
        <w:ind w:left="23" w:right="21" w:firstLine="0"/>
        <w:jc w:val="both"/>
        <w:rPr>
          <w:sz w:val="24"/>
        </w:rPr>
      </w:pPr>
      <w:r>
        <w:rPr>
          <w:sz w:val="24"/>
        </w:rPr>
        <w:t>This response </w:t>
      </w:r>
      <w:r>
        <w:rPr>
          <w:rFonts w:ascii="Arial"/>
          <w:b/>
          <w:sz w:val="24"/>
        </w:rPr>
        <w:t>clearly and unequivocally </w:t>
      </w:r>
      <w:r>
        <w:rPr>
          <w:sz w:val="24"/>
        </w:rPr>
        <w:t>indicates my acceptance of your offer. My acceptance matched the terms of your offer </w:t>
      </w:r>
      <w:r>
        <w:rPr>
          <w:rFonts w:ascii="Arial"/>
          <w:b/>
          <w:sz w:val="24"/>
        </w:rPr>
        <w:t>without proposing any modifications</w:t>
      </w:r>
      <w:r>
        <w:rPr>
          <w:sz w:val="24"/>
        </w:rPr>
        <w:t>, thereby satisfying the </w:t>
      </w:r>
      <w:r>
        <w:rPr>
          <w:rFonts w:ascii="Arial"/>
          <w:b/>
          <w:sz w:val="24"/>
        </w:rPr>
        <w:t>mirror image rule</w:t>
      </w:r>
      <w:r>
        <w:rPr>
          <w:sz w:val="24"/>
        </w:rPr>
        <w:t>, which states that acceptance must </w:t>
      </w:r>
      <w:r>
        <w:rPr>
          <w:rFonts w:ascii="Arial"/>
          <w:b/>
          <w:sz w:val="24"/>
        </w:rPr>
        <w:t>exactly correspond</w:t>
      </w:r>
      <w:r>
        <w:rPr>
          <w:rFonts w:ascii="Arial"/>
          <w:b/>
          <w:spacing w:val="40"/>
          <w:sz w:val="24"/>
        </w:rPr>
        <w:t> </w:t>
      </w:r>
      <w:r>
        <w:rPr>
          <w:sz w:val="24"/>
        </w:rPr>
        <w:t>to</w:t>
      </w:r>
      <w:r>
        <w:rPr>
          <w:spacing w:val="40"/>
          <w:sz w:val="24"/>
        </w:rPr>
        <w:t> </w:t>
      </w:r>
      <w:r>
        <w:rPr>
          <w:sz w:val="24"/>
        </w:rPr>
        <w:t>the</w:t>
      </w:r>
      <w:r>
        <w:rPr>
          <w:spacing w:val="40"/>
          <w:sz w:val="24"/>
        </w:rPr>
        <w:t> </w:t>
      </w:r>
      <w:r>
        <w:rPr>
          <w:sz w:val="24"/>
        </w:rPr>
        <w:t>offer</w:t>
      </w:r>
      <w:r>
        <w:rPr>
          <w:spacing w:val="40"/>
          <w:sz w:val="24"/>
        </w:rPr>
        <w:t> </w:t>
      </w:r>
      <w:r>
        <w:rPr>
          <w:sz w:val="24"/>
        </w:rPr>
        <w:t>for a contract to be formed. The importance of this </w:t>
      </w:r>
      <w:r>
        <w:rPr>
          <w:sz w:val="24"/>
        </w:rPr>
        <w:t>principle was affirmed in </w:t>
      </w:r>
      <w:r>
        <w:rPr>
          <w:rFonts w:ascii="Arial"/>
          <w:b/>
          <w:sz w:val="24"/>
        </w:rPr>
        <w:t>Hyde v Wrench [1840] 3 Beav 334</w:t>
      </w:r>
      <w:r>
        <w:rPr>
          <w:sz w:val="24"/>
        </w:rPr>
        <w:t>, where a counteroffer was considered to reject original offers which blocked the creation of contracts. Since my response did not alter any of the offered terms but instead expressly agreed to them,</w:t>
      </w:r>
      <w:r>
        <w:rPr>
          <w:spacing w:val="40"/>
          <w:sz w:val="24"/>
        </w:rPr>
        <w:t> </w:t>
      </w:r>
      <w:r>
        <w:rPr>
          <w:sz w:val="24"/>
        </w:rPr>
        <w:t>my acceptance was valid and binding.</w:t>
      </w:r>
    </w:p>
    <w:p>
      <w:pPr>
        <w:pStyle w:val="Heading1"/>
      </w:pPr>
      <w:bookmarkStart w:name="Communication of Acceptance " w:id="4"/>
      <w:bookmarkEnd w:id="4"/>
      <w:r>
        <w:rPr>
          <w:b w:val="0"/>
        </w:rPr>
      </w:r>
      <w:r>
        <w:rPr/>
        <w:t>Communication of </w:t>
      </w:r>
      <w:r>
        <w:rPr>
          <w:spacing w:val="-2"/>
        </w:rPr>
        <w:t>Acceptance</w:t>
      </w:r>
    </w:p>
    <w:p>
      <w:pPr>
        <w:pStyle w:val="BodyText"/>
        <w:spacing w:before="5"/>
        <w:rPr>
          <w:rFonts w:ascii="Arial"/>
          <w:b/>
        </w:rPr>
      </w:pPr>
    </w:p>
    <w:p>
      <w:pPr>
        <w:pStyle w:val="BodyText"/>
        <w:spacing w:line="276" w:lineRule="auto"/>
        <w:ind w:left="23" w:right="22"/>
        <w:jc w:val="both"/>
      </w:pPr>
      <w:r>
        <w:rPr/>
        <w:t>For a contract to form both parties </w:t>
      </w:r>
      <w:r>
        <w:rPr>
          <w:rFonts w:ascii="Arial"/>
          <w:b/>
        </w:rPr>
        <w:t>must deliver </w:t>
      </w:r>
      <w:r>
        <w:rPr/>
        <w:t>effective acceptance notifications to each other. </w:t>
      </w:r>
      <w:r>
        <w:rPr>
          <w:rFonts w:ascii="Arial"/>
          <w:b/>
        </w:rPr>
        <w:t>Entores Ltd v Miles Far East Corporation [1955] 2 QB 327 </w:t>
      </w:r>
      <w:r>
        <w:rPr/>
        <w:t>established acceptance made through instant communication methods like email and fax and telephone will create a</w:t>
      </w:r>
      <w:r>
        <w:rPr>
          <w:spacing w:val="-3"/>
        </w:rPr>
        <w:t> </w:t>
      </w:r>
      <w:r>
        <w:rPr/>
        <w:t>binding</w:t>
      </w:r>
      <w:r>
        <w:rPr>
          <w:spacing w:val="-3"/>
        </w:rPr>
        <w:t> </w:t>
      </w:r>
      <w:r>
        <w:rPr/>
        <w:t>contract</w:t>
      </w:r>
      <w:r>
        <w:rPr>
          <w:spacing w:val="-3"/>
        </w:rPr>
        <w:t> </w:t>
      </w:r>
      <w:r>
        <w:rPr/>
        <w:t>at</w:t>
      </w:r>
      <w:r>
        <w:rPr>
          <w:spacing w:val="-3"/>
        </w:rPr>
        <w:t> </w:t>
      </w:r>
      <w:r>
        <w:rPr/>
        <w:t>the</w:t>
      </w:r>
      <w:r>
        <w:rPr>
          <w:spacing w:val="-3"/>
        </w:rPr>
        <w:t> </w:t>
      </w:r>
      <w:r>
        <w:rPr/>
        <w:t>instant</w:t>
      </w:r>
      <w:r>
        <w:rPr>
          <w:spacing w:val="-3"/>
        </w:rPr>
        <w:t> </w:t>
      </w:r>
      <w:r>
        <w:rPr/>
        <w:t>and</w:t>
      </w:r>
      <w:r>
        <w:rPr>
          <w:spacing w:val="-3"/>
        </w:rPr>
        <w:t> </w:t>
      </w:r>
      <w:r>
        <w:rPr/>
        <w:t>location</w:t>
      </w:r>
      <w:r>
        <w:rPr>
          <w:spacing w:val="-3"/>
        </w:rPr>
        <w:t> </w:t>
      </w:r>
      <w:r>
        <w:rPr/>
        <w:t>of</w:t>
      </w:r>
      <w:r>
        <w:rPr>
          <w:spacing w:val="-3"/>
        </w:rPr>
        <w:t> </w:t>
      </w:r>
      <w:r>
        <w:rPr/>
        <w:t>offeror</w:t>
      </w:r>
      <w:r>
        <w:rPr>
          <w:spacing w:val="-3"/>
        </w:rPr>
        <w:t> </w:t>
      </w:r>
      <w:r>
        <w:rPr/>
        <w:t>receipt.</w:t>
      </w:r>
      <w:r>
        <w:rPr>
          <w:spacing w:val="-3"/>
        </w:rPr>
        <w:t> </w:t>
      </w:r>
      <w:r>
        <w:rPr/>
        <w:t>The email sent through instant communication led to prompt reception of</w:t>
      </w:r>
      <w:r>
        <w:rPr>
          <w:spacing w:val="-3"/>
        </w:rPr>
        <w:t> </w:t>
      </w:r>
      <w:r>
        <w:rPr/>
        <w:t>my</w:t>
      </w:r>
      <w:r>
        <w:rPr>
          <w:spacing w:val="-3"/>
        </w:rPr>
        <w:t> </w:t>
      </w:r>
      <w:r>
        <w:rPr/>
        <w:t>acceptance</w:t>
      </w:r>
      <w:r>
        <w:rPr>
          <w:spacing w:val="-3"/>
        </w:rPr>
        <w:t> </w:t>
      </w:r>
      <w:r>
        <w:rPr/>
        <w:t>by you. The effective communication requirement becomes fulfilled with my acceptance email delivery to your position which marks the exact time when the contract was </w:t>
      </w:r>
      <w:r>
        <w:rPr>
          <w:spacing w:val="-2"/>
        </w:rPr>
        <w:t>established.</w:t>
      </w:r>
    </w:p>
    <w:p>
      <w:pPr>
        <w:spacing w:line="276" w:lineRule="auto" w:before="240"/>
        <w:ind w:left="23" w:right="22" w:firstLine="0"/>
        <w:jc w:val="both"/>
        <w:rPr>
          <w:sz w:val="24"/>
        </w:rPr>
      </w:pPr>
      <w:r>
        <w:rPr>
          <w:sz w:val="24"/>
        </w:rPr>
        <w:t>Additionally, in </w:t>
      </w:r>
      <w:r>
        <w:rPr>
          <w:rFonts w:ascii="Arial" w:hAnsi="Arial"/>
          <w:b/>
          <w:sz w:val="24"/>
        </w:rPr>
        <w:t>Brinkibon Ltd v Stahag Stahl und</w:t>
      </w:r>
      <w:r>
        <w:rPr>
          <w:rFonts w:ascii="Arial" w:hAnsi="Arial"/>
          <w:b/>
          <w:spacing w:val="-5"/>
          <w:sz w:val="24"/>
        </w:rPr>
        <w:t> </w:t>
      </w:r>
      <w:r>
        <w:rPr>
          <w:rFonts w:ascii="Arial" w:hAnsi="Arial"/>
          <w:b/>
          <w:sz w:val="24"/>
        </w:rPr>
        <w:t>Stahlwarenhandel</w:t>
      </w:r>
      <w:r>
        <w:rPr>
          <w:rFonts w:ascii="Arial" w:hAnsi="Arial"/>
          <w:b/>
          <w:spacing w:val="-5"/>
          <w:sz w:val="24"/>
        </w:rPr>
        <w:t> </w:t>
      </w:r>
      <w:r>
        <w:rPr>
          <w:rFonts w:ascii="Arial" w:hAnsi="Arial"/>
          <w:b/>
          <w:sz w:val="24"/>
        </w:rPr>
        <w:t>GmbH</w:t>
      </w:r>
      <w:r>
        <w:rPr>
          <w:rFonts w:ascii="Arial" w:hAnsi="Arial"/>
          <w:b/>
          <w:spacing w:val="-5"/>
          <w:sz w:val="24"/>
        </w:rPr>
        <w:t> </w:t>
      </w:r>
      <w:r>
        <w:rPr>
          <w:rFonts w:ascii="Arial" w:hAnsi="Arial"/>
          <w:b/>
          <w:sz w:val="24"/>
        </w:rPr>
        <w:t>[1983]</w:t>
      </w:r>
      <w:r>
        <w:rPr>
          <w:rFonts w:ascii="Arial" w:hAnsi="Arial"/>
          <w:b/>
          <w:spacing w:val="-5"/>
          <w:sz w:val="24"/>
        </w:rPr>
        <w:t> </w:t>
      </w:r>
      <w:r>
        <w:rPr>
          <w:rFonts w:ascii="Arial" w:hAnsi="Arial"/>
          <w:b/>
          <w:sz w:val="24"/>
        </w:rPr>
        <w:t>2 AC 34</w:t>
      </w:r>
      <w:r>
        <w:rPr>
          <w:sz w:val="24"/>
        </w:rPr>
        <w:t>, the court confirmed that the </w:t>
      </w:r>
      <w:r>
        <w:rPr>
          <w:rFonts w:ascii="Arial" w:hAnsi="Arial"/>
          <w:b/>
          <w:sz w:val="24"/>
        </w:rPr>
        <w:t>time and place of acceptance </w:t>
      </w:r>
      <w:r>
        <w:rPr>
          <w:sz w:val="24"/>
        </w:rPr>
        <w:t>are crucial in determining when a contract comes into effect. Since email communication is considered instantaneous (unlike postal communication), acceptance is effective when</w:t>
      </w:r>
      <w:r>
        <w:rPr>
          <w:spacing w:val="40"/>
          <w:sz w:val="24"/>
        </w:rPr>
        <w:t> </w:t>
      </w:r>
      <w:r>
        <w:rPr>
          <w:sz w:val="24"/>
        </w:rPr>
        <w:t>it reaches the offeror's inbox, not when it is sent. Therefore, my acceptance email fulfilled this requirement, solidifying the contract’s validity.</w:t>
      </w:r>
    </w:p>
    <w:p>
      <w:pPr>
        <w:pStyle w:val="Heading1"/>
      </w:pPr>
      <w:bookmarkStart w:name="Silence as Acceptance? " w:id="5"/>
      <w:bookmarkEnd w:id="5"/>
      <w:r>
        <w:rPr>
          <w:b w:val="0"/>
        </w:rPr>
      </w:r>
      <w:r>
        <w:rPr/>
        <w:t>Silence as </w:t>
      </w:r>
      <w:r>
        <w:rPr>
          <w:spacing w:val="-2"/>
        </w:rPr>
        <w:t>Acceptance?</w:t>
      </w:r>
    </w:p>
    <w:p>
      <w:pPr>
        <w:pStyle w:val="BodyText"/>
        <w:spacing w:before="5"/>
        <w:rPr>
          <w:rFonts w:ascii="Arial"/>
          <w:b/>
        </w:rPr>
      </w:pPr>
    </w:p>
    <w:p>
      <w:pPr>
        <w:spacing w:line="276" w:lineRule="auto" w:before="0"/>
        <w:ind w:left="23" w:right="21" w:firstLine="0"/>
        <w:jc w:val="both"/>
        <w:rPr>
          <w:sz w:val="24"/>
        </w:rPr>
      </w:pPr>
      <w:r>
        <w:rPr>
          <w:sz w:val="24"/>
        </w:rPr>
        <w:t>In some cases, one party may argue that acceptance was not validly </w:t>
      </w:r>
      <w:r>
        <w:rPr>
          <w:sz w:val="24"/>
        </w:rPr>
        <w:t>communicated. However, it is a well-established principle in English contract</w:t>
      </w:r>
      <w:r>
        <w:rPr>
          <w:spacing w:val="-3"/>
          <w:sz w:val="24"/>
        </w:rPr>
        <w:t> </w:t>
      </w:r>
      <w:r>
        <w:rPr>
          <w:sz w:val="24"/>
        </w:rPr>
        <w:t>law</w:t>
      </w:r>
      <w:r>
        <w:rPr>
          <w:spacing w:val="-3"/>
          <w:sz w:val="24"/>
        </w:rPr>
        <w:t> </w:t>
      </w:r>
      <w:r>
        <w:rPr>
          <w:sz w:val="24"/>
        </w:rPr>
        <w:t>that</w:t>
      </w:r>
      <w:r>
        <w:rPr>
          <w:spacing w:val="-3"/>
          <w:sz w:val="24"/>
        </w:rPr>
        <w:t> </w:t>
      </w:r>
      <w:r>
        <w:rPr>
          <w:rFonts w:ascii="Arial"/>
          <w:b/>
          <w:sz w:val="24"/>
        </w:rPr>
        <w:t>the</w:t>
      </w:r>
      <w:r>
        <w:rPr>
          <w:rFonts w:ascii="Arial"/>
          <w:b/>
          <w:spacing w:val="-3"/>
          <w:sz w:val="24"/>
        </w:rPr>
        <w:t> </w:t>
      </w:r>
      <w:r>
        <w:rPr>
          <w:rFonts w:ascii="Arial"/>
          <w:b/>
          <w:sz w:val="24"/>
        </w:rPr>
        <w:t>silence</w:t>
      </w:r>
      <w:r>
        <w:rPr>
          <w:rFonts w:ascii="Arial"/>
          <w:b/>
          <w:spacing w:val="-3"/>
          <w:sz w:val="24"/>
        </w:rPr>
        <w:t> </w:t>
      </w:r>
      <w:r>
        <w:rPr>
          <w:rFonts w:ascii="Arial"/>
          <w:b/>
          <w:sz w:val="24"/>
        </w:rPr>
        <w:t>of</w:t>
      </w:r>
      <w:r>
        <w:rPr>
          <w:rFonts w:ascii="Arial"/>
          <w:b/>
          <w:spacing w:val="-3"/>
          <w:sz w:val="24"/>
        </w:rPr>
        <w:t> </w:t>
      </w:r>
      <w:r>
        <w:rPr>
          <w:rFonts w:ascii="Arial"/>
          <w:b/>
          <w:sz w:val="24"/>
        </w:rPr>
        <w:t>an individual does not carry legal implication of acceptance. </w:t>
      </w:r>
      <w:r>
        <w:rPr>
          <w:sz w:val="24"/>
        </w:rPr>
        <w:t>as demonstrated in </w:t>
      </w:r>
      <w:r>
        <w:rPr>
          <w:rFonts w:ascii="Arial"/>
          <w:b/>
          <w:sz w:val="24"/>
        </w:rPr>
        <w:t>Felthouse v Bindley [1862] EWHC CP J35</w:t>
      </w:r>
      <w:r>
        <w:rPr>
          <w:sz w:val="24"/>
        </w:rPr>
        <w:t>, where the court</w:t>
      </w:r>
      <w:r>
        <w:rPr>
          <w:spacing w:val="-2"/>
          <w:sz w:val="24"/>
        </w:rPr>
        <w:t> </w:t>
      </w:r>
      <w:r>
        <w:rPr>
          <w:sz w:val="24"/>
        </w:rPr>
        <w:t>ruled</w:t>
      </w:r>
      <w:r>
        <w:rPr>
          <w:spacing w:val="-2"/>
          <w:sz w:val="24"/>
        </w:rPr>
        <w:t> </w:t>
      </w:r>
      <w:r>
        <w:rPr>
          <w:sz w:val="24"/>
        </w:rPr>
        <w:t>that</w:t>
      </w:r>
      <w:r>
        <w:rPr>
          <w:spacing w:val="-2"/>
          <w:sz w:val="24"/>
        </w:rPr>
        <w:t> </w:t>
      </w:r>
      <w:r>
        <w:rPr>
          <w:sz w:val="24"/>
        </w:rPr>
        <w:t>an</w:t>
      </w:r>
      <w:r>
        <w:rPr>
          <w:spacing w:val="-2"/>
          <w:sz w:val="24"/>
        </w:rPr>
        <w:t> </w:t>
      </w:r>
      <w:r>
        <w:rPr>
          <w:sz w:val="24"/>
        </w:rPr>
        <w:t>offer</w:t>
      </w:r>
      <w:r>
        <w:rPr>
          <w:spacing w:val="-2"/>
          <w:sz w:val="24"/>
        </w:rPr>
        <w:t> </w:t>
      </w:r>
      <w:r>
        <w:rPr>
          <w:sz w:val="24"/>
        </w:rPr>
        <w:t>cannot be accepted simply by failing to reject it. However, my case</w:t>
      </w:r>
      <w:r>
        <w:rPr>
          <w:spacing w:val="-3"/>
          <w:sz w:val="24"/>
        </w:rPr>
        <w:t> </w:t>
      </w:r>
      <w:r>
        <w:rPr>
          <w:sz w:val="24"/>
        </w:rPr>
        <w:t>is</w:t>
      </w:r>
      <w:r>
        <w:rPr>
          <w:spacing w:val="-3"/>
          <w:sz w:val="24"/>
        </w:rPr>
        <w:t> </w:t>
      </w:r>
      <w:r>
        <w:rPr>
          <w:sz w:val="24"/>
        </w:rPr>
        <w:t>fundamentally</w:t>
      </w:r>
      <w:r>
        <w:rPr>
          <w:spacing w:val="-3"/>
          <w:sz w:val="24"/>
        </w:rPr>
        <w:t> </w:t>
      </w:r>
      <w:r>
        <w:rPr>
          <w:sz w:val="24"/>
        </w:rPr>
        <w:t>different.</w:t>
      </w:r>
      <w:r>
        <w:rPr>
          <w:spacing w:val="-3"/>
          <w:sz w:val="24"/>
        </w:rPr>
        <w:t> </w:t>
      </w:r>
      <w:r>
        <w:rPr>
          <w:sz w:val="24"/>
        </w:rPr>
        <w:t>I did not remain silent but </w:t>
      </w:r>
      <w:r>
        <w:rPr>
          <w:rFonts w:ascii="Arial"/>
          <w:b/>
          <w:sz w:val="24"/>
        </w:rPr>
        <w:t>actively communicated </w:t>
      </w:r>
      <w:r>
        <w:rPr>
          <w:sz w:val="24"/>
        </w:rPr>
        <w:t>my acceptance in writing, making it legally enforceable.</w:t>
      </w:r>
    </w:p>
    <w:p>
      <w:pPr>
        <w:pStyle w:val="Heading1"/>
      </w:pPr>
      <w:bookmarkStart w:name="Conditional vs. Unconditional Acceptance" w:id="6"/>
      <w:bookmarkEnd w:id="6"/>
      <w:r>
        <w:rPr>
          <w:b w:val="0"/>
        </w:rPr>
      </w:r>
      <w:r>
        <w:rPr/>
        <w:t>Conditional vs. Unconditional </w:t>
      </w:r>
      <w:r>
        <w:rPr>
          <w:spacing w:val="-2"/>
        </w:rPr>
        <w:t>Acceptance</w:t>
      </w:r>
    </w:p>
    <w:p>
      <w:pPr>
        <w:pStyle w:val="Heading1"/>
        <w:spacing w:after="0"/>
        <w:sectPr>
          <w:pgSz w:w="12240" w:h="15840"/>
          <w:pgMar w:top="1360" w:bottom="280" w:left="1417" w:right="1417"/>
        </w:sectPr>
      </w:pPr>
    </w:p>
    <w:p>
      <w:pPr>
        <w:spacing w:line="276" w:lineRule="auto" w:before="80"/>
        <w:ind w:left="23" w:right="25" w:firstLine="0"/>
        <w:jc w:val="both"/>
        <w:rPr>
          <w:sz w:val="24"/>
        </w:rPr>
      </w:pPr>
      <w:r>
        <w:rPr>
          <w:sz w:val="24"/>
        </w:rPr>
        <w:t>One could argue that my statement, </w:t>
      </w:r>
      <w:r>
        <w:rPr>
          <w:rFonts w:ascii="Arial"/>
          <w:i/>
          <w:sz w:val="24"/>
        </w:rPr>
        <w:t>"I will arrange the deposit payment by the end </w:t>
      </w:r>
      <w:r>
        <w:rPr>
          <w:rFonts w:ascii="Arial"/>
          <w:i/>
          <w:sz w:val="24"/>
        </w:rPr>
        <w:t>of this week," </w:t>
      </w:r>
      <w:r>
        <w:rPr>
          <w:sz w:val="24"/>
        </w:rPr>
        <w:t>introduces a </w:t>
      </w:r>
      <w:r>
        <w:rPr>
          <w:rFonts w:ascii="Arial"/>
          <w:b/>
          <w:sz w:val="24"/>
        </w:rPr>
        <w:t>condition </w:t>
      </w:r>
      <w:r>
        <w:rPr>
          <w:sz w:val="24"/>
        </w:rPr>
        <w:t>that might delay contract formation. However, in </w:t>
      </w:r>
      <w:r>
        <w:rPr>
          <w:rFonts w:ascii="Arial"/>
          <w:b/>
          <w:sz w:val="24"/>
        </w:rPr>
        <w:t>Manchester Diocesan Council for Education v Commercial and General Investments Ltd</w:t>
      </w:r>
      <w:r>
        <w:rPr>
          <w:rFonts w:ascii="Arial"/>
          <w:b/>
          <w:spacing w:val="-3"/>
          <w:sz w:val="24"/>
        </w:rPr>
        <w:t> </w:t>
      </w:r>
      <w:r>
        <w:rPr>
          <w:rFonts w:ascii="Arial"/>
          <w:b/>
          <w:sz w:val="24"/>
        </w:rPr>
        <w:t>[1970]</w:t>
      </w:r>
      <w:r>
        <w:rPr>
          <w:rFonts w:ascii="Arial"/>
          <w:b/>
          <w:spacing w:val="-3"/>
          <w:sz w:val="24"/>
        </w:rPr>
        <w:t> </w:t>
      </w:r>
      <w:r>
        <w:rPr>
          <w:rFonts w:ascii="Arial"/>
          <w:b/>
          <w:sz w:val="24"/>
        </w:rPr>
        <w:t>1</w:t>
      </w:r>
      <w:r>
        <w:rPr>
          <w:rFonts w:ascii="Arial"/>
          <w:b/>
          <w:spacing w:val="-3"/>
          <w:sz w:val="24"/>
        </w:rPr>
        <w:t> </w:t>
      </w:r>
      <w:r>
        <w:rPr>
          <w:rFonts w:ascii="Arial"/>
          <w:b/>
          <w:sz w:val="24"/>
        </w:rPr>
        <w:t>WLR</w:t>
      </w:r>
      <w:r>
        <w:rPr>
          <w:rFonts w:ascii="Arial"/>
          <w:b/>
          <w:spacing w:val="-3"/>
          <w:sz w:val="24"/>
        </w:rPr>
        <w:t> </w:t>
      </w:r>
      <w:r>
        <w:rPr>
          <w:rFonts w:ascii="Arial"/>
          <w:b/>
          <w:sz w:val="24"/>
        </w:rPr>
        <w:t>241</w:t>
      </w:r>
      <w:r>
        <w:rPr>
          <w:sz w:val="24"/>
        </w:rPr>
        <w:t>,</w:t>
      </w:r>
      <w:r>
        <w:rPr>
          <w:spacing w:val="-3"/>
          <w:sz w:val="24"/>
        </w:rPr>
        <w:t> </w:t>
      </w:r>
      <w:r>
        <w:rPr>
          <w:sz w:val="24"/>
        </w:rPr>
        <w:t>the</w:t>
      </w:r>
      <w:r>
        <w:rPr>
          <w:spacing w:val="-3"/>
          <w:sz w:val="24"/>
        </w:rPr>
        <w:t> </w:t>
      </w:r>
      <w:r>
        <w:rPr>
          <w:sz w:val="24"/>
        </w:rPr>
        <w:t>court</w:t>
      </w:r>
      <w:r>
        <w:rPr>
          <w:spacing w:val="-3"/>
          <w:sz w:val="24"/>
        </w:rPr>
        <w:t> </w:t>
      </w:r>
      <w:r>
        <w:rPr>
          <w:sz w:val="24"/>
        </w:rPr>
        <w:t>held</w:t>
      </w:r>
      <w:r>
        <w:rPr>
          <w:spacing w:val="-3"/>
          <w:sz w:val="24"/>
        </w:rPr>
        <w:t> </w:t>
      </w:r>
      <w:r>
        <w:rPr>
          <w:sz w:val="24"/>
        </w:rPr>
        <w:t>that</w:t>
      </w:r>
      <w:r>
        <w:rPr>
          <w:spacing w:val="-3"/>
          <w:sz w:val="24"/>
        </w:rPr>
        <w:t> </w:t>
      </w:r>
      <w:r>
        <w:rPr>
          <w:rFonts w:ascii="Arial"/>
          <w:b/>
          <w:sz w:val="24"/>
        </w:rPr>
        <w:t>a</w:t>
      </w:r>
      <w:r>
        <w:rPr>
          <w:rFonts w:ascii="Arial"/>
          <w:b/>
          <w:spacing w:val="-3"/>
          <w:sz w:val="24"/>
        </w:rPr>
        <w:t> </w:t>
      </w:r>
      <w:r>
        <w:rPr>
          <w:rFonts w:ascii="Arial"/>
          <w:b/>
          <w:sz w:val="24"/>
        </w:rPr>
        <w:t>contract</w:t>
      </w:r>
      <w:r>
        <w:rPr>
          <w:rFonts w:ascii="Arial"/>
          <w:b/>
          <w:spacing w:val="-3"/>
          <w:sz w:val="24"/>
        </w:rPr>
        <w:t> </w:t>
      </w:r>
      <w:r>
        <w:rPr>
          <w:rFonts w:ascii="Arial"/>
          <w:b/>
          <w:sz w:val="24"/>
        </w:rPr>
        <w:t>can</w:t>
      </w:r>
      <w:r>
        <w:rPr>
          <w:rFonts w:ascii="Arial"/>
          <w:b/>
          <w:spacing w:val="-3"/>
          <w:sz w:val="24"/>
        </w:rPr>
        <w:t> </w:t>
      </w:r>
      <w:r>
        <w:rPr>
          <w:rFonts w:ascii="Arial"/>
          <w:b/>
          <w:sz w:val="24"/>
        </w:rPr>
        <w:t>still</w:t>
      </w:r>
      <w:r>
        <w:rPr>
          <w:rFonts w:ascii="Arial"/>
          <w:b/>
          <w:spacing w:val="-3"/>
          <w:sz w:val="24"/>
        </w:rPr>
        <w:t> </w:t>
      </w:r>
      <w:r>
        <w:rPr>
          <w:rFonts w:ascii="Arial"/>
          <w:b/>
          <w:sz w:val="24"/>
        </w:rPr>
        <w:t>be</w:t>
      </w:r>
      <w:r>
        <w:rPr>
          <w:rFonts w:ascii="Arial"/>
          <w:b/>
          <w:spacing w:val="-3"/>
          <w:sz w:val="24"/>
        </w:rPr>
        <w:t> </w:t>
      </w:r>
      <w:r>
        <w:rPr>
          <w:rFonts w:ascii="Arial"/>
          <w:b/>
          <w:sz w:val="24"/>
        </w:rPr>
        <w:t>formed even if certain administrative steps, such as payment, are yet to be completed</w:t>
      </w:r>
      <w:r>
        <w:rPr>
          <w:sz w:val="24"/>
        </w:rPr>
        <w:t>, provided that the key terms have been agreed upon. Since my acceptance was </w:t>
      </w:r>
      <w:r>
        <w:rPr>
          <w:rFonts w:ascii="Arial"/>
          <w:b/>
          <w:sz w:val="24"/>
        </w:rPr>
        <w:t>not contingent on the deposit being paid but rather stated my intention to make the payment later</w:t>
      </w:r>
      <w:r>
        <w:rPr>
          <w:sz w:val="24"/>
        </w:rPr>
        <w:t>, the acceptance remains </w:t>
      </w:r>
      <w:r>
        <w:rPr>
          <w:rFonts w:ascii="Arial"/>
          <w:b/>
          <w:sz w:val="24"/>
        </w:rPr>
        <w:t>unconditional and legally binding</w:t>
      </w:r>
      <w:r>
        <w:rPr>
          <w:sz w:val="24"/>
        </w:rPr>
        <w:t>.</w:t>
      </w:r>
    </w:p>
    <w:p>
      <w:pPr>
        <w:spacing w:line="276" w:lineRule="auto" w:before="240"/>
        <w:ind w:left="23" w:right="21" w:firstLine="0"/>
        <w:jc w:val="both"/>
        <w:rPr>
          <w:sz w:val="24"/>
        </w:rPr>
      </w:pPr>
      <w:r>
        <w:rPr>
          <w:sz w:val="24"/>
        </w:rPr>
        <w:t>Under the legal ruling made in </w:t>
      </w:r>
      <w:r>
        <w:rPr>
          <w:rFonts w:ascii="Arial"/>
          <w:b/>
          <w:sz w:val="24"/>
        </w:rPr>
        <w:t>Carlill v Carbolic Smoke Ball Co [1893] 1</w:t>
      </w:r>
      <w:r>
        <w:rPr>
          <w:rFonts w:ascii="Arial"/>
          <w:b/>
          <w:spacing w:val="-2"/>
          <w:sz w:val="24"/>
        </w:rPr>
        <w:t> </w:t>
      </w:r>
      <w:r>
        <w:rPr>
          <w:rFonts w:ascii="Arial"/>
          <w:b/>
          <w:sz w:val="24"/>
        </w:rPr>
        <w:t>QB</w:t>
      </w:r>
      <w:r>
        <w:rPr>
          <w:rFonts w:ascii="Arial"/>
          <w:b/>
          <w:spacing w:val="-2"/>
          <w:sz w:val="24"/>
        </w:rPr>
        <w:t> </w:t>
      </w:r>
      <w:r>
        <w:rPr>
          <w:rFonts w:ascii="Arial"/>
          <w:b/>
          <w:sz w:val="24"/>
        </w:rPr>
        <w:t>256</w:t>
      </w:r>
      <w:r>
        <w:rPr>
          <w:rFonts w:ascii="Arial"/>
          <w:b/>
          <w:spacing w:val="-2"/>
          <w:sz w:val="24"/>
        </w:rPr>
        <w:t> </w:t>
      </w:r>
      <w:r>
        <w:rPr>
          <w:sz w:val="24"/>
        </w:rPr>
        <w:t>the court established that acceptance in </w:t>
      </w:r>
      <w:r>
        <w:rPr>
          <w:rFonts w:ascii="Arial"/>
          <w:b/>
          <w:sz w:val="24"/>
        </w:rPr>
        <w:t>unilateral contracts does not necessarily need direct confirmation from the offeree to the offeror. </w:t>
      </w:r>
      <w:r>
        <w:rPr>
          <w:sz w:val="24"/>
        </w:rPr>
        <w:t>According to the principles established by Carlill v Carbolic Smoke Ball Co [1893] 1 QB 256 the act</w:t>
      </w:r>
      <w:r>
        <w:rPr>
          <w:spacing w:val="-2"/>
          <w:sz w:val="24"/>
        </w:rPr>
        <w:t> </w:t>
      </w:r>
      <w:r>
        <w:rPr>
          <w:sz w:val="24"/>
        </w:rPr>
        <w:t>of</w:t>
      </w:r>
      <w:r>
        <w:rPr>
          <w:spacing w:val="-2"/>
          <w:sz w:val="24"/>
        </w:rPr>
        <w:t> </w:t>
      </w:r>
      <w:r>
        <w:rPr>
          <w:sz w:val="24"/>
        </w:rPr>
        <w:t>executing</w:t>
      </w:r>
      <w:r>
        <w:rPr>
          <w:spacing w:val="-2"/>
          <w:sz w:val="24"/>
        </w:rPr>
        <w:t> </w:t>
      </w:r>
      <w:r>
        <w:rPr>
          <w:sz w:val="24"/>
        </w:rPr>
        <w:t>a bilateral contract </w:t>
      </w:r>
      <w:r>
        <w:rPr>
          <w:rFonts w:ascii="Arial"/>
          <w:b/>
          <w:sz w:val="24"/>
        </w:rPr>
        <w:t>requires both parties to</w:t>
      </w:r>
      <w:r>
        <w:rPr>
          <w:rFonts w:ascii="Arial"/>
          <w:b/>
          <w:spacing w:val="-3"/>
          <w:sz w:val="24"/>
        </w:rPr>
        <w:t> </w:t>
      </w:r>
      <w:r>
        <w:rPr>
          <w:rFonts w:ascii="Arial"/>
          <w:b/>
          <w:sz w:val="24"/>
        </w:rPr>
        <w:t>make</w:t>
      </w:r>
      <w:r>
        <w:rPr>
          <w:rFonts w:ascii="Arial"/>
          <w:b/>
          <w:spacing w:val="-4"/>
          <w:sz w:val="24"/>
        </w:rPr>
        <w:t> </w:t>
      </w:r>
      <w:r>
        <w:rPr>
          <w:rFonts w:ascii="Arial"/>
          <w:b/>
          <w:sz w:val="24"/>
        </w:rPr>
        <w:t>mutual</w:t>
      </w:r>
      <w:r>
        <w:rPr>
          <w:rFonts w:ascii="Arial"/>
          <w:b/>
          <w:spacing w:val="-3"/>
          <w:sz w:val="24"/>
        </w:rPr>
        <w:t> </w:t>
      </w:r>
      <w:r>
        <w:rPr>
          <w:rFonts w:ascii="Arial"/>
          <w:b/>
          <w:sz w:val="24"/>
        </w:rPr>
        <w:t>promises</w:t>
      </w:r>
      <w:r>
        <w:rPr>
          <w:rFonts w:ascii="Arial"/>
          <w:b/>
          <w:spacing w:val="-4"/>
          <w:sz w:val="24"/>
        </w:rPr>
        <w:t> </w:t>
      </w:r>
      <w:r>
        <w:rPr>
          <w:rFonts w:ascii="Arial"/>
          <w:b/>
          <w:sz w:val="24"/>
        </w:rPr>
        <w:t>yet</w:t>
      </w:r>
      <w:r>
        <w:rPr>
          <w:rFonts w:ascii="Arial"/>
          <w:b/>
          <w:spacing w:val="-3"/>
          <w:sz w:val="24"/>
        </w:rPr>
        <w:t> </w:t>
      </w:r>
      <w:r>
        <w:rPr>
          <w:rFonts w:ascii="Arial"/>
          <w:b/>
          <w:sz w:val="24"/>
        </w:rPr>
        <w:t>my</w:t>
      </w:r>
      <w:r>
        <w:rPr>
          <w:rFonts w:ascii="Arial"/>
          <w:b/>
          <w:spacing w:val="-4"/>
          <w:sz w:val="24"/>
        </w:rPr>
        <w:t> </w:t>
      </w:r>
      <w:r>
        <w:rPr>
          <w:rFonts w:ascii="Arial"/>
          <w:b/>
          <w:sz w:val="24"/>
        </w:rPr>
        <w:t>agreement is valid </w:t>
      </w:r>
      <w:r>
        <w:rPr>
          <w:sz w:val="24"/>
        </w:rPr>
        <w:t>because</w:t>
      </w:r>
      <w:r>
        <w:rPr>
          <w:spacing w:val="-3"/>
          <w:sz w:val="24"/>
        </w:rPr>
        <w:t> </w:t>
      </w:r>
      <w:r>
        <w:rPr>
          <w:sz w:val="24"/>
        </w:rPr>
        <w:t>I</w:t>
      </w:r>
      <w:r>
        <w:rPr>
          <w:spacing w:val="-3"/>
          <w:sz w:val="24"/>
        </w:rPr>
        <w:t> </w:t>
      </w:r>
      <w:r>
        <w:rPr>
          <w:sz w:val="24"/>
        </w:rPr>
        <w:t>demonstrated</w:t>
      </w:r>
      <w:r>
        <w:rPr>
          <w:spacing w:val="-3"/>
          <w:sz w:val="24"/>
        </w:rPr>
        <w:t> </w:t>
      </w:r>
      <w:r>
        <w:rPr>
          <w:sz w:val="24"/>
        </w:rPr>
        <w:t>my</w:t>
      </w:r>
      <w:r>
        <w:rPr>
          <w:spacing w:val="-3"/>
          <w:sz w:val="24"/>
        </w:rPr>
        <w:t> </w:t>
      </w:r>
      <w:r>
        <w:rPr>
          <w:sz w:val="24"/>
        </w:rPr>
        <w:t>willingness</w:t>
      </w:r>
      <w:r>
        <w:rPr>
          <w:spacing w:val="-3"/>
          <w:sz w:val="24"/>
        </w:rPr>
        <w:t> </w:t>
      </w:r>
      <w:r>
        <w:rPr>
          <w:sz w:val="24"/>
        </w:rPr>
        <w:t>to</w:t>
      </w:r>
      <w:r>
        <w:rPr>
          <w:spacing w:val="-3"/>
          <w:sz w:val="24"/>
        </w:rPr>
        <w:t> </w:t>
      </w:r>
      <w:r>
        <w:rPr>
          <w:sz w:val="24"/>
        </w:rPr>
        <w:t>perform</w:t>
      </w:r>
      <w:r>
        <w:rPr>
          <w:spacing w:val="-3"/>
          <w:sz w:val="24"/>
        </w:rPr>
        <w:t> </w:t>
      </w:r>
      <w:r>
        <w:rPr>
          <w:sz w:val="24"/>
        </w:rPr>
        <w:t>my</w:t>
      </w:r>
      <w:r>
        <w:rPr>
          <w:spacing w:val="-3"/>
          <w:sz w:val="24"/>
        </w:rPr>
        <w:t> </w:t>
      </w:r>
      <w:r>
        <w:rPr>
          <w:sz w:val="24"/>
        </w:rPr>
        <w:t>obligations</w:t>
      </w:r>
      <w:r>
        <w:rPr>
          <w:spacing w:val="-3"/>
          <w:sz w:val="24"/>
        </w:rPr>
        <w:t> </w:t>
      </w:r>
      <w:r>
        <w:rPr>
          <w:sz w:val="24"/>
        </w:rPr>
        <w:t>by</w:t>
      </w:r>
      <w:r>
        <w:rPr>
          <w:spacing w:val="-3"/>
          <w:sz w:val="24"/>
        </w:rPr>
        <w:t> </w:t>
      </w:r>
      <w:r>
        <w:rPr>
          <w:sz w:val="24"/>
        </w:rPr>
        <w:t>paying</w:t>
      </w:r>
      <w:r>
        <w:rPr>
          <w:spacing w:val="-3"/>
          <w:sz w:val="24"/>
        </w:rPr>
        <w:t> </w:t>
      </w:r>
      <w:r>
        <w:rPr>
          <w:sz w:val="24"/>
        </w:rPr>
        <w:t>the specified deposit.</w:t>
      </w:r>
    </w:p>
    <w:p>
      <w:pPr>
        <w:pStyle w:val="Heading1"/>
      </w:pPr>
      <w:bookmarkStart w:name="Timeliness of Acceptance " w:id="7"/>
      <w:bookmarkEnd w:id="7"/>
      <w:r>
        <w:rPr>
          <w:b w:val="0"/>
        </w:rPr>
      </w:r>
      <w:r>
        <w:rPr/>
        <w:t>Timeliness</w:t>
      </w:r>
      <w:r>
        <w:rPr>
          <w:spacing w:val="-3"/>
        </w:rPr>
        <w:t> </w:t>
      </w:r>
      <w:r>
        <w:rPr/>
        <w:t>of</w:t>
      </w:r>
      <w:r>
        <w:rPr>
          <w:spacing w:val="-2"/>
        </w:rPr>
        <w:t> Acceptance</w:t>
      </w:r>
    </w:p>
    <w:p>
      <w:pPr>
        <w:pStyle w:val="BodyText"/>
        <w:spacing w:before="5"/>
        <w:rPr>
          <w:rFonts w:ascii="Arial"/>
          <w:b/>
        </w:rPr>
      </w:pPr>
    </w:p>
    <w:p>
      <w:pPr>
        <w:pStyle w:val="BodyText"/>
        <w:spacing w:line="276" w:lineRule="auto"/>
        <w:ind w:left="23" w:right="21"/>
        <w:jc w:val="both"/>
      </w:pPr>
      <w:r>
        <w:rPr/>
        <w:t>For an acceptance to be valid, it must also be made </w:t>
      </w:r>
      <w:r>
        <w:rPr>
          <w:rFonts w:ascii="Arial"/>
          <w:b/>
        </w:rPr>
        <w:t>within a reasonable time. </w:t>
      </w:r>
      <w:r>
        <w:rPr/>
        <w:t>The duration of performing obligations depends</w:t>
      </w:r>
      <w:r>
        <w:rPr>
          <w:spacing w:val="-4"/>
        </w:rPr>
        <w:t> </w:t>
      </w:r>
      <w:r>
        <w:rPr/>
        <w:t>both</w:t>
      </w:r>
      <w:r>
        <w:rPr>
          <w:spacing w:val="-4"/>
        </w:rPr>
        <w:t> </w:t>
      </w:r>
      <w:r>
        <w:rPr/>
        <w:t>on</w:t>
      </w:r>
      <w:r>
        <w:rPr>
          <w:spacing w:val="-4"/>
        </w:rPr>
        <w:t> </w:t>
      </w:r>
      <w:r>
        <w:rPr/>
        <w:t>the</w:t>
      </w:r>
      <w:r>
        <w:rPr>
          <w:spacing w:val="-4"/>
        </w:rPr>
        <w:t> </w:t>
      </w:r>
      <w:r>
        <w:rPr/>
        <w:t>characteristics</w:t>
      </w:r>
      <w:r>
        <w:rPr>
          <w:spacing w:val="-4"/>
        </w:rPr>
        <w:t> </w:t>
      </w:r>
      <w:r>
        <w:rPr/>
        <w:t>of</w:t>
      </w:r>
      <w:r>
        <w:rPr>
          <w:spacing w:val="-4"/>
        </w:rPr>
        <w:t> </w:t>
      </w:r>
      <w:r>
        <w:rPr/>
        <w:t>the</w:t>
      </w:r>
      <w:r>
        <w:rPr>
          <w:spacing w:val="-4"/>
        </w:rPr>
        <w:t> </w:t>
      </w:r>
      <w:r>
        <w:rPr/>
        <w:t>agreement together with standard practices in the industry. Since</w:t>
      </w:r>
      <w:r>
        <w:rPr>
          <w:spacing w:val="-4"/>
        </w:rPr>
        <w:t> </w:t>
      </w:r>
      <w:r>
        <w:rPr/>
        <w:t>you</w:t>
      </w:r>
      <w:r>
        <w:rPr>
          <w:spacing w:val="-4"/>
        </w:rPr>
        <w:t> </w:t>
      </w:r>
      <w:r>
        <w:rPr/>
        <w:t>did</w:t>
      </w:r>
      <w:r>
        <w:rPr>
          <w:spacing w:val="-4"/>
        </w:rPr>
        <w:t> </w:t>
      </w:r>
      <w:r>
        <w:rPr/>
        <w:t>not</w:t>
      </w:r>
      <w:r>
        <w:rPr>
          <w:spacing w:val="-4"/>
        </w:rPr>
        <w:t> </w:t>
      </w:r>
      <w:r>
        <w:rPr/>
        <w:t>specify</w:t>
      </w:r>
      <w:r>
        <w:rPr>
          <w:spacing w:val="-4"/>
        </w:rPr>
        <w:t> </w:t>
      </w:r>
      <w:r>
        <w:rPr/>
        <w:t>a</w:t>
      </w:r>
      <w:r>
        <w:rPr>
          <w:spacing w:val="-4"/>
        </w:rPr>
        <w:t> </w:t>
      </w:r>
      <w:r>
        <w:rPr/>
        <w:t>deadline</w:t>
      </w:r>
      <w:r>
        <w:rPr>
          <w:spacing w:val="-4"/>
        </w:rPr>
        <w:t> </w:t>
      </w:r>
      <w:r>
        <w:rPr/>
        <w:t>for acceptance, contract law</w:t>
      </w:r>
      <w:r>
        <w:rPr>
          <w:spacing w:val="-3"/>
        </w:rPr>
        <w:t> </w:t>
      </w:r>
      <w:r>
        <w:rPr/>
        <w:t>dictates</w:t>
      </w:r>
      <w:r>
        <w:rPr>
          <w:spacing w:val="-3"/>
        </w:rPr>
        <w:t> </w:t>
      </w:r>
      <w:r>
        <w:rPr/>
        <w:t>that</w:t>
      </w:r>
      <w:r>
        <w:rPr>
          <w:spacing w:val="-3"/>
        </w:rPr>
        <w:t> </w:t>
      </w:r>
      <w:r>
        <w:rPr/>
        <w:t>acceptance</w:t>
      </w:r>
      <w:r>
        <w:rPr>
          <w:spacing w:val="-3"/>
        </w:rPr>
        <w:t> </w:t>
      </w:r>
      <w:r>
        <w:rPr/>
        <w:t>should</w:t>
      </w:r>
      <w:r>
        <w:rPr>
          <w:spacing w:val="-3"/>
        </w:rPr>
        <w:t> </w:t>
      </w:r>
      <w:r>
        <w:rPr/>
        <w:t>occur</w:t>
      </w:r>
      <w:r>
        <w:rPr>
          <w:spacing w:val="-3"/>
        </w:rPr>
        <w:t> </w:t>
      </w:r>
      <w:r>
        <w:rPr/>
        <w:t>within</w:t>
      </w:r>
      <w:r>
        <w:rPr>
          <w:spacing w:val="-3"/>
        </w:rPr>
        <w:t> </w:t>
      </w:r>
      <w:r>
        <w:rPr/>
        <w:t>a</w:t>
      </w:r>
      <w:r>
        <w:rPr>
          <w:spacing w:val="-3"/>
        </w:rPr>
        <w:t> </w:t>
      </w:r>
      <w:r>
        <w:rPr/>
        <w:t>time</w:t>
      </w:r>
      <w:r>
        <w:rPr>
          <w:spacing w:val="-3"/>
        </w:rPr>
        <w:t> </w:t>
      </w:r>
      <w:r>
        <w:rPr/>
        <w:t>period</w:t>
      </w:r>
      <w:r>
        <w:rPr>
          <w:spacing w:val="-3"/>
        </w:rPr>
        <w:t> </w:t>
      </w:r>
      <w:r>
        <w:rPr/>
        <w:t>that would be considered reasonable for rental agreements.</w:t>
      </w:r>
      <w:r>
        <w:rPr>
          <w:spacing w:val="-3"/>
        </w:rPr>
        <w:t> </w:t>
      </w:r>
      <w:r>
        <w:rPr/>
        <w:t>My</w:t>
      </w:r>
      <w:r>
        <w:rPr>
          <w:spacing w:val="-3"/>
        </w:rPr>
        <w:t> </w:t>
      </w:r>
      <w:r>
        <w:rPr/>
        <w:t>prompt</w:t>
      </w:r>
      <w:r>
        <w:rPr>
          <w:spacing w:val="-3"/>
        </w:rPr>
        <w:t> </w:t>
      </w:r>
      <w:r>
        <w:rPr/>
        <w:t>email</w:t>
      </w:r>
      <w:r>
        <w:rPr>
          <w:spacing w:val="-3"/>
        </w:rPr>
        <w:t> </w:t>
      </w:r>
      <w:r>
        <w:rPr/>
        <w:t>response</w:t>
      </w:r>
      <w:r>
        <w:rPr>
          <w:spacing w:val="-3"/>
        </w:rPr>
        <w:t> </w:t>
      </w:r>
      <w:r>
        <w:rPr/>
        <w:t>falls well within this standard, further solidifying the validity of my acceptance.</w:t>
      </w:r>
    </w:p>
    <w:p>
      <w:pPr>
        <w:pStyle w:val="Heading1"/>
      </w:pPr>
      <w:bookmarkStart w:name="Conclusion " w:id="8"/>
      <w:bookmarkEnd w:id="8"/>
      <w:r>
        <w:rPr>
          <w:b w:val="0"/>
        </w:rPr>
      </w:r>
      <w:r>
        <w:rPr>
          <w:spacing w:val="-2"/>
        </w:rPr>
        <w:t>Conclusion</w:t>
      </w:r>
    </w:p>
    <w:p>
      <w:pPr>
        <w:pStyle w:val="BodyText"/>
        <w:spacing w:before="5"/>
        <w:rPr>
          <w:rFonts w:ascii="Arial"/>
          <w:b/>
        </w:rPr>
      </w:pPr>
    </w:p>
    <w:p>
      <w:pPr>
        <w:spacing w:line="276" w:lineRule="auto" w:before="1"/>
        <w:ind w:left="23" w:right="29" w:firstLine="0"/>
        <w:jc w:val="both"/>
        <w:rPr>
          <w:sz w:val="24"/>
        </w:rPr>
      </w:pPr>
      <w:r>
        <w:rPr>
          <w:sz w:val="24"/>
        </w:rPr>
        <w:t>Based on the principles of contract law and supporting case law, my acceptance </w:t>
      </w:r>
      <w:r>
        <w:rPr>
          <w:sz w:val="24"/>
        </w:rPr>
        <w:t>was </w:t>
      </w:r>
      <w:r>
        <w:rPr>
          <w:rFonts w:ascii="Arial"/>
          <w:b/>
          <w:sz w:val="24"/>
        </w:rPr>
        <w:t>valid,</w:t>
      </w:r>
      <w:r>
        <w:rPr>
          <w:rFonts w:ascii="Arial"/>
          <w:b/>
          <w:spacing w:val="-5"/>
          <w:sz w:val="24"/>
        </w:rPr>
        <w:t> </w:t>
      </w:r>
      <w:r>
        <w:rPr>
          <w:rFonts w:ascii="Arial"/>
          <w:b/>
          <w:sz w:val="24"/>
        </w:rPr>
        <w:t>clear,</w:t>
      </w:r>
      <w:r>
        <w:rPr>
          <w:rFonts w:ascii="Arial"/>
          <w:b/>
          <w:spacing w:val="-5"/>
          <w:sz w:val="24"/>
        </w:rPr>
        <w:t> </w:t>
      </w:r>
      <w:r>
        <w:rPr>
          <w:rFonts w:ascii="Arial"/>
          <w:b/>
          <w:sz w:val="24"/>
        </w:rPr>
        <w:t>and</w:t>
      </w:r>
      <w:r>
        <w:rPr>
          <w:rFonts w:ascii="Arial"/>
          <w:b/>
          <w:spacing w:val="-5"/>
          <w:sz w:val="24"/>
        </w:rPr>
        <w:t> </w:t>
      </w:r>
      <w:r>
        <w:rPr>
          <w:rFonts w:ascii="Arial"/>
          <w:b/>
          <w:sz w:val="24"/>
        </w:rPr>
        <w:t>effectively</w:t>
      </w:r>
      <w:r>
        <w:rPr>
          <w:rFonts w:ascii="Arial"/>
          <w:b/>
          <w:spacing w:val="-5"/>
          <w:sz w:val="24"/>
        </w:rPr>
        <w:t> </w:t>
      </w:r>
      <w:r>
        <w:rPr>
          <w:rFonts w:ascii="Arial"/>
          <w:b/>
          <w:sz w:val="24"/>
        </w:rPr>
        <w:t>communicated</w:t>
      </w:r>
      <w:r>
        <w:rPr>
          <w:sz w:val="24"/>
        </w:rPr>
        <w:t>.</w:t>
      </w:r>
      <w:r>
        <w:rPr>
          <w:spacing w:val="-5"/>
          <w:sz w:val="24"/>
        </w:rPr>
        <w:t> </w:t>
      </w:r>
      <w:r>
        <w:rPr>
          <w:sz w:val="24"/>
        </w:rPr>
        <w:t>The</w:t>
      </w:r>
      <w:r>
        <w:rPr>
          <w:spacing w:val="-5"/>
          <w:sz w:val="24"/>
        </w:rPr>
        <w:t> </w:t>
      </w:r>
      <w:r>
        <w:rPr>
          <w:rFonts w:ascii="Arial"/>
          <w:b/>
          <w:sz w:val="24"/>
        </w:rPr>
        <w:t>mirror</w:t>
      </w:r>
      <w:r>
        <w:rPr>
          <w:rFonts w:ascii="Arial"/>
          <w:b/>
          <w:spacing w:val="-5"/>
          <w:sz w:val="24"/>
        </w:rPr>
        <w:t> </w:t>
      </w:r>
      <w:r>
        <w:rPr>
          <w:rFonts w:ascii="Arial"/>
          <w:b/>
          <w:sz w:val="24"/>
        </w:rPr>
        <w:t>image</w:t>
      </w:r>
      <w:r>
        <w:rPr>
          <w:rFonts w:ascii="Arial"/>
          <w:b/>
          <w:spacing w:val="-5"/>
          <w:sz w:val="24"/>
        </w:rPr>
        <w:t> </w:t>
      </w:r>
      <w:r>
        <w:rPr>
          <w:rFonts w:ascii="Arial"/>
          <w:b/>
          <w:sz w:val="24"/>
        </w:rPr>
        <w:t>rule</w:t>
      </w:r>
      <w:r>
        <w:rPr>
          <w:rFonts w:ascii="Arial"/>
          <w:b/>
          <w:spacing w:val="-5"/>
          <w:sz w:val="24"/>
        </w:rPr>
        <w:t> </w:t>
      </w:r>
      <w:r>
        <w:rPr>
          <w:sz w:val="24"/>
        </w:rPr>
        <w:t>was</w:t>
      </w:r>
      <w:r>
        <w:rPr>
          <w:spacing w:val="-5"/>
          <w:sz w:val="24"/>
        </w:rPr>
        <w:t> </w:t>
      </w:r>
      <w:r>
        <w:rPr>
          <w:sz w:val="24"/>
        </w:rPr>
        <w:t>satisfied,</w:t>
      </w:r>
      <w:r>
        <w:rPr>
          <w:spacing w:val="-5"/>
          <w:sz w:val="24"/>
        </w:rPr>
        <w:t> </w:t>
      </w:r>
      <w:r>
        <w:rPr>
          <w:sz w:val="24"/>
        </w:rPr>
        <w:t>and the contract was formed the moment you received my acceptance email. Therefore, at that point, </w:t>
      </w:r>
      <w:r>
        <w:rPr>
          <w:rFonts w:ascii="Arial"/>
          <w:b/>
          <w:sz w:val="24"/>
        </w:rPr>
        <w:t>a legally binding contract was created</w:t>
      </w:r>
      <w:r>
        <w:rPr>
          <w:rFonts w:ascii="Arial"/>
          <w:b/>
          <w:spacing w:val="-3"/>
          <w:sz w:val="24"/>
        </w:rPr>
        <w:t> </w:t>
      </w:r>
      <w:r>
        <w:rPr>
          <w:rFonts w:ascii="Arial"/>
          <w:b/>
          <w:sz w:val="24"/>
        </w:rPr>
        <w:t>between</w:t>
      </w:r>
      <w:r>
        <w:rPr>
          <w:rFonts w:ascii="Arial"/>
          <w:b/>
          <w:spacing w:val="-3"/>
          <w:sz w:val="24"/>
        </w:rPr>
        <w:t> </w:t>
      </w:r>
      <w:r>
        <w:rPr>
          <w:rFonts w:ascii="Arial"/>
          <w:b/>
          <w:sz w:val="24"/>
        </w:rPr>
        <w:t>us</w:t>
      </w:r>
      <w:r>
        <w:rPr>
          <w:rFonts w:ascii="Arial"/>
          <w:b/>
          <w:spacing w:val="-3"/>
          <w:sz w:val="24"/>
        </w:rPr>
        <w:t> </w:t>
      </w:r>
      <w:r>
        <w:rPr>
          <w:rFonts w:ascii="Arial"/>
          <w:b/>
          <w:sz w:val="24"/>
        </w:rPr>
        <w:t>for</w:t>
      </w:r>
      <w:r>
        <w:rPr>
          <w:rFonts w:ascii="Arial"/>
          <w:b/>
          <w:spacing w:val="-3"/>
          <w:sz w:val="24"/>
        </w:rPr>
        <w:t> </w:t>
      </w:r>
      <w:r>
        <w:rPr>
          <w:rFonts w:ascii="Arial"/>
          <w:b/>
          <w:sz w:val="24"/>
        </w:rPr>
        <w:t>the</w:t>
      </w:r>
      <w:r>
        <w:rPr>
          <w:rFonts w:ascii="Arial"/>
          <w:b/>
          <w:spacing w:val="-3"/>
          <w:sz w:val="24"/>
        </w:rPr>
        <w:t> </w:t>
      </w:r>
      <w:r>
        <w:rPr>
          <w:rFonts w:ascii="Arial"/>
          <w:b/>
          <w:sz w:val="24"/>
        </w:rPr>
        <w:t>rental</w:t>
      </w:r>
      <w:r>
        <w:rPr>
          <w:rFonts w:ascii="Arial"/>
          <w:b/>
          <w:spacing w:val="-3"/>
          <w:sz w:val="24"/>
        </w:rPr>
        <w:t> </w:t>
      </w:r>
      <w:r>
        <w:rPr>
          <w:rFonts w:ascii="Arial"/>
          <w:b/>
          <w:sz w:val="24"/>
        </w:rPr>
        <w:t>of</w:t>
      </w:r>
      <w:r>
        <w:rPr>
          <w:rFonts w:ascii="Arial"/>
          <w:b/>
          <w:spacing w:val="-3"/>
          <w:sz w:val="24"/>
        </w:rPr>
        <w:t> </w:t>
      </w:r>
      <w:r>
        <w:rPr>
          <w:rFonts w:ascii="Arial"/>
          <w:b/>
          <w:sz w:val="24"/>
        </w:rPr>
        <w:t>your flat </w:t>
      </w:r>
      <w:r>
        <w:rPr>
          <w:sz w:val="24"/>
        </w:rPr>
        <w:t>under the agreed-upon terms.</w:t>
      </w:r>
    </w:p>
    <w:p>
      <w:pPr>
        <w:pStyle w:val="BodyText"/>
      </w:pPr>
    </w:p>
    <w:p>
      <w:pPr>
        <w:pStyle w:val="BodyText"/>
      </w:pPr>
    </w:p>
    <w:p>
      <w:pPr>
        <w:pStyle w:val="BodyText"/>
        <w:spacing w:before="49"/>
      </w:pPr>
    </w:p>
    <w:p>
      <w:pPr>
        <w:pStyle w:val="Heading1"/>
        <w:numPr>
          <w:ilvl w:val="0"/>
          <w:numId w:val="2"/>
        </w:numPr>
        <w:tabs>
          <w:tab w:pos="289" w:val="left" w:leader="none"/>
        </w:tabs>
        <w:spacing w:line="240" w:lineRule="auto" w:before="0" w:after="0"/>
        <w:ind w:left="289" w:right="0" w:hanging="266"/>
        <w:jc w:val="left"/>
      </w:pPr>
      <w:bookmarkStart w:name=" " w:id="9"/>
      <w:bookmarkEnd w:id="9"/>
      <w:r>
        <w:rPr>
          <w:b w:val="0"/>
        </w:rPr>
      </w:r>
      <w:bookmarkStart w:name="3. Consideration " w:id="10"/>
      <w:bookmarkEnd w:id="10"/>
      <w:r>
        <w:rPr>
          <w:b w:val="0"/>
        </w:rPr>
      </w:r>
      <w:r>
        <w:rPr>
          <w:spacing w:val="-2"/>
        </w:rPr>
        <w:t>Consideration</w:t>
      </w:r>
    </w:p>
    <w:p>
      <w:pPr>
        <w:pStyle w:val="BodyText"/>
        <w:spacing w:before="5"/>
        <w:rPr>
          <w:rFonts w:ascii="Arial"/>
          <w:b/>
        </w:rPr>
      </w:pPr>
    </w:p>
    <w:p>
      <w:pPr>
        <w:spacing w:line="276" w:lineRule="auto" w:before="0"/>
        <w:ind w:left="23" w:right="25" w:firstLine="0"/>
        <w:jc w:val="both"/>
        <w:rPr>
          <w:sz w:val="24"/>
        </w:rPr>
      </w:pPr>
      <w:r>
        <w:rPr>
          <w:sz w:val="24"/>
        </w:rPr>
        <w:t>Consideration is a </w:t>
      </w:r>
      <w:r>
        <w:rPr>
          <w:rFonts w:ascii="Arial"/>
          <w:b/>
          <w:sz w:val="24"/>
        </w:rPr>
        <w:t>fundamental requirement </w:t>
      </w:r>
      <w:r>
        <w:rPr>
          <w:sz w:val="24"/>
        </w:rPr>
        <w:t>for a legally enforceable contract. </w:t>
      </w:r>
      <w:r>
        <w:rPr>
          <w:sz w:val="24"/>
        </w:rPr>
        <w:t>Under English contract law, consideration is defined as </w:t>
      </w:r>
      <w:r>
        <w:rPr>
          <w:rFonts w:ascii="Arial"/>
          <w:b/>
          <w:sz w:val="24"/>
        </w:rPr>
        <w:t>something of value exchanged between</w:t>
      </w:r>
      <w:r>
        <w:rPr>
          <w:rFonts w:ascii="Arial"/>
          <w:b/>
          <w:spacing w:val="26"/>
          <w:sz w:val="24"/>
        </w:rPr>
        <w:t>  </w:t>
      </w:r>
      <w:r>
        <w:rPr>
          <w:rFonts w:ascii="Arial"/>
          <w:b/>
          <w:sz w:val="24"/>
        </w:rPr>
        <w:t>the</w:t>
      </w:r>
      <w:r>
        <w:rPr>
          <w:rFonts w:ascii="Arial"/>
          <w:b/>
          <w:spacing w:val="26"/>
          <w:sz w:val="24"/>
        </w:rPr>
        <w:t>  </w:t>
      </w:r>
      <w:r>
        <w:rPr>
          <w:rFonts w:ascii="Arial"/>
          <w:b/>
          <w:sz w:val="24"/>
        </w:rPr>
        <w:t>contracting</w:t>
      </w:r>
      <w:r>
        <w:rPr>
          <w:rFonts w:ascii="Arial"/>
          <w:b/>
          <w:spacing w:val="26"/>
          <w:sz w:val="24"/>
        </w:rPr>
        <w:t>  </w:t>
      </w:r>
      <w:r>
        <w:rPr>
          <w:rFonts w:ascii="Arial"/>
          <w:b/>
          <w:sz w:val="24"/>
        </w:rPr>
        <w:t>parties</w:t>
      </w:r>
      <w:r>
        <w:rPr>
          <w:sz w:val="24"/>
        </w:rPr>
        <w:t>,</w:t>
      </w:r>
      <w:r>
        <w:rPr>
          <w:spacing w:val="26"/>
          <w:sz w:val="24"/>
        </w:rPr>
        <w:t>  </w:t>
      </w:r>
      <w:r>
        <w:rPr>
          <w:sz w:val="24"/>
        </w:rPr>
        <w:t>forming</w:t>
      </w:r>
      <w:r>
        <w:rPr>
          <w:spacing w:val="26"/>
          <w:sz w:val="24"/>
        </w:rPr>
        <w:t>  </w:t>
      </w:r>
      <w:r>
        <w:rPr>
          <w:sz w:val="24"/>
        </w:rPr>
        <w:t>the</w:t>
      </w:r>
      <w:r>
        <w:rPr>
          <w:spacing w:val="26"/>
          <w:sz w:val="24"/>
        </w:rPr>
        <w:t>  </w:t>
      </w:r>
      <w:r>
        <w:rPr>
          <w:sz w:val="24"/>
        </w:rPr>
        <w:t>basis</w:t>
      </w:r>
      <w:r>
        <w:rPr>
          <w:spacing w:val="27"/>
          <w:sz w:val="24"/>
        </w:rPr>
        <w:t>  </w:t>
      </w:r>
      <w:r>
        <w:rPr>
          <w:sz w:val="24"/>
        </w:rPr>
        <w:t>of</w:t>
      </w:r>
      <w:r>
        <w:rPr>
          <w:spacing w:val="26"/>
          <w:sz w:val="24"/>
        </w:rPr>
        <w:t>  </w:t>
      </w:r>
      <w:r>
        <w:rPr>
          <w:sz w:val="24"/>
        </w:rPr>
        <w:t>a</w:t>
      </w:r>
      <w:r>
        <w:rPr>
          <w:spacing w:val="26"/>
          <w:sz w:val="24"/>
        </w:rPr>
        <w:t>  </w:t>
      </w:r>
      <w:r>
        <w:rPr>
          <w:sz w:val="24"/>
        </w:rPr>
        <w:t>binding</w:t>
      </w:r>
      <w:r>
        <w:rPr>
          <w:spacing w:val="71"/>
          <w:w w:val="150"/>
          <w:sz w:val="24"/>
        </w:rPr>
        <w:t> </w:t>
      </w:r>
      <w:r>
        <w:rPr>
          <w:spacing w:val="-2"/>
          <w:sz w:val="24"/>
        </w:rPr>
        <w:t>agreement.</w:t>
      </w:r>
    </w:p>
    <w:p>
      <w:pPr>
        <w:spacing w:after="0" w:line="276" w:lineRule="auto"/>
        <w:jc w:val="both"/>
        <w:rPr>
          <w:sz w:val="24"/>
        </w:rPr>
        <w:sectPr>
          <w:pgSz w:w="12240" w:h="15840"/>
          <w:pgMar w:top="1360" w:bottom="280" w:left="1417" w:right="1417"/>
        </w:sectPr>
      </w:pPr>
    </w:p>
    <w:p>
      <w:pPr>
        <w:pStyle w:val="BodyText"/>
        <w:spacing w:line="276" w:lineRule="auto" w:before="80"/>
        <w:ind w:left="23" w:right="26"/>
        <w:jc w:val="both"/>
      </w:pPr>
      <w:r>
        <w:rPr/>
        <w:t>Consideration ensures that a contract is not merely a promise but</w:t>
      </w:r>
      <w:r>
        <w:rPr>
          <w:spacing w:val="-3"/>
        </w:rPr>
        <w:t> </w:t>
      </w:r>
      <w:r>
        <w:rPr/>
        <w:t>a</w:t>
      </w:r>
      <w:r>
        <w:rPr>
          <w:spacing w:val="-3"/>
        </w:rPr>
        <w:t> </w:t>
      </w:r>
      <w:r>
        <w:rPr/>
        <w:t>legally</w:t>
      </w:r>
      <w:r>
        <w:rPr>
          <w:spacing w:val="-3"/>
        </w:rPr>
        <w:t> </w:t>
      </w:r>
      <w:r>
        <w:rPr/>
        <w:t>enforceable </w:t>
      </w:r>
      <w:r>
        <w:rPr>
          <w:spacing w:val="-2"/>
        </w:rPr>
        <w:t>obligation.</w:t>
      </w:r>
    </w:p>
    <w:p>
      <w:pPr>
        <w:pStyle w:val="Heading1"/>
        <w:jc w:val="both"/>
      </w:pPr>
      <w:bookmarkStart w:name="Definition and Legal Principles of Consi" w:id="11"/>
      <w:bookmarkEnd w:id="11"/>
      <w:r>
        <w:rPr>
          <w:b w:val="0"/>
        </w:rPr>
      </w:r>
      <w:r>
        <w:rPr/>
        <w:t>Definition and Legal Principles of </w:t>
      </w:r>
      <w:r>
        <w:rPr>
          <w:spacing w:val="-2"/>
        </w:rPr>
        <w:t>Consideration</w:t>
      </w:r>
    </w:p>
    <w:p>
      <w:pPr>
        <w:pStyle w:val="BodyText"/>
        <w:spacing w:before="5"/>
        <w:rPr>
          <w:rFonts w:ascii="Arial"/>
          <w:b/>
        </w:rPr>
      </w:pPr>
    </w:p>
    <w:p>
      <w:pPr>
        <w:pStyle w:val="BodyText"/>
        <w:ind w:left="23"/>
        <w:jc w:val="both"/>
      </w:pPr>
      <w:r>
        <w:rPr/>
        <w:t>For consideration to be valid, it must satisfy the following </w:t>
      </w:r>
      <w:r>
        <w:rPr>
          <w:spacing w:val="-2"/>
        </w:rPr>
        <w:t>criteria:</w:t>
      </w:r>
    </w:p>
    <w:p>
      <w:pPr>
        <w:pStyle w:val="BodyText"/>
        <w:spacing w:before="5"/>
      </w:pPr>
    </w:p>
    <w:p>
      <w:pPr>
        <w:pStyle w:val="ListParagraph"/>
        <w:numPr>
          <w:ilvl w:val="0"/>
          <w:numId w:val="3"/>
        </w:numPr>
        <w:tabs>
          <w:tab w:pos="743" w:val="left" w:leader="none"/>
        </w:tabs>
        <w:spacing w:line="276" w:lineRule="auto" w:before="1" w:after="0"/>
        <w:ind w:left="743" w:right="31" w:hanging="360"/>
        <w:jc w:val="both"/>
        <w:rPr>
          <w:sz w:val="24"/>
        </w:rPr>
      </w:pPr>
      <w:r>
        <w:rPr>
          <w:rFonts w:ascii="Arial" w:hAnsi="Arial"/>
          <w:b/>
          <w:sz w:val="24"/>
        </w:rPr>
        <w:t>It must have value </w:t>
      </w:r>
      <w:r>
        <w:rPr>
          <w:sz w:val="24"/>
        </w:rPr>
        <w:t>– Consideration must be something of </w:t>
      </w:r>
      <w:r>
        <w:rPr>
          <w:rFonts w:ascii="Arial" w:hAnsi="Arial"/>
          <w:b/>
          <w:sz w:val="24"/>
        </w:rPr>
        <w:t>economic </w:t>
      </w:r>
      <w:r>
        <w:rPr>
          <w:rFonts w:ascii="Arial" w:hAnsi="Arial"/>
          <w:b/>
          <w:sz w:val="24"/>
        </w:rPr>
        <w:t>or</w:t>
      </w:r>
      <w:r>
        <w:rPr>
          <w:rFonts w:ascii="Arial" w:hAnsi="Arial"/>
          <w:b/>
          <w:spacing w:val="40"/>
          <w:sz w:val="24"/>
        </w:rPr>
        <w:t> </w:t>
      </w:r>
      <w:r>
        <w:rPr>
          <w:rFonts w:ascii="Arial" w:hAnsi="Arial"/>
          <w:b/>
          <w:sz w:val="24"/>
        </w:rPr>
        <w:t>tangible worth</w:t>
      </w:r>
      <w:r>
        <w:rPr>
          <w:sz w:val="24"/>
        </w:rPr>
        <w:t>, The transfer of money along with goods,</w:t>
      </w:r>
      <w:r>
        <w:rPr>
          <w:spacing w:val="-3"/>
          <w:sz w:val="24"/>
        </w:rPr>
        <w:t> </w:t>
      </w:r>
      <w:r>
        <w:rPr>
          <w:sz w:val="24"/>
        </w:rPr>
        <w:t>services</w:t>
      </w:r>
      <w:r>
        <w:rPr>
          <w:spacing w:val="-3"/>
          <w:sz w:val="24"/>
        </w:rPr>
        <w:t> </w:t>
      </w:r>
      <w:r>
        <w:rPr>
          <w:sz w:val="24"/>
        </w:rPr>
        <w:t>and</w:t>
      </w:r>
      <w:r>
        <w:rPr>
          <w:spacing w:val="-3"/>
          <w:sz w:val="24"/>
        </w:rPr>
        <w:t> </w:t>
      </w:r>
      <w:r>
        <w:rPr>
          <w:sz w:val="24"/>
        </w:rPr>
        <w:t>promises of actions or abstention falls under the category of contracts.</w:t>
      </w:r>
    </w:p>
    <w:p>
      <w:pPr>
        <w:pStyle w:val="ListParagraph"/>
        <w:numPr>
          <w:ilvl w:val="0"/>
          <w:numId w:val="3"/>
        </w:numPr>
        <w:tabs>
          <w:tab w:pos="743" w:val="left" w:leader="none"/>
        </w:tabs>
        <w:spacing w:line="276" w:lineRule="auto" w:before="0" w:after="0"/>
        <w:ind w:left="743" w:right="27" w:hanging="360"/>
        <w:jc w:val="both"/>
        <w:rPr>
          <w:sz w:val="24"/>
        </w:rPr>
      </w:pPr>
      <w:r>
        <w:rPr>
          <w:rFonts w:ascii="Arial" w:hAnsi="Arial"/>
          <w:b/>
          <w:sz w:val="24"/>
        </w:rPr>
        <w:t>It must move from the promisee </w:t>
      </w:r>
      <w:r>
        <w:rPr>
          <w:sz w:val="24"/>
        </w:rPr>
        <w:t>– Only those who provide consideration </w:t>
      </w:r>
      <w:r>
        <w:rPr>
          <w:sz w:val="24"/>
        </w:rPr>
        <w:t>can enforce the contract.</w:t>
      </w:r>
    </w:p>
    <w:p>
      <w:pPr>
        <w:pStyle w:val="ListParagraph"/>
        <w:numPr>
          <w:ilvl w:val="0"/>
          <w:numId w:val="3"/>
        </w:numPr>
        <w:tabs>
          <w:tab w:pos="743" w:val="left" w:leader="none"/>
        </w:tabs>
        <w:spacing w:line="276" w:lineRule="auto" w:before="0" w:after="0"/>
        <w:ind w:left="743" w:right="24" w:hanging="360"/>
        <w:jc w:val="both"/>
        <w:rPr>
          <w:sz w:val="24"/>
        </w:rPr>
      </w:pPr>
      <w:r>
        <w:rPr>
          <w:rFonts w:ascii="Arial" w:hAnsi="Arial"/>
          <w:b/>
          <w:sz w:val="24"/>
        </w:rPr>
        <w:t>It must not be past</w:t>
      </w:r>
      <w:r>
        <w:rPr>
          <w:rFonts w:ascii="Arial" w:hAnsi="Arial"/>
          <w:b/>
          <w:spacing w:val="-3"/>
          <w:sz w:val="24"/>
        </w:rPr>
        <w:t> </w:t>
      </w:r>
      <w:r>
        <w:rPr>
          <w:rFonts w:ascii="Arial" w:hAnsi="Arial"/>
          <w:b/>
          <w:sz w:val="24"/>
        </w:rPr>
        <w:t>consideration</w:t>
      </w:r>
      <w:r>
        <w:rPr>
          <w:rFonts w:ascii="Arial" w:hAnsi="Arial"/>
          <w:b/>
          <w:spacing w:val="-3"/>
          <w:sz w:val="24"/>
        </w:rPr>
        <w:t> </w:t>
      </w:r>
      <w:r>
        <w:rPr>
          <w:sz w:val="24"/>
        </w:rPr>
        <w:t>–</w:t>
      </w:r>
      <w:r>
        <w:rPr>
          <w:spacing w:val="-3"/>
          <w:sz w:val="24"/>
        </w:rPr>
        <w:t> </w:t>
      </w:r>
      <w:r>
        <w:rPr>
          <w:sz w:val="24"/>
        </w:rPr>
        <w:t>Consideration</w:t>
      </w:r>
      <w:r>
        <w:rPr>
          <w:spacing w:val="-3"/>
          <w:sz w:val="24"/>
        </w:rPr>
        <w:t> </w:t>
      </w:r>
      <w:r>
        <w:rPr>
          <w:sz w:val="24"/>
        </w:rPr>
        <w:t>must</w:t>
      </w:r>
      <w:r>
        <w:rPr>
          <w:spacing w:val="-3"/>
          <w:sz w:val="24"/>
        </w:rPr>
        <w:t> </w:t>
      </w:r>
      <w:r>
        <w:rPr>
          <w:sz w:val="24"/>
        </w:rPr>
        <w:t>be</w:t>
      </w:r>
      <w:r>
        <w:rPr>
          <w:spacing w:val="-3"/>
          <w:sz w:val="24"/>
        </w:rPr>
        <w:t> </w:t>
      </w:r>
      <w:r>
        <w:rPr>
          <w:sz w:val="24"/>
        </w:rPr>
        <w:t>given</w:t>
      </w:r>
      <w:r>
        <w:rPr>
          <w:spacing w:val="-3"/>
          <w:sz w:val="24"/>
        </w:rPr>
        <w:t> </w:t>
      </w:r>
      <w:r>
        <w:rPr>
          <w:sz w:val="24"/>
        </w:rPr>
        <w:t>in</w:t>
      </w:r>
      <w:r>
        <w:rPr>
          <w:spacing w:val="-3"/>
          <w:sz w:val="24"/>
        </w:rPr>
        <w:t> </w:t>
      </w:r>
      <w:r>
        <w:rPr>
          <w:sz w:val="24"/>
        </w:rPr>
        <w:t>return</w:t>
      </w:r>
      <w:r>
        <w:rPr>
          <w:spacing w:val="-3"/>
          <w:sz w:val="24"/>
        </w:rPr>
        <w:t> </w:t>
      </w:r>
      <w:r>
        <w:rPr>
          <w:sz w:val="24"/>
        </w:rPr>
        <w:t>for</w:t>
      </w:r>
      <w:r>
        <w:rPr>
          <w:spacing w:val="-3"/>
          <w:sz w:val="24"/>
        </w:rPr>
        <w:t> </w:t>
      </w:r>
      <w:r>
        <w:rPr>
          <w:sz w:val="24"/>
        </w:rPr>
        <w:t>a promise, meaning past actions do not constitute valid consideration.</w:t>
      </w:r>
    </w:p>
    <w:p>
      <w:pPr>
        <w:pStyle w:val="ListParagraph"/>
        <w:numPr>
          <w:ilvl w:val="0"/>
          <w:numId w:val="3"/>
        </w:numPr>
        <w:tabs>
          <w:tab w:pos="743" w:val="left" w:leader="none"/>
        </w:tabs>
        <w:spacing w:line="276" w:lineRule="auto" w:before="0" w:after="0"/>
        <w:ind w:left="743" w:right="34" w:hanging="360"/>
        <w:jc w:val="both"/>
        <w:rPr>
          <w:sz w:val="24"/>
        </w:rPr>
      </w:pPr>
      <w:r>
        <w:rPr>
          <w:rFonts w:ascii="Arial" w:hAnsi="Arial"/>
          <w:b/>
          <w:sz w:val="24"/>
        </w:rPr>
        <w:t>It need not be adequate, but it must be sufficient </w:t>
      </w:r>
      <w:r>
        <w:rPr>
          <w:sz w:val="24"/>
        </w:rPr>
        <w:t>– According to law there </w:t>
      </w:r>
      <w:r>
        <w:rPr>
          <w:sz w:val="24"/>
        </w:rPr>
        <w:t>is no need for equal consideration value yet worth must be demonstrable in any </w:t>
      </w:r>
      <w:r>
        <w:rPr>
          <w:spacing w:val="-2"/>
          <w:sz w:val="24"/>
        </w:rPr>
        <w:t>agreement.</w:t>
      </w:r>
    </w:p>
    <w:p>
      <w:pPr>
        <w:pStyle w:val="BodyText"/>
        <w:spacing w:line="276" w:lineRule="auto" w:before="240"/>
        <w:ind w:left="23" w:right="25"/>
        <w:jc w:val="both"/>
      </w:pPr>
      <w:r>
        <w:rPr/>
        <w:t>In</w:t>
      </w:r>
      <w:r>
        <w:rPr>
          <w:spacing w:val="27"/>
        </w:rPr>
        <w:t> </w:t>
      </w:r>
      <w:r>
        <w:rPr/>
        <w:t>this</w:t>
      </w:r>
      <w:r>
        <w:rPr>
          <w:spacing w:val="27"/>
        </w:rPr>
        <w:t> </w:t>
      </w:r>
      <w:r>
        <w:rPr/>
        <w:t>case, my agreement to </w:t>
      </w:r>
      <w:r>
        <w:rPr>
          <w:rFonts w:ascii="Arial" w:hAnsi="Arial"/>
          <w:b/>
        </w:rPr>
        <w:t>pay £500 per month in rent </w:t>
      </w:r>
      <w:r>
        <w:rPr/>
        <w:t>together with the </w:t>
      </w:r>
      <w:r>
        <w:rPr/>
        <w:t>payment of the deposit establishes valid consideration between the parties. The exchange of money completes the legal requirement for consideration by providing the flat tenant's right to occupy the property.</w:t>
      </w:r>
    </w:p>
    <w:p>
      <w:pPr>
        <w:pStyle w:val="BodyText"/>
        <w:spacing w:line="276" w:lineRule="auto" w:before="240"/>
        <w:ind w:left="23" w:right="21"/>
        <w:jc w:val="both"/>
      </w:pPr>
      <w:r>
        <w:rPr>
          <w:rFonts w:ascii="Arial"/>
          <w:b/>
        </w:rPr>
        <w:t>Deposit payments </w:t>
      </w:r>
      <w:r>
        <w:rPr/>
        <w:t>have a well-recognized status as valid consideration within </w:t>
      </w:r>
      <w:r>
        <w:rPr/>
        <w:t>legal contracts. A deposit investment functions beyond its payment status as it creates a legally binding promise for the agreement.</w:t>
      </w:r>
      <w:r>
        <w:rPr>
          <w:spacing w:val="-4"/>
        </w:rPr>
        <w:t> </w:t>
      </w:r>
      <w:r>
        <w:rPr/>
        <w:t>Your</w:t>
      </w:r>
      <w:r>
        <w:rPr>
          <w:spacing w:val="-4"/>
        </w:rPr>
        <w:t> </w:t>
      </w:r>
      <w:r>
        <w:rPr/>
        <w:t>bank</w:t>
      </w:r>
      <w:r>
        <w:rPr>
          <w:spacing w:val="-4"/>
        </w:rPr>
        <w:t> </w:t>
      </w:r>
      <w:r>
        <w:rPr/>
        <w:t>transfer</w:t>
      </w:r>
      <w:r>
        <w:rPr>
          <w:spacing w:val="-4"/>
        </w:rPr>
        <w:t> </w:t>
      </w:r>
      <w:r>
        <w:rPr/>
        <w:t>of</w:t>
      </w:r>
      <w:r>
        <w:rPr>
          <w:spacing w:val="-4"/>
        </w:rPr>
        <w:t> </w:t>
      </w:r>
      <w:r>
        <w:rPr/>
        <w:t>the</w:t>
      </w:r>
      <w:r>
        <w:rPr>
          <w:spacing w:val="-4"/>
        </w:rPr>
        <w:t> </w:t>
      </w:r>
      <w:r>
        <w:rPr/>
        <w:t>deposit</w:t>
      </w:r>
      <w:r>
        <w:rPr>
          <w:spacing w:val="-4"/>
        </w:rPr>
        <w:t> </w:t>
      </w:r>
      <w:r>
        <w:rPr/>
        <w:t>shows</w:t>
      </w:r>
      <w:r>
        <w:rPr>
          <w:spacing w:val="-4"/>
        </w:rPr>
        <w:t> </w:t>
      </w:r>
      <w:r>
        <w:rPr/>
        <w:t>both my contractual commitment and establishes a financial responsibility</w:t>
      </w:r>
      <w:r>
        <w:rPr>
          <w:spacing w:val="-3"/>
        </w:rPr>
        <w:t> </w:t>
      </w:r>
      <w:r>
        <w:rPr/>
        <w:t>through</w:t>
      </w:r>
      <w:r>
        <w:rPr>
          <w:spacing w:val="-3"/>
        </w:rPr>
        <w:t> </w:t>
      </w:r>
      <w:r>
        <w:rPr/>
        <w:t>which</w:t>
      </w:r>
      <w:r>
        <w:rPr>
          <w:spacing w:val="-3"/>
        </w:rPr>
        <w:t> </w:t>
      </w:r>
      <w:r>
        <w:rPr/>
        <w:t>our agreement becomes stronger.</w:t>
      </w:r>
    </w:p>
    <w:p>
      <w:pPr>
        <w:pStyle w:val="Heading1"/>
        <w:jc w:val="both"/>
      </w:pPr>
      <w:bookmarkStart w:name="Relevant Case Law " w:id="12"/>
      <w:bookmarkEnd w:id="12"/>
      <w:r>
        <w:rPr>
          <w:b w:val="0"/>
        </w:rPr>
      </w:r>
      <w:r>
        <w:rPr/>
        <w:t>Relevant Case </w:t>
      </w:r>
      <w:r>
        <w:rPr>
          <w:spacing w:val="-5"/>
        </w:rPr>
        <w:t>Law</w:t>
      </w:r>
    </w:p>
    <w:p>
      <w:pPr>
        <w:pStyle w:val="BodyText"/>
        <w:spacing w:before="5"/>
        <w:rPr>
          <w:rFonts w:ascii="Arial"/>
          <w:b/>
        </w:rPr>
      </w:pPr>
    </w:p>
    <w:p>
      <w:pPr>
        <w:spacing w:line="276" w:lineRule="auto" w:before="0"/>
        <w:ind w:left="23" w:right="22" w:firstLine="0"/>
        <w:jc w:val="both"/>
        <w:rPr>
          <w:sz w:val="24"/>
        </w:rPr>
      </w:pPr>
      <w:r>
        <w:rPr>
          <w:sz w:val="24"/>
        </w:rPr>
        <w:t>The principle</w:t>
      </w:r>
      <w:r>
        <w:rPr>
          <w:spacing w:val="-3"/>
          <w:sz w:val="24"/>
        </w:rPr>
        <w:t> </w:t>
      </w:r>
      <w:r>
        <w:rPr>
          <w:sz w:val="24"/>
        </w:rPr>
        <w:t>that</w:t>
      </w:r>
      <w:r>
        <w:rPr>
          <w:spacing w:val="-3"/>
          <w:sz w:val="24"/>
        </w:rPr>
        <w:t> </w:t>
      </w:r>
      <w:r>
        <w:rPr>
          <w:sz w:val="24"/>
        </w:rPr>
        <w:t>consideration</w:t>
      </w:r>
      <w:r>
        <w:rPr>
          <w:spacing w:val="-3"/>
          <w:sz w:val="24"/>
        </w:rPr>
        <w:t> </w:t>
      </w:r>
      <w:r>
        <w:rPr>
          <w:sz w:val="24"/>
        </w:rPr>
        <w:t>must</w:t>
      </w:r>
      <w:r>
        <w:rPr>
          <w:spacing w:val="-3"/>
          <w:sz w:val="24"/>
        </w:rPr>
        <w:t> </w:t>
      </w:r>
      <w:r>
        <w:rPr>
          <w:sz w:val="24"/>
        </w:rPr>
        <w:t>be</w:t>
      </w:r>
      <w:r>
        <w:rPr>
          <w:spacing w:val="-3"/>
          <w:sz w:val="24"/>
        </w:rPr>
        <w:t> </w:t>
      </w:r>
      <w:r>
        <w:rPr>
          <w:rFonts w:ascii="Arial" w:hAnsi="Arial"/>
          <w:b/>
          <w:sz w:val="24"/>
        </w:rPr>
        <w:t>present</w:t>
      </w:r>
      <w:r>
        <w:rPr>
          <w:rFonts w:ascii="Arial" w:hAnsi="Arial"/>
          <w:b/>
          <w:spacing w:val="-3"/>
          <w:sz w:val="24"/>
        </w:rPr>
        <w:t> </w:t>
      </w:r>
      <w:r>
        <w:rPr>
          <w:rFonts w:ascii="Arial" w:hAnsi="Arial"/>
          <w:b/>
          <w:sz w:val="24"/>
        </w:rPr>
        <w:t>for</w:t>
      </w:r>
      <w:r>
        <w:rPr>
          <w:rFonts w:ascii="Arial" w:hAnsi="Arial"/>
          <w:b/>
          <w:spacing w:val="-3"/>
          <w:sz w:val="24"/>
        </w:rPr>
        <w:t> </w:t>
      </w:r>
      <w:r>
        <w:rPr>
          <w:rFonts w:ascii="Arial" w:hAnsi="Arial"/>
          <w:b/>
          <w:sz w:val="24"/>
        </w:rPr>
        <w:t>a</w:t>
      </w:r>
      <w:r>
        <w:rPr>
          <w:rFonts w:ascii="Arial" w:hAnsi="Arial"/>
          <w:b/>
          <w:spacing w:val="-3"/>
          <w:sz w:val="24"/>
        </w:rPr>
        <w:t> </w:t>
      </w:r>
      <w:r>
        <w:rPr>
          <w:rFonts w:ascii="Arial" w:hAnsi="Arial"/>
          <w:b/>
          <w:sz w:val="24"/>
        </w:rPr>
        <w:t>contract</w:t>
      </w:r>
      <w:r>
        <w:rPr>
          <w:rFonts w:ascii="Arial" w:hAnsi="Arial"/>
          <w:b/>
          <w:spacing w:val="-3"/>
          <w:sz w:val="24"/>
        </w:rPr>
        <w:t> </w:t>
      </w:r>
      <w:r>
        <w:rPr>
          <w:rFonts w:ascii="Arial" w:hAnsi="Arial"/>
          <w:b/>
          <w:sz w:val="24"/>
        </w:rPr>
        <w:t>to</w:t>
      </w:r>
      <w:r>
        <w:rPr>
          <w:rFonts w:ascii="Arial" w:hAnsi="Arial"/>
          <w:b/>
          <w:spacing w:val="-3"/>
          <w:sz w:val="24"/>
        </w:rPr>
        <w:t> </w:t>
      </w:r>
      <w:r>
        <w:rPr>
          <w:rFonts w:ascii="Arial" w:hAnsi="Arial"/>
          <w:b/>
          <w:sz w:val="24"/>
        </w:rPr>
        <w:t>be</w:t>
      </w:r>
      <w:r>
        <w:rPr>
          <w:rFonts w:ascii="Arial" w:hAnsi="Arial"/>
          <w:b/>
          <w:spacing w:val="-3"/>
          <w:sz w:val="24"/>
        </w:rPr>
        <w:t> </w:t>
      </w:r>
      <w:r>
        <w:rPr>
          <w:rFonts w:ascii="Arial" w:hAnsi="Arial"/>
          <w:b/>
          <w:sz w:val="24"/>
        </w:rPr>
        <w:t>enforceable</w:t>
      </w:r>
      <w:r>
        <w:rPr>
          <w:rFonts w:ascii="Arial" w:hAnsi="Arial"/>
          <w:b/>
          <w:spacing w:val="-3"/>
          <w:sz w:val="24"/>
        </w:rPr>
        <w:t> </w:t>
      </w:r>
      <w:r>
        <w:rPr>
          <w:sz w:val="24"/>
        </w:rPr>
        <w:t>was firmly established in </w:t>
      </w:r>
      <w:r>
        <w:rPr>
          <w:rFonts w:ascii="Arial" w:hAnsi="Arial"/>
          <w:b/>
          <w:sz w:val="24"/>
        </w:rPr>
        <w:t>Dunlop Pneumatic Tyre Co Ltd v Selfridge &amp;</w:t>
      </w:r>
      <w:r>
        <w:rPr>
          <w:rFonts w:ascii="Arial" w:hAnsi="Arial"/>
          <w:b/>
          <w:spacing w:val="-3"/>
          <w:sz w:val="24"/>
        </w:rPr>
        <w:t> </w:t>
      </w:r>
      <w:r>
        <w:rPr>
          <w:rFonts w:ascii="Arial" w:hAnsi="Arial"/>
          <w:b/>
          <w:sz w:val="24"/>
        </w:rPr>
        <w:t>Co</w:t>
      </w:r>
      <w:r>
        <w:rPr>
          <w:rFonts w:ascii="Arial" w:hAnsi="Arial"/>
          <w:b/>
          <w:spacing w:val="-3"/>
          <w:sz w:val="24"/>
        </w:rPr>
        <w:t> </w:t>
      </w:r>
      <w:r>
        <w:rPr>
          <w:rFonts w:ascii="Arial" w:hAnsi="Arial"/>
          <w:b/>
          <w:sz w:val="24"/>
        </w:rPr>
        <w:t>Ltd</w:t>
      </w:r>
      <w:r>
        <w:rPr>
          <w:rFonts w:ascii="Arial" w:hAnsi="Arial"/>
          <w:b/>
          <w:spacing w:val="-3"/>
          <w:sz w:val="24"/>
        </w:rPr>
        <w:t> </w:t>
      </w:r>
      <w:r>
        <w:rPr>
          <w:rFonts w:ascii="Arial" w:hAnsi="Arial"/>
          <w:b/>
          <w:sz w:val="24"/>
        </w:rPr>
        <w:t>[1915]</w:t>
      </w:r>
      <w:r>
        <w:rPr>
          <w:rFonts w:ascii="Arial" w:hAnsi="Arial"/>
          <w:b/>
          <w:spacing w:val="-3"/>
          <w:sz w:val="24"/>
        </w:rPr>
        <w:t> </w:t>
      </w:r>
      <w:r>
        <w:rPr>
          <w:rFonts w:ascii="Arial" w:hAnsi="Arial"/>
          <w:b/>
          <w:sz w:val="24"/>
        </w:rPr>
        <w:t>AC 847</w:t>
      </w:r>
      <w:r>
        <w:rPr>
          <w:sz w:val="24"/>
        </w:rPr>
        <w:t>, where the court emphasized that every contract must involve</w:t>
      </w:r>
      <w:r>
        <w:rPr>
          <w:spacing w:val="-3"/>
          <w:sz w:val="24"/>
        </w:rPr>
        <w:t> </w:t>
      </w:r>
      <w:r>
        <w:rPr>
          <w:rFonts w:ascii="Arial" w:hAnsi="Arial"/>
          <w:b/>
          <w:sz w:val="24"/>
        </w:rPr>
        <w:t>a</w:t>
      </w:r>
      <w:r>
        <w:rPr>
          <w:rFonts w:ascii="Arial" w:hAnsi="Arial"/>
          <w:b/>
          <w:spacing w:val="-3"/>
          <w:sz w:val="24"/>
        </w:rPr>
        <w:t> </w:t>
      </w:r>
      <w:r>
        <w:rPr>
          <w:rFonts w:ascii="Arial" w:hAnsi="Arial"/>
          <w:b/>
          <w:sz w:val="24"/>
        </w:rPr>
        <w:t>mutual</w:t>
      </w:r>
      <w:r>
        <w:rPr>
          <w:rFonts w:ascii="Arial" w:hAnsi="Arial"/>
          <w:b/>
          <w:spacing w:val="-3"/>
          <w:sz w:val="24"/>
        </w:rPr>
        <w:t> </w:t>
      </w:r>
      <w:r>
        <w:rPr>
          <w:rFonts w:ascii="Arial" w:hAnsi="Arial"/>
          <w:b/>
          <w:sz w:val="24"/>
        </w:rPr>
        <w:t>exchange of value</w:t>
      </w:r>
      <w:r>
        <w:rPr>
          <w:sz w:val="24"/>
        </w:rPr>
        <w:t>. In this case, my </w:t>
      </w:r>
      <w:r>
        <w:rPr>
          <w:rFonts w:ascii="Arial" w:hAnsi="Arial"/>
          <w:b/>
          <w:sz w:val="24"/>
        </w:rPr>
        <w:t>financial commitments</w:t>
      </w:r>
      <w:r>
        <w:rPr>
          <w:sz w:val="24"/>
        </w:rPr>
        <w:t>—agreeing to pay rent and transferring a deposit—constitute valid consideration, reinforcing the legally binding nature of our agreement.</w:t>
      </w:r>
    </w:p>
    <w:p>
      <w:pPr>
        <w:pStyle w:val="BodyText"/>
        <w:spacing w:line="276" w:lineRule="auto" w:before="240"/>
        <w:ind w:left="23" w:right="22"/>
        <w:jc w:val="both"/>
      </w:pPr>
      <w:r>
        <w:rPr/>
        <w:t>The definition of consideration according to </w:t>
      </w:r>
      <w:r>
        <w:rPr>
          <w:rFonts w:ascii="Arial"/>
          <w:b/>
        </w:rPr>
        <w:t>Currie v Misa [1875] LR 10 Ex </w:t>
      </w:r>
      <w:r>
        <w:rPr>
          <w:rFonts w:ascii="Arial"/>
          <w:b/>
        </w:rPr>
        <w:t>153 </w:t>
      </w:r>
      <w:r>
        <w:rPr/>
        <w:t>explains it as a benefit received by one party together with a corresponding detriment</w:t>
      </w:r>
      <w:r>
        <w:rPr>
          <w:spacing w:val="40"/>
        </w:rPr>
        <w:t> </w:t>
      </w:r>
      <w:r>
        <w:rPr/>
        <w:t>for</w:t>
      </w:r>
      <w:r>
        <w:rPr>
          <w:spacing w:val="55"/>
        </w:rPr>
        <w:t> </w:t>
      </w:r>
      <w:r>
        <w:rPr/>
        <w:t>another.</w:t>
      </w:r>
      <w:r>
        <w:rPr>
          <w:spacing w:val="58"/>
        </w:rPr>
        <w:t> </w:t>
      </w:r>
      <w:r>
        <w:rPr/>
        <w:t>Both</w:t>
      </w:r>
      <w:r>
        <w:rPr>
          <w:spacing w:val="58"/>
        </w:rPr>
        <w:t> </w:t>
      </w:r>
      <w:r>
        <w:rPr/>
        <w:t>parties</w:t>
      </w:r>
      <w:r>
        <w:rPr>
          <w:spacing w:val="58"/>
        </w:rPr>
        <w:t> </w:t>
      </w:r>
      <w:r>
        <w:rPr/>
        <w:t>entering</w:t>
      </w:r>
      <w:r>
        <w:rPr>
          <w:spacing w:val="58"/>
        </w:rPr>
        <w:t> </w:t>
      </w:r>
      <w:r>
        <w:rPr/>
        <w:t>into</w:t>
      </w:r>
      <w:r>
        <w:rPr>
          <w:spacing w:val="58"/>
        </w:rPr>
        <w:t> </w:t>
      </w:r>
      <w:r>
        <w:rPr/>
        <w:t>the</w:t>
      </w:r>
      <w:r>
        <w:rPr>
          <w:spacing w:val="58"/>
        </w:rPr>
        <w:t> </w:t>
      </w:r>
      <w:r>
        <w:rPr/>
        <w:t>rent</w:t>
      </w:r>
      <w:r>
        <w:rPr>
          <w:spacing w:val="58"/>
        </w:rPr>
        <w:t> </w:t>
      </w:r>
      <w:r>
        <w:rPr/>
        <w:t>obligation</w:t>
      </w:r>
      <w:r>
        <w:rPr>
          <w:spacing w:val="58"/>
        </w:rPr>
        <w:t> </w:t>
      </w:r>
      <w:r>
        <w:rPr/>
        <w:t>and</w:t>
      </w:r>
      <w:r>
        <w:rPr>
          <w:spacing w:val="57"/>
        </w:rPr>
        <w:t> </w:t>
      </w:r>
      <w:r>
        <w:rPr/>
        <w:t>promise</w:t>
      </w:r>
      <w:r>
        <w:rPr>
          <w:spacing w:val="43"/>
        </w:rPr>
        <w:t> </w:t>
      </w:r>
      <w:r>
        <w:rPr/>
        <w:t>to</w:t>
      </w:r>
      <w:r>
        <w:rPr>
          <w:spacing w:val="43"/>
        </w:rPr>
        <w:t> </w:t>
      </w:r>
      <w:r>
        <w:rPr/>
        <w:t>lease</w:t>
      </w:r>
      <w:r>
        <w:rPr>
          <w:spacing w:val="44"/>
        </w:rPr>
        <w:t> </w:t>
      </w:r>
      <w:r>
        <w:rPr>
          <w:spacing w:val="-5"/>
        </w:rPr>
        <w:t>the</w:t>
      </w:r>
    </w:p>
    <w:p>
      <w:pPr>
        <w:pStyle w:val="BodyText"/>
        <w:spacing w:after="0" w:line="276" w:lineRule="auto"/>
        <w:jc w:val="both"/>
        <w:sectPr>
          <w:pgSz w:w="12240" w:h="15840"/>
          <w:pgMar w:top="1360" w:bottom="280" w:left="1417" w:right="1417"/>
        </w:sectPr>
      </w:pPr>
    </w:p>
    <w:p>
      <w:pPr>
        <w:pStyle w:val="BodyText"/>
        <w:spacing w:line="276" w:lineRule="auto" w:before="80"/>
        <w:ind w:left="23" w:right="29"/>
        <w:jc w:val="both"/>
      </w:pPr>
      <w:r>
        <w:rPr/>
        <w:t>property satisfy the consideration requirement which demonstrates valid </w:t>
      </w:r>
      <w:r>
        <w:rPr/>
        <w:t>contractual </w:t>
      </w:r>
      <w:r>
        <w:rPr>
          <w:spacing w:val="-2"/>
        </w:rPr>
        <w:t>agreement.</w:t>
      </w:r>
    </w:p>
    <w:p>
      <w:pPr>
        <w:spacing w:line="276" w:lineRule="auto" w:before="240"/>
        <w:ind w:left="23" w:right="23" w:firstLine="0"/>
        <w:jc w:val="both"/>
        <w:rPr>
          <w:sz w:val="24"/>
        </w:rPr>
      </w:pPr>
      <w:r>
        <w:rPr>
          <w:sz w:val="24"/>
        </w:rPr>
        <w:t>Furthermore, in </w:t>
      </w:r>
      <w:r>
        <w:rPr>
          <w:rFonts w:ascii="Arial"/>
          <w:b/>
          <w:sz w:val="24"/>
        </w:rPr>
        <w:t>Thomas v Thomas</w:t>
      </w:r>
      <w:r>
        <w:rPr>
          <w:rFonts w:ascii="Arial"/>
          <w:b/>
          <w:spacing w:val="-3"/>
          <w:sz w:val="24"/>
        </w:rPr>
        <w:t> </w:t>
      </w:r>
      <w:r>
        <w:rPr>
          <w:rFonts w:ascii="Arial"/>
          <w:b/>
          <w:sz w:val="24"/>
        </w:rPr>
        <w:t>[1842]</w:t>
      </w:r>
      <w:r>
        <w:rPr>
          <w:rFonts w:ascii="Arial"/>
          <w:b/>
          <w:spacing w:val="-3"/>
          <w:sz w:val="24"/>
        </w:rPr>
        <w:t> </w:t>
      </w:r>
      <w:r>
        <w:rPr>
          <w:rFonts w:ascii="Arial"/>
          <w:b/>
          <w:sz w:val="24"/>
        </w:rPr>
        <w:t>2</w:t>
      </w:r>
      <w:r>
        <w:rPr>
          <w:rFonts w:ascii="Arial"/>
          <w:b/>
          <w:spacing w:val="-3"/>
          <w:sz w:val="24"/>
        </w:rPr>
        <w:t> </w:t>
      </w:r>
      <w:r>
        <w:rPr>
          <w:rFonts w:ascii="Arial"/>
          <w:b/>
          <w:sz w:val="24"/>
        </w:rPr>
        <w:t>QB</w:t>
      </w:r>
      <w:r>
        <w:rPr>
          <w:rFonts w:ascii="Arial"/>
          <w:b/>
          <w:spacing w:val="-3"/>
          <w:sz w:val="24"/>
        </w:rPr>
        <w:t> </w:t>
      </w:r>
      <w:r>
        <w:rPr>
          <w:rFonts w:ascii="Arial"/>
          <w:b/>
          <w:sz w:val="24"/>
        </w:rPr>
        <w:t>851</w:t>
      </w:r>
      <w:r>
        <w:rPr>
          <w:sz w:val="24"/>
        </w:rPr>
        <w:t>,</w:t>
      </w:r>
      <w:r>
        <w:rPr>
          <w:spacing w:val="-3"/>
          <w:sz w:val="24"/>
        </w:rPr>
        <w:t> </w:t>
      </w:r>
      <w:r>
        <w:rPr>
          <w:sz w:val="24"/>
        </w:rPr>
        <w:t>the</w:t>
      </w:r>
      <w:r>
        <w:rPr>
          <w:spacing w:val="-3"/>
          <w:sz w:val="24"/>
        </w:rPr>
        <w:t> </w:t>
      </w:r>
      <w:r>
        <w:rPr>
          <w:sz w:val="24"/>
        </w:rPr>
        <w:t>court</w:t>
      </w:r>
      <w:r>
        <w:rPr>
          <w:spacing w:val="-3"/>
          <w:sz w:val="24"/>
        </w:rPr>
        <w:t> </w:t>
      </w:r>
      <w:r>
        <w:rPr>
          <w:sz w:val="24"/>
        </w:rPr>
        <w:t>ruled</w:t>
      </w:r>
      <w:r>
        <w:rPr>
          <w:spacing w:val="-3"/>
          <w:sz w:val="24"/>
        </w:rPr>
        <w:t> </w:t>
      </w:r>
      <w:r>
        <w:rPr>
          <w:sz w:val="24"/>
        </w:rPr>
        <w:t>that</w:t>
      </w:r>
      <w:r>
        <w:rPr>
          <w:spacing w:val="-3"/>
          <w:sz w:val="24"/>
        </w:rPr>
        <w:t> </w:t>
      </w:r>
      <w:r>
        <w:rPr>
          <w:sz w:val="24"/>
        </w:rPr>
        <w:t>even</w:t>
      </w:r>
      <w:r>
        <w:rPr>
          <w:spacing w:val="-3"/>
          <w:sz w:val="24"/>
        </w:rPr>
        <w:t> </w:t>
      </w:r>
      <w:r>
        <w:rPr>
          <w:sz w:val="24"/>
        </w:rPr>
        <w:t>nominal consideration is sufficient to enforce a contract, as long as something of </w:t>
      </w:r>
      <w:r>
        <w:rPr>
          <w:rFonts w:ascii="Arial"/>
          <w:b/>
          <w:sz w:val="24"/>
        </w:rPr>
        <w:t>real value is exchanged</w:t>
      </w:r>
      <w:r>
        <w:rPr>
          <w:sz w:val="24"/>
        </w:rPr>
        <w:t>. The fact that my deposit and rent payments are </w:t>
      </w:r>
      <w:r>
        <w:rPr>
          <w:rFonts w:ascii="Arial"/>
          <w:b/>
          <w:sz w:val="24"/>
        </w:rPr>
        <w:t>significant financial commitments </w:t>
      </w:r>
      <w:r>
        <w:rPr>
          <w:sz w:val="24"/>
        </w:rPr>
        <w:t>makes the consideration in our agreement </w:t>
      </w:r>
      <w:r>
        <w:rPr>
          <w:rFonts w:ascii="Arial"/>
          <w:b/>
          <w:sz w:val="24"/>
        </w:rPr>
        <w:t>strong and indisputable</w:t>
      </w:r>
      <w:r>
        <w:rPr>
          <w:sz w:val="24"/>
        </w:rPr>
        <w:t>.</w:t>
      </w:r>
    </w:p>
    <w:p>
      <w:pPr>
        <w:pStyle w:val="Heading1"/>
        <w:jc w:val="both"/>
      </w:pPr>
      <w:bookmarkStart w:name="Conclusion on Consideration " w:id="13"/>
      <w:bookmarkEnd w:id="13"/>
      <w:r>
        <w:rPr>
          <w:b w:val="0"/>
        </w:rPr>
      </w:r>
      <w:r>
        <w:rPr/>
        <w:t>Conclusion on </w:t>
      </w:r>
      <w:r>
        <w:rPr>
          <w:spacing w:val="-2"/>
        </w:rPr>
        <w:t>Consideration</w:t>
      </w:r>
    </w:p>
    <w:p>
      <w:pPr>
        <w:pStyle w:val="BodyText"/>
        <w:spacing w:before="5"/>
        <w:rPr>
          <w:rFonts w:ascii="Arial"/>
          <w:b/>
        </w:rPr>
      </w:pPr>
    </w:p>
    <w:p>
      <w:pPr>
        <w:spacing w:line="276" w:lineRule="auto" w:before="0"/>
        <w:ind w:left="23" w:right="22" w:firstLine="0"/>
        <w:jc w:val="both"/>
        <w:rPr>
          <w:sz w:val="24"/>
        </w:rPr>
      </w:pPr>
      <w:r>
        <w:rPr>
          <w:sz w:val="24"/>
        </w:rPr>
        <w:t>Based on well-established legal principles and case law, my </w:t>
      </w:r>
      <w:r>
        <w:rPr>
          <w:rFonts w:ascii="Arial"/>
          <w:b/>
          <w:sz w:val="24"/>
        </w:rPr>
        <w:t>deposit payment </w:t>
      </w:r>
      <w:r>
        <w:rPr>
          <w:rFonts w:ascii="Arial"/>
          <w:b/>
          <w:sz w:val="24"/>
        </w:rPr>
        <w:t>and monthly rent obligation </w:t>
      </w:r>
      <w:r>
        <w:rPr>
          <w:sz w:val="24"/>
        </w:rPr>
        <w:t>constitute </w:t>
      </w:r>
      <w:r>
        <w:rPr>
          <w:rFonts w:ascii="Arial"/>
          <w:b/>
          <w:sz w:val="24"/>
        </w:rPr>
        <w:t>valid, enforceable consideration</w:t>
      </w:r>
      <w:r>
        <w:rPr>
          <w:sz w:val="24"/>
        </w:rPr>
        <w:t>.</w:t>
      </w:r>
      <w:r>
        <w:rPr>
          <w:spacing w:val="-4"/>
          <w:sz w:val="24"/>
        </w:rPr>
        <w:t> </w:t>
      </w:r>
      <w:r>
        <w:rPr>
          <w:sz w:val="24"/>
        </w:rPr>
        <w:t>This</w:t>
      </w:r>
      <w:r>
        <w:rPr>
          <w:spacing w:val="-4"/>
          <w:sz w:val="24"/>
        </w:rPr>
        <w:t> </w:t>
      </w:r>
      <w:r>
        <w:rPr>
          <w:sz w:val="24"/>
        </w:rPr>
        <w:t>element</w:t>
      </w:r>
      <w:r>
        <w:rPr>
          <w:spacing w:val="-4"/>
          <w:sz w:val="24"/>
        </w:rPr>
        <w:t> </w:t>
      </w:r>
      <w:r>
        <w:rPr>
          <w:sz w:val="24"/>
        </w:rPr>
        <w:t>of contract formation is therefore</w:t>
      </w:r>
      <w:r>
        <w:rPr>
          <w:spacing w:val="-4"/>
          <w:sz w:val="24"/>
        </w:rPr>
        <w:t> </w:t>
      </w:r>
      <w:r>
        <w:rPr>
          <w:rFonts w:ascii="Arial"/>
          <w:b/>
          <w:sz w:val="24"/>
        </w:rPr>
        <w:t>clearly</w:t>
      </w:r>
      <w:r>
        <w:rPr>
          <w:rFonts w:ascii="Arial"/>
          <w:b/>
          <w:spacing w:val="-4"/>
          <w:sz w:val="24"/>
        </w:rPr>
        <w:t> </w:t>
      </w:r>
      <w:r>
        <w:rPr>
          <w:rFonts w:ascii="Arial"/>
          <w:b/>
          <w:sz w:val="24"/>
        </w:rPr>
        <w:t>satisfied</w:t>
      </w:r>
      <w:r>
        <w:rPr>
          <w:sz w:val="24"/>
        </w:rPr>
        <w:t>,</w:t>
      </w:r>
      <w:r>
        <w:rPr>
          <w:spacing w:val="-4"/>
          <w:sz w:val="24"/>
        </w:rPr>
        <w:t> </w:t>
      </w:r>
      <w:r>
        <w:rPr>
          <w:sz w:val="24"/>
        </w:rPr>
        <w:t>reinforcing</w:t>
      </w:r>
      <w:r>
        <w:rPr>
          <w:spacing w:val="-4"/>
          <w:sz w:val="24"/>
        </w:rPr>
        <w:t> </w:t>
      </w:r>
      <w:r>
        <w:rPr>
          <w:sz w:val="24"/>
        </w:rPr>
        <w:t>the</w:t>
      </w:r>
      <w:r>
        <w:rPr>
          <w:spacing w:val="-4"/>
          <w:sz w:val="24"/>
        </w:rPr>
        <w:t> </w:t>
      </w:r>
      <w:r>
        <w:rPr>
          <w:sz w:val="24"/>
        </w:rPr>
        <w:t>legally</w:t>
      </w:r>
      <w:r>
        <w:rPr>
          <w:spacing w:val="-4"/>
          <w:sz w:val="24"/>
        </w:rPr>
        <w:t> </w:t>
      </w:r>
      <w:r>
        <w:rPr>
          <w:sz w:val="24"/>
        </w:rPr>
        <w:t>binding</w:t>
      </w:r>
      <w:r>
        <w:rPr>
          <w:spacing w:val="-4"/>
          <w:sz w:val="24"/>
        </w:rPr>
        <w:t> </w:t>
      </w:r>
      <w:r>
        <w:rPr>
          <w:sz w:val="24"/>
        </w:rPr>
        <w:t>nature</w:t>
      </w:r>
      <w:r>
        <w:rPr>
          <w:spacing w:val="-4"/>
          <w:sz w:val="24"/>
        </w:rPr>
        <w:t> </w:t>
      </w:r>
      <w:r>
        <w:rPr>
          <w:sz w:val="24"/>
        </w:rPr>
        <w:t>of our tenancy agreement.</w:t>
      </w:r>
    </w:p>
    <w:p>
      <w:pPr>
        <w:pStyle w:val="BodyText"/>
      </w:pPr>
    </w:p>
    <w:p>
      <w:pPr>
        <w:pStyle w:val="BodyText"/>
      </w:pPr>
    </w:p>
    <w:p>
      <w:pPr>
        <w:pStyle w:val="BodyText"/>
        <w:spacing w:before="9"/>
      </w:pPr>
    </w:p>
    <w:p>
      <w:pPr>
        <w:pStyle w:val="Heading1"/>
        <w:numPr>
          <w:ilvl w:val="0"/>
          <w:numId w:val="2"/>
        </w:numPr>
        <w:tabs>
          <w:tab w:pos="289" w:val="left" w:leader="none"/>
        </w:tabs>
        <w:spacing w:line="240" w:lineRule="auto" w:before="1" w:after="0"/>
        <w:ind w:left="289" w:right="0" w:hanging="266"/>
        <w:jc w:val="left"/>
      </w:pPr>
      <w:bookmarkStart w:name="4. Intention to Create Legal Relations " w:id="14"/>
      <w:bookmarkEnd w:id="14"/>
      <w:r>
        <w:rPr>
          <w:b w:val="0"/>
        </w:rPr>
      </w:r>
      <w:r>
        <w:rPr/>
        <w:t>Intention to Create Legal </w:t>
      </w:r>
      <w:r>
        <w:rPr>
          <w:spacing w:val="-2"/>
        </w:rPr>
        <w:t>Relations</w:t>
      </w:r>
    </w:p>
    <w:p>
      <w:pPr>
        <w:pStyle w:val="BodyText"/>
        <w:spacing w:before="5"/>
        <w:rPr>
          <w:rFonts w:ascii="Arial"/>
          <w:b/>
        </w:rPr>
      </w:pPr>
    </w:p>
    <w:p>
      <w:pPr>
        <w:spacing w:line="276" w:lineRule="auto" w:before="0"/>
        <w:ind w:left="23" w:right="30" w:firstLine="0"/>
        <w:jc w:val="both"/>
        <w:rPr>
          <w:sz w:val="24"/>
        </w:rPr>
      </w:pPr>
      <w:r>
        <w:rPr>
          <w:sz w:val="24"/>
        </w:rPr>
        <w:t>For a contract to be legally binding, both parties must demonstrate an </w:t>
      </w:r>
      <w:r>
        <w:rPr>
          <w:rFonts w:ascii="Arial"/>
          <w:b/>
          <w:sz w:val="24"/>
        </w:rPr>
        <w:t>intention </w:t>
      </w:r>
      <w:r>
        <w:rPr>
          <w:rFonts w:ascii="Arial"/>
          <w:b/>
          <w:sz w:val="24"/>
        </w:rPr>
        <w:t>to create legal relations</w:t>
      </w:r>
      <w:r>
        <w:rPr>
          <w:sz w:val="24"/>
        </w:rPr>
        <w:t>. The law distinguishes between:</w:t>
      </w:r>
    </w:p>
    <w:p>
      <w:pPr>
        <w:pStyle w:val="ListParagraph"/>
        <w:numPr>
          <w:ilvl w:val="0"/>
          <w:numId w:val="4"/>
        </w:numPr>
        <w:tabs>
          <w:tab w:pos="743" w:val="left" w:leader="none"/>
        </w:tabs>
        <w:spacing w:line="276" w:lineRule="auto" w:before="240" w:after="0"/>
        <w:ind w:left="743" w:right="25" w:hanging="360"/>
        <w:jc w:val="left"/>
        <w:rPr>
          <w:sz w:val="24"/>
        </w:rPr>
      </w:pPr>
      <w:r>
        <w:rPr>
          <w:rFonts w:ascii="Arial" w:hAnsi="Arial"/>
          <w:b/>
          <w:sz w:val="24"/>
        </w:rPr>
        <w:t>Social</w:t>
      </w:r>
      <w:r>
        <w:rPr>
          <w:rFonts w:ascii="Arial" w:hAnsi="Arial"/>
          <w:b/>
          <w:spacing w:val="80"/>
          <w:sz w:val="24"/>
        </w:rPr>
        <w:t> </w:t>
      </w:r>
      <w:r>
        <w:rPr>
          <w:rFonts w:ascii="Arial" w:hAnsi="Arial"/>
          <w:b/>
          <w:sz w:val="24"/>
        </w:rPr>
        <w:t>or</w:t>
      </w:r>
      <w:r>
        <w:rPr>
          <w:rFonts w:ascii="Arial" w:hAnsi="Arial"/>
          <w:b/>
          <w:spacing w:val="80"/>
          <w:sz w:val="24"/>
        </w:rPr>
        <w:t> </w:t>
      </w:r>
      <w:r>
        <w:rPr>
          <w:rFonts w:ascii="Arial" w:hAnsi="Arial"/>
          <w:b/>
          <w:sz w:val="24"/>
        </w:rPr>
        <w:t>domestic</w:t>
      </w:r>
      <w:r>
        <w:rPr>
          <w:rFonts w:ascii="Arial" w:hAnsi="Arial"/>
          <w:b/>
          <w:spacing w:val="80"/>
          <w:sz w:val="24"/>
        </w:rPr>
        <w:t> </w:t>
      </w:r>
      <w:r>
        <w:rPr>
          <w:rFonts w:ascii="Arial" w:hAnsi="Arial"/>
          <w:b/>
          <w:sz w:val="24"/>
        </w:rPr>
        <w:t>agreements</w:t>
      </w:r>
      <w:r>
        <w:rPr>
          <w:sz w:val="24"/>
        </w:rPr>
        <w:t>,</w:t>
      </w:r>
      <w:r>
        <w:rPr>
          <w:spacing w:val="80"/>
          <w:sz w:val="24"/>
        </w:rPr>
        <w:t> </w:t>
      </w:r>
      <w:r>
        <w:rPr>
          <w:sz w:val="24"/>
        </w:rPr>
        <w:t>which</w:t>
      </w:r>
      <w:r>
        <w:rPr>
          <w:spacing w:val="80"/>
          <w:sz w:val="24"/>
        </w:rPr>
        <w:t> </w:t>
      </w:r>
      <w:r>
        <w:rPr>
          <w:sz w:val="24"/>
        </w:rPr>
        <w:t>are</w:t>
      </w:r>
      <w:r>
        <w:rPr>
          <w:spacing w:val="80"/>
          <w:sz w:val="24"/>
        </w:rPr>
        <w:t> </w:t>
      </w:r>
      <w:r>
        <w:rPr>
          <w:sz w:val="24"/>
        </w:rPr>
        <w:t>presumed</w:t>
      </w:r>
      <w:r>
        <w:rPr>
          <w:spacing w:val="80"/>
          <w:sz w:val="24"/>
        </w:rPr>
        <w:t> </w:t>
      </w:r>
      <w:r>
        <w:rPr>
          <w:rFonts w:ascii="Arial" w:hAnsi="Arial"/>
          <w:b/>
          <w:sz w:val="24"/>
        </w:rPr>
        <w:t>not</w:t>
      </w:r>
      <w:r>
        <w:rPr>
          <w:rFonts w:ascii="Arial" w:hAnsi="Arial"/>
          <w:b/>
          <w:spacing w:val="80"/>
          <w:sz w:val="24"/>
        </w:rPr>
        <w:t> </w:t>
      </w:r>
      <w:r>
        <w:rPr>
          <w:rFonts w:ascii="Arial" w:hAnsi="Arial"/>
          <w:b/>
          <w:sz w:val="24"/>
        </w:rPr>
        <w:t>to</w:t>
      </w:r>
      <w:r>
        <w:rPr>
          <w:rFonts w:ascii="Arial" w:hAnsi="Arial"/>
          <w:b/>
          <w:spacing w:val="80"/>
          <w:sz w:val="24"/>
        </w:rPr>
        <w:t> </w:t>
      </w:r>
      <w:r>
        <w:rPr>
          <w:rFonts w:ascii="Arial" w:hAnsi="Arial"/>
          <w:b/>
          <w:sz w:val="24"/>
        </w:rPr>
        <w:t>be</w:t>
      </w:r>
      <w:r>
        <w:rPr>
          <w:rFonts w:ascii="Arial" w:hAnsi="Arial"/>
          <w:b/>
          <w:spacing w:val="80"/>
          <w:sz w:val="24"/>
        </w:rPr>
        <w:t> </w:t>
      </w:r>
      <w:r>
        <w:rPr>
          <w:rFonts w:ascii="Arial" w:hAnsi="Arial"/>
          <w:b/>
          <w:sz w:val="24"/>
        </w:rPr>
        <w:t>legally binding </w:t>
      </w:r>
      <w:r>
        <w:rPr>
          <w:sz w:val="24"/>
        </w:rPr>
        <w:t>unless proven otherwise.</w:t>
      </w:r>
    </w:p>
    <w:p>
      <w:pPr>
        <w:pStyle w:val="ListParagraph"/>
        <w:numPr>
          <w:ilvl w:val="0"/>
          <w:numId w:val="4"/>
        </w:numPr>
        <w:tabs>
          <w:tab w:pos="743" w:val="left" w:leader="none"/>
        </w:tabs>
        <w:spacing w:line="276" w:lineRule="auto" w:before="0" w:after="0"/>
        <w:ind w:left="743" w:right="26" w:hanging="360"/>
        <w:jc w:val="left"/>
        <w:rPr>
          <w:sz w:val="24"/>
        </w:rPr>
      </w:pPr>
      <w:r>
        <w:rPr>
          <w:rFonts w:ascii="Arial" w:hAnsi="Arial"/>
          <w:b/>
          <w:sz w:val="24"/>
        </w:rPr>
        <w:t>Commercial</w:t>
      </w:r>
      <w:r>
        <w:rPr>
          <w:rFonts w:ascii="Arial" w:hAnsi="Arial"/>
          <w:b/>
          <w:spacing w:val="40"/>
          <w:sz w:val="24"/>
        </w:rPr>
        <w:t> </w:t>
      </w:r>
      <w:r>
        <w:rPr>
          <w:rFonts w:ascii="Arial" w:hAnsi="Arial"/>
          <w:b/>
          <w:sz w:val="24"/>
        </w:rPr>
        <w:t>agreements</w:t>
      </w:r>
      <w:r>
        <w:rPr>
          <w:sz w:val="24"/>
        </w:rPr>
        <w:t>,</w:t>
      </w:r>
      <w:r>
        <w:rPr>
          <w:spacing w:val="40"/>
          <w:sz w:val="24"/>
        </w:rPr>
        <w:t> </w:t>
      </w:r>
      <w:r>
        <w:rPr>
          <w:sz w:val="24"/>
        </w:rPr>
        <w:t>which</w:t>
      </w:r>
      <w:r>
        <w:rPr>
          <w:spacing w:val="40"/>
          <w:sz w:val="24"/>
        </w:rPr>
        <w:t> </w:t>
      </w:r>
      <w:r>
        <w:rPr>
          <w:sz w:val="24"/>
        </w:rPr>
        <w:t>are</w:t>
      </w:r>
      <w:r>
        <w:rPr>
          <w:spacing w:val="40"/>
          <w:sz w:val="24"/>
        </w:rPr>
        <w:t> </w:t>
      </w:r>
      <w:r>
        <w:rPr>
          <w:sz w:val="24"/>
        </w:rPr>
        <w:t>presumed</w:t>
      </w:r>
      <w:r>
        <w:rPr>
          <w:spacing w:val="40"/>
          <w:sz w:val="24"/>
        </w:rPr>
        <w:t> </w:t>
      </w:r>
      <w:r>
        <w:rPr>
          <w:rFonts w:ascii="Arial" w:hAnsi="Arial"/>
          <w:b/>
          <w:sz w:val="24"/>
        </w:rPr>
        <w:t>to</w:t>
      </w:r>
      <w:r>
        <w:rPr>
          <w:rFonts w:ascii="Arial" w:hAnsi="Arial"/>
          <w:b/>
          <w:spacing w:val="40"/>
          <w:sz w:val="24"/>
        </w:rPr>
        <w:t> </w:t>
      </w:r>
      <w:r>
        <w:rPr>
          <w:rFonts w:ascii="Arial" w:hAnsi="Arial"/>
          <w:b/>
          <w:sz w:val="24"/>
        </w:rPr>
        <w:t>be</w:t>
      </w:r>
      <w:r>
        <w:rPr>
          <w:rFonts w:ascii="Arial" w:hAnsi="Arial"/>
          <w:b/>
          <w:spacing w:val="40"/>
          <w:sz w:val="24"/>
        </w:rPr>
        <w:t> </w:t>
      </w:r>
      <w:r>
        <w:rPr>
          <w:rFonts w:ascii="Arial" w:hAnsi="Arial"/>
          <w:b/>
          <w:sz w:val="24"/>
        </w:rPr>
        <w:t>legally</w:t>
      </w:r>
      <w:r>
        <w:rPr>
          <w:rFonts w:ascii="Arial" w:hAnsi="Arial"/>
          <w:b/>
          <w:spacing w:val="40"/>
          <w:sz w:val="24"/>
        </w:rPr>
        <w:t> </w:t>
      </w:r>
      <w:r>
        <w:rPr>
          <w:rFonts w:ascii="Arial" w:hAnsi="Arial"/>
          <w:b/>
          <w:sz w:val="24"/>
        </w:rPr>
        <w:t>binding</w:t>
      </w:r>
      <w:r>
        <w:rPr>
          <w:rFonts w:ascii="Arial" w:hAnsi="Arial"/>
          <w:b/>
          <w:spacing w:val="40"/>
          <w:sz w:val="24"/>
        </w:rPr>
        <w:t> </w:t>
      </w:r>
      <w:r>
        <w:rPr>
          <w:sz w:val="24"/>
        </w:rPr>
        <w:t>unless there is clear evidence to the contrary.</w:t>
      </w:r>
    </w:p>
    <w:p>
      <w:pPr>
        <w:pStyle w:val="BodyText"/>
        <w:spacing w:line="276" w:lineRule="auto" w:before="240"/>
        <w:ind w:left="23" w:right="28"/>
        <w:jc w:val="both"/>
      </w:pPr>
      <w:r>
        <w:rPr/>
        <w:t>The property rental agreement belongs to the commercial contract category </w:t>
      </w:r>
      <w:r>
        <w:rPr/>
        <w:t>where enforceability stems from automatic application.</w:t>
      </w:r>
    </w:p>
    <w:p>
      <w:pPr>
        <w:pStyle w:val="Heading1"/>
        <w:jc w:val="both"/>
      </w:pPr>
      <w:bookmarkStart w:name="Presumption of Intention in Commercial A" w:id="15"/>
      <w:bookmarkEnd w:id="15"/>
      <w:r>
        <w:rPr>
          <w:b w:val="0"/>
        </w:rPr>
      </w:r>
      <w:r>
        <w:rPr/>
        <w:t>Presumption of Intention in Commercial </w:t>
      </w:r>
      <w:r>
        <w:rPr>
          <w:spacing w:val="-2"/>
        </w:rPr>
        <w:t>Agreements</w:t>
      </w:r>
    </w:p>
    <w:p>
      <w:pPr>
        <w:pStyle w:val="BodyText"/>
        <w:spacing w:before="5"/>
        <w:rPr>
          <w:rFonts w:ascii="Arial"/>
          <w:b/>
        </w:rPr>
      </w:pPr>
    </w:p>
    <w:p>
      <w:pPr>
        <w:spacing w:line="276" w:lineRule="auto" w:before="0"/>
        <w:ind w:left="23" w:right="29" w:firstLine="0"/>
        <w:jc w:val="both"/>
        <w:rPr>
          <w:sz w:val="24"/>
        </w:rPr>
      </w:pPr>
      <w:r>
        <w:rPr>
          <w:sz w:val="24"/>
        </w:rPr>
        <w:t>In </w:t>
      </w:r>
      <w:r>
        <w:rPr>
          <w:rFonts w:ascii="Arial"/>
          <w:b/>
          <w:sz w:val="24"/>
        </w:rPr>
        <w:t>Edwards v Skyways Ltd [1964] 1 WLR 349</w:t>
      </w:r>
      <w:r>
        <w:rPr>
          <w:sz w:val="24"/>
        </w:rPr>
        <w:t>, business contracts made in professional environment automatically hold legal force according to court </w:t>
      </w:r>
      <w:r>
        <w:rPr>
          <w:sz w:val="24"/>
        </w:rPr>
        <w:t>decisions unless explicitly stated otherwise. Our rental agreement, involving </w:t>
      </w:r>
      <w:r>
        <w:rPr>
          <w:rFonts w:ascii="Arial"/>
          <w:b/>
          <w:sz w:val="24"/>
        </w:rPr>
        <w:t>a landlord-tenant relationship</w:t>
      </w:r>
      <w:r>
        <w:rPr>
          <w:sz w:val="24"/>
        </w:rPr>
        <w:t>, clearly falls within this category.</w:t>
      </w:r>
    </w:p>
    <w:p>
      <w:pPr>
        <w:spacing w:line="276" w:lineRule="auto" w:before="240"/>
        <w:ind w:left="23" w:right="21" w:firstLine="0"/>
        <w:jc w:val="both"/>
        <w:rPr>
          <w:sz w:val="24"/>
        </w:rPr>
      </w:pPr>
      <w:r>
        <w:rPr>
          <w:sz w:val="24"/>
        </w:rPr>
        <w:t>Additionally, in </w:t>
      </w:r>
      <w:r>
        <w:rPr>
          <w:rFonts w:ascii="Arial"/>
          <w:b/>
          <w:sz w:val="24"/>
        </w:rPr>
        <w:t>Esso Petroleum Ltd v Commissioners of Customs and </w:t>
      </w:r>
      <w:r>
        <w:rPr>
          <w:rFonts w:ascii="Arial"/>
          <w:b/>
          <w:sz w:val="24"/>
        </w:rPr>
        <w:t>Excise [1976]</w:t>
      </w:r>
      <w:r>
        <w:rPr>
          <w:rFonts w:ascii="Arial"/>
          <w:b/>
          <w:spacing w:val="-3"/>
          <w:sz w:val="24"/>
        </w:rPr>
        <w:t> </w:t>
      </w:r>
      <w:r>
        <w:rPr>
          <w:rFonts w:ascii="Arial"/>
          <w:b/>
          <w:sz w:val="24"/>
        </w:rPr>
        <w:t>1</w:t>
      </w:r>
      <w:r>
        <w:rPr>
          <w:rFonts w:ascii="Arial"/>
          <w:b/>
          <w:spacing w:val="-3"/>
          <w:sz w:val="24"/>
        </w:rPr>
        <w:t> </w:t>
      </w:r>
      <w:r>
        <w:rPr>
          <w:rFonts w:ascii="Arial"/>
          <w:b/>
          <w:sz w:val="24"/>
        </w:rPr>
        <w:t>WLR</w:t>
      </w:r>
      <w:r>
        <w:rPr>
          <w:rFonts w:ascii="Arial"/>
          <w:b/>
          <w:spacing w:val="-3"/>
          <w:sz w:val="24"/>
        </w:rPr>
        <w:t> </w:t>
      </w:r>
      <w:r>
        <w:rPr>
          <w:rFonts w:ascii="Arial"/>
          <w:b/>
          <w:sz w:val="24"/>
        </w:rPr>
        <w:t>1</w:t>
      </w:r>
      <w:r>
        <w:rPr>
          <w:sz w:val="24"/>
        </w:rPr>
        <w:t>,</w:t>
      </w:r>
      <w:r>
        <w:rPr>
          <w:spacing w:val="-3"/>
          <w:sz w:val="24"/>
        </w:rPr>
        <w:t> </w:t>
      </w:r>
      <w:r>
        <w:rPr>
          <w:sz w:val="24"/>
        </w:rPr>
        <w:t>the</w:t>
      </w:r>
      <w:r>
        <w:rPr>
          <w:spacing w:val="-3"/>
          <w:sz w:val="24"/>
        </w:rPr>
        <w:t> </w:t>
      </w:r>
      <w:r>
        <w:rPr>
          <w:sz w:val="24"/>
        </w:rPr>
        <w:t>court</w:t>
      </w:r>
      <w:r>
        <w:rPr>
          <w:spacing w:val="-3"/>
          <w:sz w:val="24"/>
        </w:rPr>
        <w:t> </w:t>
      </w:r>
      <w:r>
        <w:rPr>
          <w:sz w:val="24"/>
        </w:rPr>
        <w:t>reinforced</w:t>
      </w:r>
      <w:r>
        <w:rPr>
          <w:spacing w:val="-3"/>
          <w:sz w:val="24"/>
        </w:rPr>
        <w:t> </w:t>
      </w:r>
      <w:r>
        <w:rPr>
          <w:sz w:val="24"/>
        </w:rPr>
        <w:t>that</w:t>
      </w:r>
      <w:r>
        <w:rPr>
          <w:spacing w:val="-3"/>
          <w:sz w:val="24"/>
        </w:rPr>
        <w:t> </w:t>
      </w:r>
      <w:r>
        <w:rPr>
          <w:rFonts w:ascii="Arial"/>
          <w:b/>
          <w:sz w:val="24"/>
        </w:rPr>
        <w:t>transactions</w:t>
      </w:r>
      <w:r>
        <w:rPr>
          <w:rFonts w:ascii="Arial"/>
          <w:b/>
          <w:spacing w:val="-3"/>
          <w:sz w:val="24"/>
        </w:rPr>
        <w:t> </w:t>
      </w:r>
      <w:r>
        <w:rPr>
          <w:rFonts w:ascii="Arial"/>
          <w:b/>
          <w:sz w:val="24"/>
        </w:rPr>
        <w:t>with</w:t>
      </w:r>
      <w:r>
        <w:rPr>
          <w:rFonts w:ascii="Arial"/>
          <w:b/>
          <w:spacing w:val="-3"/>
          <w:sz w:val="24"/>
        </w:rPr>
        <w:t> </w:t>
      </w:r>
      <w:r>
        <w:rPr>
          <w:rFonts w:ascii="Arial"/>
          <w:b/>
          <w:sz w:val="24"/>
        </w:rPr>
        <w:t>financial</w:t>
      </w:r>
      <w:r>
        <w:rPr>
          <w:rFonts w:ascii="Arial"/>
          <w:b/>
          <w:spacing w:val="-3"/>
          <w:sz w:val="24"/>
        </w:rPr>
        <w:t> </w:t>
      </w:r>
      <w:r>
        <w:rPr>
          <w:rFonts w:ascii="Arial"/>
          <w:b/>
          <w:sz w:val="24"/>
        </w:rPr>
        <w:t>implications</w:t>
      </w:r>
      <w:r>
        <w:rPr>
          <w:rFonts w:ascii="Arial"/>
          <w:b/>
          <w:spacing w:val="-3"/>
          <w:sz w:val="24"/>
        </w:rPr>
        <w:t> </w:t>
      </w:r>
      <w:r>
        <w:rPr>
          <w:rFonts w:ascii="Arial"/>
          <w:b/>
          <w:sz w:val="24"/>
        </w:rPr>
        <w:t>are presumed to have legal intent</w:t>
      </w:r>
      <w:r>
        <w:rPr>
          <w:sz w:val="24"/>
        </w:rPr>
        <w:t>. Since our agreement involves </w:t>
      </w:r>
      <w:r>
        <w:rPr>
          <w:rFonts w:ascii="Arial"/>
          <w:b/>
          <w:sz w:val="24"/>
        </w:rPr>
        <w:t>monthly rental payments and a</w:t>
      </w:r>
      <w:r>
        <w:rPr>
          <w:rFonts w:ascii="Arial"/>
          <w:b/>
          <w:spacing w:val="-3"/>
          <w:sz w:val="24"/>
        </w:rPr>
        <w:t> </w:t>
      </w:r>
      <w:r>
        <w:rPr>
          <w:rFonts w:ascii="Arial"/>
          <w:b/>
          <w:sz w:val="24"/>
        </w:rPr>
        <w:t>deposit</w:t>
      </w:r>
      <w:r>
        <w:rPr>
          <w:sz w:val="24"/>
        </w:rPr>
        <w:t>,</w:t>
      </w:r>
      <w:r>
        <w:rPr>
          <w:spacing w:val="-3"/>
          <w:sz w:val="24"/>
        </w:rPr>
        <w:t> </w:t>
      </w:r>
      <w:r>
        <w:rPr>
          <w:sz w:val="24"/>
        </w:rPr>
        <w:t>the</w:t>
      </w:r>
      <w:r>
        <w:rPr>
          <w:spacing w:val="-3"/>
          <w:sz w:val="24"/>
        </w:rPr>
        <w:t> </w:t>
      </w:r>
      <w:r>
        <w:rPr>
          <w:sz w:val="24"/>
        </w:rPr>
        <w:t>existence</w:t>
      </w:r>
      <w:r>
        <w:rPr>
          <w:spacing w:val="-3"/>
          <w:sz w:val="24"/>
        </w:rPr>
        <w:t> </w:t>
      </w:r>
      <w:r>
        <w:rPr>
          <w:sz w:val="24"/>
        </w:rPr>
        <w:t>of</w:t>
      </w:r>
      <w:r>
        <w:rPr>
          <w:spacing w:val="-3"/>
          <w:sz w:val="24"/>
        </w:rPr>
        <w:t> </w:t>
      </w:r>
      <w:r>
        <w:rPr>
          <w:rFonts w:ascii="Arial"/>
          <w:b/>
          <w:sz w:val="24"/>
        </w:rPr>
        <w:t>financial</w:t>
      </w:r>
      <w:r>
        <w:rPr>
          <w:rFonts w:ascii="Arial"/>
          <w:b/>
          <w:spacing w:val="-3"/>
          <w:sz w:val="24"/>
        </w:rPr>
        <w:t> </w:t>
      </w:r>
      <w:r>
        <w:rPr>
          <w:rFonts w:ascii="Arial"/>
          <w:b/>
          <w:sz w:val="24"/>
        </w:rPr>
        <w:t>commitments</w:t>
      </w:r>
      <w:r>
        <w:rPr>
          <w:rFonts w:ascii="Arial"/>
          <w:b/>
          <w:spacing w:val="-3"/>
          <w:sz w:val="24"/>
        </w:rPr>
        <w:t> </w:t>
      </w:r>
      <w:r>
        <w:rPr>
          <w:rFonts w:ascii="Arial"/>
          <w:b/>
          <w:sz w:val="24"/>
        </w:rPr>
        <w:t>strongly</w:t>
      </w:r>
      <w:r>
        <w:rPr>
          <w:rFonts w:ascii="Arial"/>
          <w:b/>
          <w:spacing w:val="-3"/>
          <w:sz w:val="24"/>
        </w:rPr>
        <w:t> </w:t>
      </w:r>
      <w:r>
        <w:rPr>
          <w:rFonts w:ascii="Arial"/>
          <w:b/>
          <w:sz w:val="24"/>
        </w:rPr>
        <w:t>supports the presumption of legal enforceability</w:t>
      </w:r>
      <w:r>
        <w:rPr>
          <w:sz w:val="24"/>
        </w:rPr>
        <w:t>.</w:t>
      </w:r>
    </w:p>
    <w:p>
      <w:pPr>
        <w:spacing w:after="0" w:line="276" w:lineRule="auto"/>
        <w:jc w:val="both"/>
        <w:rPr>
          <w:sz w:val="24"/>
        </w:rPr>
        <w:sectPr>
          <w:pgSz w:w="12240" w:h="15840"/>
          <w:pgMar w:top="1360" w:bottom="280" w:left="1417" w:right="1417"/>
        </w:sectPr>
      </w:pPr>
    </w:p>
    <w:p>
      <w:pPr>
        <w:pStyle w:val="Heading1"/>
        <w:spacing w:before="80"/>
      </w:pPr>
      <w:bookmarkStart w:name="Express Statements and Conduct " w:id="16"/>
      <w:bookmarkEnd w:id="16"/>
      <w:r>
        <w:rPr>
          <w:b w:val="0"/>
        </w:rPr>
      </w:r>
      <w:r>
        <w:rPr/>
        <w:t>Express Statements and </w:t>
      </w:r>
      <w:r>
        <w:rPr>
          <w:spacing w:val="-2"/>
        </w:rPr>
        <w:t>Conduct</w:t>
      </w:r>
    </w:p>
    <w:p>
      <w:pPr>
        <w:pStyle w:val="BodyText"/>
        <w:spacing w:before="5"/>
        <w:rPr>
          <w:rFonts w:ascii="Arial"/>
          <w:b/>
        </w:rPr>
      </w:pPr>
    </w:p>
    <w:p>
      <w:pPr>
        <w:pStyle w:val="BodyText"/>
        <w:spacing w:line="276" w:lineRule="auto"/>
        <w:ind w:left="23" w:right="23"/>
        <w:jc w:val="both"/>
      </w:pPr>
      <w:r>
        <w:rPr/>
        <w:t>Intention to establish legal ties can be constructed through analyzing how parties </w:t>
      </w:r>
      <w:r>
        <w:rPr/>
        <w:t>act and speak during communication processes. Your email stating:</w:t>
      </w:r>
    </w:p>
    <w:p>
      <w:pPr>
        <w:pStyle w:val="BodyText"/>
      </w:pPr>
    </w:p>
    <w:p>
      <w:pPr>
        <w:pStyle w:val="BodyText"/>
        <w:spacing w:before="245"/>
      </w:pPr>
    </w:p>
    <w:p>
      <w:pPr>
        <w:spacing w:line="276" w:lineRule="auto" w:before="1"/>
        <w:ind w:left="23" w:right="31" w:firstLine="0"/>
        <w:jc w:val="both"/>
        <w:rPr>
          <w:rFonts w:ascii="Arial" w:hAnsi="Arial"/>
          <w:i/>
          <w:sz w:val="24"/>
        </w:rPr>
      </w:pPr>
      <w:r>
        <w:rPr>
          <w:rFonts w:ascii="Arial" w:hAnsi="Arial"/>
          <w:i/>
          <w:sz w:val="24"/>
        </w:rPr>
        <w:t>"Sure, the rent is £500 per month, and you can move in</w:t>
      </w:r>
      <w:r>
        <w:rPr>
          <w:rFonts w:ascii="Arial" w:hAnsi="Arial"/>
          <w:i/>
          <w:spacing w:val="-3"/>
          <w:sz w:val="24"/>
        </w:rPr>
        <w:t> </w:t>
      </w:r>
      <w:r>
        <w:rPr>
          <w:rFonts w:ascii="Arial" w:hAnsi="Arial"/>
          <w:i/>
          <w:sz w:val="24"/>
        </w:rPr>
        <w:t>on</w:t>
      </w:r>
      <w:r>
        <w:rPr>
          <w:rFonts w:ascii="Arial" w:hAnsi="Arial"/>
          <w:i/>
          <w:spacing w:val="-3"/>
          <w:sz w:val="24"/>
        </w:rPr>
        <w:t> </w:t>
      </w:r>
      <w:r>
        <w:rPr>
          <w:rFonts w:ascii="Arial" w:hAnsi="Arial"/>
          <w:i/>
          <w:sz w:val="24"/>
        </w:rPr>
        <w:t>September</w:t>
      </w:r>
      <w:r>
        <w:rPr>
          <w:rFonts w:ascii="Arial" w:hAnsi="Arial"/>
          <w:i/>
          <w:spacing w:val="-3"/>
          <w:sz w:val="24"/>
        </w:rPr>
        <w:t> </w:t>
      </w:r>
      <w:r>
        <w:rPr>
          <w:rFonts w:ascii="Arial" w:hAnsi="Arial"/>
          <w:i/>
          <w:sz w:val="24"/>
        </w:rPr>
        <w:t>1,</w:t>
      </w:r>
      <w:r>
        <w:rPr>
          <w:rFonts w:ascii="Arial" w:hAnsi="Arial"/>
          <w:i/>
          <w:spacing w:val="-3"/>
          <w:sz w:val="24"/>
        </w:rPr>
        <w:t> </w:t>
      </w:r>
      <w:r>
        <w:rPr>
          <w:rFonts w:ascii="Arial" w:hAnsi="Arial"/>
          <w:i/>
          <w:sz w:val="24"/>
        </w:rPr>
        <w:t>2025.</w:t>
      </w:r>
      <w:r>
        <w:rPr>
          <w:rFonts w:ascii="Arial" w:hAnsi="Arial"/>
          <w:i/>
          <w:spacing w:val="-3"/>
          <w:sz w:val="24"/>
        </w:rPr>
        <w:t> </w:t>
      </w:r>
      <w:r>
        <w:rPr>
          <w:rFonts w:ascii="Arial" w:hAnsi="Arial"/>
          <w:i/>
          <w:sz w:val="24"/>
        </w:rPr>
        <w:t>Please confirm if you agree."</w:t>
      </w:r>
    </w:p>
    <w:p>
      <w:pPr>
        <w:spacing w:line="276" w:lineRule="auto" w:before="240"/>
        <w:ind w:left="23" w:right="22" w:firstLine="0"/>
        <w:jc w:val="both"/>
        <w:rPr>
          <w:sz w:val="24"/>
        </w:rPr>
      </w:pPr>
      <w:r>
        <w:rPr>
          <w:sz w:val="24"/>
        </w:rPr>
        <w:t>demonstrates a </w:t>
      </w:r>
      <w:r>
        <w:rPr>
          <w:rFonts w:ascii="Arial"/>
          <w:b/>
          <w:sz w:val="24"/>
        </w:rPr>
        <w:t>clear willingness to be bound by legal obligations</w:t>
      </w:r>
      <w:r>
        <w:rPr>
          <w:sz w:val="24"/>
        </w:rPr>
        <w:t>. Similarly, </w:t>
      </w:r>
      <w:r>
        <w:rPr>
          <w:sz w:val="24"/>
        </w:rPr>
        <w:t>my acceptance email and deposit payment </w:t>
      </w:r>
      <w:r>
        <w:rPr>
          <w:rFonts w:ascii="Arial"/>
          <w:b/>
          <w:sz w:val="24"/>
        </w:rPr>
        <w:t>further reinforce the seriousness of our </w:t>
      </w:r>
      <w:r>
        <w:rPr>
          <w:rFonts w:ascii="Arial"/>
          <w:b/>
          <w:spacing w:val="-2"/>
          <w:sz w:val="24"/>
        </w:rPr>
        <w:t>agreement</w:t>
      </w:r>
      <w:r>
        <w:rPr>
          <w:spacing w:val="-2"/>
          <w:sz w:val="24"/>
        </w:rPr>
        <w:t>.</w:t>
      </w:r>
    </w:p>
    <w:p>
      <w:pPr>
        <w:pStyle w:val="Heading1"/>
      </w:pPr>
      <w:bookmarkStart w:name="Conclusion on Intention to Create Legal " w:id="17"/>
      <w:bookmarkEnd w:id="17"/>
      <w:r>
        <w:rPr>
          <w:b w:val="0"/>
        </w:rPr>
      </w:r>
      <w:r>
        <w:rPr/>
        <w:t>Conclusion on Intention to Create Legal </w:t>
      </w:r>
      <w:r>
        <w:rPr>
          <w:spacing w:val="-2"/>
        </w:rPr>
        <w:t>Relations</w:t>
      </w:r>
    </w:p>
    <w:p>
      <w:pPr>
        <w:pStyle w:val="BodyText"/>
        <w:spacing w:before="5"/>
        <w:rPr>
          <w:rFonts w:ascii="Arial"/>
          <w:b/>
        </w:rPr>
      </w:pPr>
    </w:p>
    <w:p>
      <w:pPr>
        <w:pStyle w:val="BodyText"/>
        <w:spacing w:line="276" w:lineRule="auto"/>
        <w:ind w:left="23" w:right="24"/>
        <w:jc w:val="both"/>
      </w:pPr>
      <w:r>
        <w:rPr/>
        <w:t>Through both their commercial</w:t>
      </w:r>
      <w:r>
        <w:rPr>
          <w:spacing w:val="-4"/>
        </w:rPr>
        <w:t> </w:t>
      </w:r>
      <w:r>
        <w:rPr/>
        <w:t>nature</w:t>
      </w:r>
      <w:r>
        <w:rPr>
          <w:spacing w:val="-4"/>
        </w:rPr>
        <w:t> </w:t>
      </w:r>
      <w:r>
        <w:rPr/>
        <w:t>and</w:t>
      </w:r>
      <w:r>
        <w:rPr>
          <w:spacing w:val="-4"/>
        </w:rPr>
        <w:t> </w:t>
      </w:r>
      <w:r>
        <w:rPr/>
        <w:t>judicial</w:t>
      </w:r>
      <w:r>
        <w:rPr>
          <w:spacing w:val="-4"/>
        </w:rPr>
        <w:t> </w:t>
      </w:r>
      <w:r>
        <w:rPr/>
        <w:t>presumptions</w:t>
      </w:r>
      <w:r>
        <w:rPr>
          <w:spacing w:val="-4"/>
        </w:rPr>
        <w:t> </w:t>
      </w:r>
      <w:r>
        <w:rPr/>
        <w:t>it</w:t>
      </w:r>
      <w:r>
        <w:rPr>
          <w:spacing w:val="-4"/>
        </w:rPr>
        <w:t> </w:t>
      </w:r>
      <w:r>
        <w:rPr/>
        <w:t>becomes</w:t>
      </w:r>
      <w:r>
        <w:rPr>
          <w:spacing w:val="-4"/>
        </w:rPr>
        <w:t> </w:t>
      </w:r>
      <w:r>
        <w:rPr/>
        <w:t>evident</w:t>
      </w:r>
      <w:r>
        <w:rPr>
          <w:spacing w:val="-4"/>
        </w:rPr>
        <w:t> </w:t>
      </w:r>
      <w:r>
        <w:rPr/>
        <w:t>that all parties naturally intended to establish legal relationships within their landlord-tenant agreements. The enforceability requirement of the contract is satisfied through its </w:t>
      </w:r>
      <w:r>
        <w:rPr>
          <w:spacing w:val="-2"/>
        </w:rPr>
        <w:t>application.</w:t>
      </w:r>
    </w:p>
    <w:p>
      <w:pPr>
        <w:pStyle w:val="BodyText"/>
        <w:spacing w:before="4"/>
      </w:pPr>
    </w:p>
    <w:p>
      <w:pPr>
        <w:pStyle w:val="Heading1"/>
        <w:numPr>
          <w:ilvl w:val="0"/>
          <w:numId w:val="2"/>
        </w:numPr>
        <w:tabs>
          <w:tab w:pos="289" w:val="left" w:leader="none"/>
        </w:tabs>
        <w:spacing w:line="240" w:lineRule="auto" w:before="0" w:after="0"/>
        <w:ind w:left="289" w:right="0" w:hanging="266"/>
        <w:jc w:val="left"/>
      </w:pPr>
      <w:bookmarkStart w:name="5. Capacity to Contract " w:id="18"/>
      <w:bookmarkEnd w:id="18"/>
      <w:r>
        <w:rPr>
          <w:b w:val="0"/>
        </w:rPr>
      </w:r>
      <w:r>
        <w:rPr/>
        <w:t>Capacity to </w:t>
      </w:r>
      <w:r>
        <w:rPr>
          <w:spacing w:val="-2"/>
        </w:rPr>
        <w:t>Contract</w:t>
      </w:r>
    </w:p>
    <w:p>
      <w:pPr>
        <w:pStyle w:val="BodyText"/>
        <w:spacing w:before="5"/>
        <w:rPr>
          <w:rFonts w:ascii="Arial"/>
          <w:b/>
        </w:rPr>
      </w:pPr>
    </w:p>
    <w:p>
      <w:pPr>
        <w:pStyle w:val="BodyText"/>
        <w:spacing w:line="276" w:lineRule="auto"/>
        <w:ind w:left="23" w:right="30"/>
        <w:jc w:val="both"/>
      </w:pPr>
      <w:r>
        <w:rPr/>
        <w:t>To create a valid enforceable contract each party must have enough legal capacity </w:t>
      </w:r>
      <w:r>
        <w:rPr/>
        <w:t>to maintain legal agreements. A person needs the required capacity to comprehend both the legal clauses of a contract and their ability to become bound by what they agree to.</w:t>
      </w:r>
    </w:p>
    <w:p>
      <w:pPr>
        <w:pStyle w:val="Heading1"/>
      </w:pPr>
      <w:bookmarkStart w:name="Legal Principles of Capacity " w:id="19"/>
      <w:bookmarkEnd w:id="19"/>
      <w:r>
        <w:rPr>
          <w:b w:val="0"/>
        </w:rPr>
      </w:r>
      <w:r>
        <w:rPr/>
        <w:t>Legal Principles of </w:t>
      </w:r>
      <w:r>
        <w:rPr>
          <w:spacing w:val="-2"/>
        </w:rPr>
        <w:t>Capacity</w:t>
      </w:r>
    </w:p>
    <w:p>
      <w:pPr>
        <w:pStyle w:val="BodyText"/>
        <w:spacing w:before="6"/>
        <w:rPr>
          <w:rFonts w:ascii="Arial"/>
          <w:b/>
        </w:rPr>
      </w:pPr>
    </w:p>
    <w:p>
      <w:pPr>
        <w:spacing w:line="276" w:lineRule="auto" w:before="0"/>
        <w:ind w:left="23" w:right="32" w:firstLine="0"/>
        <w:jc w:val="both"/>
        <w:rPr>
          <w:sz w:val="24"/>
        </w:rPr>
      </w:pPr>
      <w:r>
        <w:rPr>
          <w:sz w:val="24"/>
        </w:rPr>
        <w:t>Under English contract law, individuals </w:t>
      </w:r>
      <w:r>
        <w:rPr>
          <w:rFonts w:ascii="Arial"/>
          <w:b/>
          <w:sz w:val="24"/>
        </w:rPr>
        <w:t>over the age of 18 and of sound mind </w:t>
      </w:r>
      <w:r>
        <w:rPr>
          <w:sz w:val="24"/>
        </w:rPr>
        <w:t>have</w:t>
      </w:r>
      <w:r>
        <w:rPr>
          <w:spacing w:val="40"/>
          <w:sz w:val="24"/>
        </w:rPr>
        <w:t> </w:t>
      </w:r>
      <w:r>
        <w:rPr>
          <w:sz w:val="24"/>
        </w:rPr>
        <w:t>full contractual capacity. Those lacking capacity include:</w:t>
      </w:r>
    </w:p>
    <w:p>
      <w:pPr>
        <w:pStyle w:val="ListParagraph"/>
        <w:numPr>
          <w:ilvl w:val="0"/>
          <w:numId w:val="5"/>
        </w:numPr>
        <w:tabs>
          <w:tab w:pos="743" w:val="left" w:leader="none"/>
        </w:tabs>
        <w:spacing w:line="276" w:lineRule="auto" w:before="240" w:after="0"/>
        <w:ind w:left="743" w:right="30" w:hanging="360"/>
        <w:jc w:val="left"/>
        <w:rPr>
          <w:sz w:val="24"/>
        </w:rPr>
      </w:pPr>
      <w:r>
        <w:rPr>
          <w:rFonts w:ascii="Arial" w:hAnsi="Arial"/>
          <w:b/>
          <w:sz w:val="24"/>
        </w:rPr>
        <w:t>Minors</w:t>
      </w:r>
      <w:r>
        <w:rPr>
          <w:rFonts w:ascii="Arial" w:hAnsi="Arial"/>
          <w:b/>
          <w:spacing w:val="-4"/>
          <w:sz w:val="24"/>
        </w:rPr>
        <w:t> </w:t>
      </w:r>
      <w:r>
        <w:rPr>
          <w:rFonts w:ascii="Arial" w:hAnsi="Arial"/>
          <w:b/>
          <w:sz w:val="24"/>
        </w:rPr>
        <w:t>(under</w:t>
      </w:r>
      <w:r>
        <w:rPr>
          <w:rFonts w:ascii="Arial" w:hAnsi="Arial"/>
          <w:b/>
          <w:spacing w:val="-4"/>
          <w:sz w:val="24"/>
        </w:rPr>
        <w:t> </w:t>
      </w:r>
      <w:r>
        <w:rPr>
          <w:rFonts w:ascii="Arial" w:hAnsi="Arial"/>
          <w:b/>
          <w:sz w:val="24"/>
        </w:rPr>
        <w:t>18</w:t>
      </w:r>
      <w:r>
        <w:rPr>
          <w:rFonts w:ascii="Arial" w:hAnsi="Arial"/>
          <w:b/>
          <w:spacing w:val="-4"/>
          <w:sz w:val="24"/>
        </w:rPr>
        <w:t> </w:t>
      </w:r>
      <w:r>
        <w:rPr>
          <w:rFonts w:ascii="Arial" w:hAnsi="Arial"/>
          <w:b/>
          <w:sz w:val="24"/>
        </w:rPr>
        <w:t>years</w:t>
      </w:r>
      <w:r>
        <w:rPr>
          <w:rFonts w:ascii="Arial" w:hAnsi="Arial"/>
          <w:b/>
          <w:spacing w:val="-4"/>
          <w:sz w:val="24"/>
        </w:rPr>
        <w:t> </w:t>
      </w:r>
      <w:r>
        <w:rPr>
          <w:rFonts w:ascii="Arial" w:hAnsi="Arial"/>
          <w:b/>
          <w:sz w:val="24"/>
        </w:rPr>
        <w:t>old)</w:t>
      </w:r>
      <w:r>
        <w:rPr>
          <w:rFonts w:ascii="Arial" w:hAnsi="Arial"/>
          <w:b/>
          <w:spacing w:val="-4"/>
          <w:sz w:val="24"/>
        </w:rPr>
        <w:t> </w:t>
      </w:r>
      <w:r>
        <w:rPr>
          <w:sz w:val="24"/>
        </w:rPr>
        <w:t>–</w:t>
      </w:r>
      <w:r>
        <w:rPr>
          <w:spacing w:val="-4"/>
          <w:sz w:val="24"/>
        </w:rPr>
        <w:t> </w:t>
      </w:r>
      <w:r>
        <w:rPr>
          <w:sz w:val="24"/>
        </w:rPr>
        <w:t>Contracts</w:t>
      </w:r>
      <w:r>
        <w:rPr>
          <w:spacing w:val="-4"/>
          <w:sz w:val="24"/>
        </w:rPr>
        <w:t> </w:t>
      </w:r>
      <w:r>
        <w:rPr>
          <w:sz w:val="24"/>
        </w:rPr>
        <w:t>involving</w:t>
      </w:r>
      <w:r>
        <w:rPr>
          <w:spacing w:val="-4"/>
          <w:sz w:val="24"/>
        </w:rPr>
        <w:t> </w:t>
      </w:r>
      <w:r>
        <w:rPr>
          <w:sz w:val="24"/>
        </w:rPr>
        <w:t>minors</w:t>
      </w:r>
      <w:r>
        <w:rPr>
          <w:spacing w:val="-4"/>
          <w:sz w:val="24"/>
        </w:rPr>
        <w:t> </w:t>
      </w:r>
      <w:r>
        <w:rPr>
          <w:sz w:val="24"/>
        </w:rPr>
        <w:t>are</w:t>
      </w:r>
      <w:r>
        <w:rPr>
          <w:spacing w:val="-4"/>
          <w:sz w:val="24"/>
        </w:rPr>
        <w:t> </w:t>
      </w:r>
      <w:r>
        <w:rPr>
          <w:sz w:val="24"/>
        </w:rPr>
        <w:t>generally</w:t>
      </w:r>
      <w:r>
        <w:rPr>
          <w:spacing w:val="-4"/>
          <w:sz w:val="24"/>
        </w:rPr>
        <w:t> </w:t>
      </w:r>
      <w:r>
        <w:rPr>
          <w:sz w:val="24"/>
        </w:rPr>
        <w:t>voidable unless for </w:t>
      </w:r>
      <w:r>
        <w:rPr>
          <w:rFonts w:ascii="Arial" w:hAnsi="Arial"/>
          <w:b/>
          <w:sz w:val="24"/>
        </w:rPr>
        <w:t>necessities </w:t>
      </w:r>
      <w:r>
        <w:rPr>
          <w:sz w:val="24"/>
        </w:rPr>
        <w:t>(e.g., food, housing).</w:t>
      </w:r>
    </w:p>
    <w:p>
      <w:pPr>
        <w:pStyle w:val="ListParagraph"/>
        <w:numPr>
          <w:ilvl w:val="0"/>
          <w:numId w:val="5"/>
        </w:numPr>
        <w:tabs>
          <w:tab w:pos="743" w:val="left" w:leader="none"/>
        </w:tabs>
        <w:spacing w:line="276" w:lineRule="auto" w:before="0" w:after="0"/>
        <w:ind w:left="743" w:right="22" w:hanging="360"/>
        <w:jc w:val="left"/>
        <w:rPr>
          <w:sz w:val="24"/>
        </w:rPr>
      </w:pPr>
      <w:r>
        <w:rPr>
          <w:rFonts w:ascii="Arial" w:hAnsi="Arial"/>
          <w:b/>
          <w:sz w:val="24"/>
        </w:rPr>
        <w:t>Persons</w:t>
      </w:r>
      <w:r>
        <w:rPr>
          <w:rFonts w:ascii="Arial" w:hAnsi="Arial"/>
          <w:b/>
          <w:spacing w:val="40"/>
          <w:sz w:val="24"/>
        </w:rPr>
        <w:t> </w:t>
      </w:r>
      <w:r>
        <w:rPr>
          <w:rFonts w:ascii="Arial" w:hAnsi="Arial"/>
          <w:b/>
          <w:sz w:val="24"/>
        </w:rPr>
        <w:t>lacking</w:t>
      </w:r>
      <w:r>
        <w:rPr>
          <w:rFonts w:ascii="Arial" w:hAnsi="Arial"/>
          <w:b/>
          <w:spacing w:val="40"/>
          <w:sz w:val="24"/>
        </w:rPr>
        <w:t> </w:t>
      </w:r>
      <w:r>
        <w:rPr>
          <w:rFonts w:ascii="Arial" w:hAnsi="Arial"/>
          <w:b/>
          <w:sz w:val="24"/>
        </w:rPr>
        <w:t>mental</w:t>
      </w:r>
      <w:r>
        <w:rPr>
          <w:rFonts w:ascii="Arial" w:hAnsi="Arial"/>
          <w:b/>
          <w:spacing w:val="40"/>
          <w:sz w:val="24"/>
        </w:rPr>
        <w:t> </w:t>
      </w:r>
      <w:r>
        <w:rPr>
          <w:rFonts w:ascii="Arial" w:hAnsi="Arial"/>
          <w:b/>
          <w:sz w:val="24"/>
        </w:rPr>
        <w:t>capacity</w:t>
      </w:r>
      <w:r>
        <w:rPr>
          <w:rFonts w:ascii="Arial" w:hAnsi="Arial"/>
          <w:b/>
          <w:spacing w:val="40"/>
          <w:sz w:val="24"/>
        </w:rPr>
        <w:t> </w:t>
      </w:r>
      <w:r>
        <w:rPr>
          <w:sz w:val="24"/>
        </w:rPr>
        <w:t>–</w:t>
      </w:r>
      <w:r>
        <w:rPr>
          <w:spacing w:val="40"/>
          <w:sz w:val="24"/>
        </w:rPr>
        <w:t> </w:t>
      </w:r>
      <w:r>
        <w:rPr>
          <w:sz w:val="24"/>
        </w:rPr>
        <w:t>Contracts</w:t>
      </w:r>
      <w:r>
        <w:rPr>
          <w:spacing w:val="27"/>
          <w:sz w:val="24"/>
        </w:rPr>
        <w:t> </w:t>
      </w:r>
      <w:r>
        <w:rPr>
          <w:sz w:val="24"/>
        </w:rPr>
        <w:t>may</w:t>
      </w:r>
      <w:r>
        <w:rPr>
          <w:spacing w:val="27"/>
          <w:sz w:val="24"/>
        </w:rPr>
        <w:t> </w:t>
      </w:r>
      <w:r>
        <w:rPr>
          <w:sz w:val="24"/>
        </w:rPr>
        <w:t>be</w:t>
      </w:r>
      <w:r>
        <w:rPr>
          <w:spacing w:val="27"/>
          <w:sz w:val="24"/>
        </w:rPr>
        <w:t> </w:t>
      </w:r>
      <w:r>
        <w:rPr>
          <w:sz w:val="24"/>
        </w:rPr>
        <w:t>void</w:t>
      </w:r>
      <w:r>
        <w:rPr>
          <w:spacing w:val="27"/>
          <w:sz w:val="24"/>
        </w:rPr>
        <w:t> </w:t>
      </w:r>
      <w:r>
        <w:rPr>
          <w:sz w:val="24"/>
        </w:rPr>
        <w:t>if</w:t>
      </w:r>
      <w:r>
        <w:rPr>
          <w:spacing w:val="27"/>
          <w:sz w:val="24"/>
        </w:rPr>
        <w:t> </w:t>
      </w:r>
      <w:r>
        <w:rPr>
          <w:sz w:val="24"/>
        </w:rPr>
        <w:t>a</w:t>
      </w:r>
      <w:r>
        <w:rPr>
          <w:spacing w:val="27"/>
          <w:sz w:val="24"/>
        </w:rPr>
        <w:t> </w:t>
      </w:r>
      <w:r>
        <w:rPr>
          <w:sz w:val="24"/>
        </w:rPr>
        <w:t>party</w:t>
      </w:r>
      <w:r>
        <w:rPr>
          <w:spacing w:val="27"/>
          <w:sz w:val="24"/>
        </w:rPr>
        <w:t> </w:t>
      </w:r>
      <w:r>
        <w:rPr>
          <w:rFonts w:ascii="Arial" w:hAnsi="Arial"/>
          <w:b/>
          <w:sz w:val="24"/>
        </w:rPr>
        <w:t>cannot understand the terms </w:t>
      </w:r>
      <w:r>
        <w:rPr>
          <w:sz w:val="24"/>
        </w:rPr>
        <w:t>due to mental impairment.</w:t>
      </w:r>
    </w:p>
    <w:p>
      <w:pPr>
        <w:pStyle w:val="ListParagraph"/>
        <w:numPr>
          <w:ilvl w:val="0"/>
          <w:numId w:val="5"/>
        </w:numPr>
        <w:tabs>
          <w:tab w:pos="743" w:val="left" w:leader="none"/>
        </w:tabs>
        <w:spacing w:line="276" w:lineRule="auto" w:before="0" w:after="0"/>
        <w:ind w:left="743" w:right="34" w:hanging="360"/>
        <w:jc w:val="left"/>
        <w:rPr>
          <w:sz w:val="24"/>
        </w:rPr>
      </w:pPr>
      <w:r>
        <w:rPr>
          <w:rFonts w:ascii="Arial" w:hAnsi="Arial"/>
          <w:b/>
          <w:sz w:val="24"/>
        </w:rPr>
        <w:t>Intoxicated</w:t>
      </w:r>
      <w:r>
        <w:rPr>
          <w:rFonts w:ascii="Arial" w:hAnsi="Arial"/>
          <w:b/>
          <w:spacing w:val="80"/>
          <w:sz w:val="24"/>
        </w:rPr>
        <w:t> </w:t>
      </w:r>
      <w:r>
        <w:rPr>
          <w:rFonts w:ascii="Arial" w:hAnsi="Arial"/>
          <w:b/>
          <w:sz w:val="24"/>
        </w:rPr>
        <w:t>individuals</w:t>
      </w:r>
      <w:r>
        <w:rPr>
          <w:rFonts w:ascii="Arial" w:hAnsi="Arial"/>
          <w:b/>
          <w:spacing w:val="80"/>
          <w:sz w:val="24"/>
        </w:rPr>
        <w:t> </w:t>
      </w:r>
      <w:r>
        <w:rPr>
          <w:sz w:val="24"/>
        </w:rPr>
        <w:t>–</w:t>
      </w:r>
      <w:r>
        <w:rPr>
          <w:spacing w:val="80"/>
          <w:sz w:val="24"/>
        </w:rPr>
        <w:t> </w:t>
      </w:r>
      <w:r>
        <w:rPr>
          <w:sz w:val="24"/>
        </w:rPr>
        <w:t>A</w:t>
      </w:r>
      <w:r>
        <w:rPr>
          <w:spacing w:val="80"/>
          <w:sz w:val="24"/>
        </w:rPr>
        <w:t> </w:t>
      </w:r>
      <w:r>
        <w:rPr>
          <w:sz w:val="24"/>
        </w:rPr>
        <w:t>contract</w:t>
      </w:r>
      <w:r>
        <w:rPr>
          <w:spacing w:val="80"/>
          <w:sz w:val="24"/>
        </w:rPr>
        <w:t> </w:t>
      </w:r>
      <w:r>
        <w:rPr>
          <w:sz w:val="24"/>
        </w:rPr>
        <w:t>may</w:t>
      </w:r>
      <w:r>
        <w:rPr>
          <w:spacing w:val="80"/>
          <w:sz w:val="24"/>
        </w:rPr>
        <w:t> </w:t>
      </w:r>
      <w:r>
        <w:rPr>
          <w:sz w:val="24"/>
        </w:rPr>
        <w:t>be</w:t>
      </w:r>
      <w:r>
        <w:rPr>
          <w:spacing w:val="80"/>
          <w:sz w:val="24"/>
        </w:rPr>
        <w:t> </w:t>
      </w:r>
      <w:r>
        <w:rPr>
          <w:sz w:val="24"/>
        </w:rPr>
        <w:t>voidable</w:t>
      </w:r>
      <w:r>
        <w:rPr>
          <w:spacing w:val="80"/>
          <w:sz w:val="24"/>
        </w:rPr>
        <w:t> </w:t>
      </w:r>
      <w:r>
        <w:rPr>
          <w:sz w:val="24"/>
        </w:rPr>
        <w:t>if</w:t>
      </w:r>
      <w:r>
        <w:rPr>
          <w:spacing w:val="80"/>
          <w:sz w:val="24"/>
        </w:rPr>
        <w:t> </w:t>
      </w:r>
      <w:r>
        <w:rPr>
          <w:sz w:val="24"/>
        </w:rPr>
        <w:t>a</w:t>
      </w:r>
      <w:r>
        <w:rPr>
          <w:spacing w:val="80"/>
          <w:sz w:val="24"/>
        </w:rPr>
        <w:t> </w:t>
      </w:r>
      <w:r>
        <w:rPr>
          <w:sz w:val="24"/>
        </w:rPr>
        <w:t>party</w:t>
      </w:r>
      <w:r>
        <w:rPr>
          <w:spacing w:val="72"/>
          <w:sz w:val="24"/>
        </w:rPr>
        <w:t> </w:t>
      </w:r>
      <w:r>
        <w:rPr>
          <w:sz w:val="24"/>
        </w:rPr>
        <w:t>was</w:t>
      </w:r>
      <w:r>
        <w:rPr>
          <w:spacing w:val="72"/>
          <w:sz w:val="24"/>
        </w:rPr>
        <w:t> </w:t>
      </w:r>
      <w:r>
        <w:rPr>
          <w:rFonts w:ascii="Arial" w:hAnsi="Arial"/>
          <w:b/>
          <w:sz w:val="24"/>
        </w:rPr>
        <w:t>so intoxicated </w:t>
      </w:r>
      <w:r>
        <w:rPr>
          <w:sz w:val="24"/>
        </w:rPr>
        <w:t>that they could not understand the agreement.</w:t>
      </w:r>
    </w:p>
    <w:p>
      <w:pPr>
        <w:pStyle w:val="Heading1"/>
      </w:pPr>
      <w:bookmarkStart w:name="Application to Our Case " w:id="20"/>
      <w:bookmarkEnd w:id="20"/>
      <w:r>
        <w:rPr>
          <w:b w:val="0"/>
        </w:rPr>
      </w:r>
      <w:r>
        <w:rPr/>
        <w:t>Application to Our </w:t>
      </w:r>
      <w:r>
        <w:rPr>
          <w:spacing w:val="-4"/>
        </w:rPr>
        <w:t>Case</w:t>
      </w:r>
    </w:p>
    <w:p>
      <w:pPr>
        <w:pStyle w:val="BodyText"/>
        <w:spacing w:before="5"/>
        <w:rPr>
          <w:rFonts w:ascii="Arial"/>
          <w:b/>
        </w:rPr>
      </w:pPr>
    </w:p>
    <w:p>
      <w:pPr>
        <w:pStyle w:val="BodyText"/>
        <w:spacing w:line="276" w:lineRule="auto"/>
        <w:ind w:left="23" w:right="32"/>
        <w:jc w:val="both"/>
      </w:pPr>
      <w:r>
        <w:rPr/>
        <w:t>Being older than 1</w:t>
      </w:r>
      <w:r>
        <w:rPr>
          <w:rFonts w:ascii="Arial"/>
          <w:b/>
        </w:rPr>
        <w:t>8 years old </w:t>
      </w:r>
      <w:r>
        <w:rPr/>
        <w:t>while attending university gives me the legal ability </w:t>
      </w:r>
      <w:r>
        <w:rPr/>
        <w:t>to create a tenancy agreement. Every landlord requires full legal capacity to negotiate property leases due to their mandatory authority to rent properties.</w:t>
      </w:r>
    </w:p>
    <w:p>
      <w:pPr>
        <w:pStyle w:val="BodyText"/>
        <w:spacing w:after="0" w:line="276" w:lineRule="auto"/>
        <w:jc w:val="both"/>
        <w:sectPr>
          <w:pgSz w:w="12240" w:h="15840"/>
          <w:pgMar w:top="1360" w:bottom="280" w:left="1417" w:right="1417"/>
        </w:sectPr>
      </w:pPr>
    </w:p>
    <w:p>
      <w:pPr>
        <w:pStyle w:val="Heading1"/>
        <w:spacing w:before="80"/>
      </w:pPr>
      <w:bookmarkStart w:name="Relevant Case Law " w:id="21"/>
      <w:bookmarkEnd w:id="21"/>
      <w:r>
        <w:rPr>
          <w:b w:val="0"/>
        </w:rPr>
      </w:r>
      <w:r>
        <w:rPr/>
        <w:t>Relevant Case </w:t>
      </w:r>
      <w:r>
        <w:rPr>
          <w:spacing w:val="-5"/>
        </w:rPr>
        <w:t>Law</w:t>
      </w:r>
    </w:p>
    <w:p>
      <w:pPr>
        <w:pStyle w:val="BodyText"/>
        <w:spacing w:before="5"/>
        <w:rPr>
          <w:rFonts w:ascii="Arial"/>
          <w:b/>
        </w:rPr>
      </w:pPr>
    </w:p>
    <w:p>
      <w:pPr>
        <w:spacing w:line="276" w:lineRule="auto" w:before="0"/>
        <w:ind w:left="23" w:right="27" w:firstLine="0"/>
        <w:jc w:val="both"/>
        <w:rPr>
          <w:sz w:val="24"/>
        </w:rPr>
      </w:pPr>
      <w:r>
        <w:rPr>
          <w:sz w:val="24"/>
        </w:rPr>
        <w:t>In </w:t>
      </w:r>
      <w:r>
        <w:rPr>
          <w:rFonts w:ascii="Arial"/>
          <w:b/>
          <w:sz w:val="24"/>
        </w:rPr>
        <w:t>Nash v Inman [1908] 2 KB 1</w:t>
      </w:r>
      <w:r>
        <w:rPr>
          <w:sz w:val="24"/>
        </w:rPr>
        <w:t>, </w:t>
      </w:r>
      <w:r>
        <w:rPr>
          <w:rFonts w:ascii="Arial"/>
          <w:b/>
          <w:sz w:val="24"/>
        </w:rPr>
        <w:t>the court decided</w:t>
      </w:r>
      <w:r>
        <w:rPr>
          <w:rFonts w:ascii="Arial"/>
          <w:b/>
          <w:spacing w:val="-3"/>
          <w:sz w:val="24"/>
        </w:rPr>
        <w:t> </w:t>
      </w:r>
      <w:r>
        <w:rPr>
          <w:rFonts w:ascii="Arial"/>
          <w:b/>
          <w:sz w:val="24"/>
        </w:rPr>
        <w:t>minor</w:t>
      </w:r>
      <w:r>
        <w:rPr>
          <w:rFonts w:ascii="Arial"/>
          <w:b/>
          <w:spacing w:val="-3"/>
          <w:sz w:val="24"/>
        </w:rPr>
        <w:t> </w:t>
      </w:r>
      <w:r>
        <w:rPr>
          <w:rFonts w:ascii="Arial"/>
          <w:b/>
          <w:sz w:val="24"/>
        </w:rPr>
        <w:t>participation</w:t>
      </w:r>
      <w:r>
        <w:rPr>
          <w:rFonts w:ascii="Arial"/>
          <w:b/>
          <w:spacing w:val="-3"/>
          <w:sz w:val="24"/>
        </w:rPr>
        <w:t> </w:t>
      </w:r>
      <w:r>
        <w:rPr>
          <w:rFonts w:ascii="Arial"/>
          <w:b/>
          <w:sz w:val="24"/>
        </w:rPr>
        <w:t>in</w:t>
      </w:r>
      <w:r>
        <w:rPr>
          <w:rFonts w:ascii="Arial"/>
          <w:b/>
          <w:spacing w:val="-3"/>
          <w:sz w:val="24"/>
        </w:rPr>
        <w:t> </w:t>
      </w:r>
      <w:r>
        <w:rPr>
          <w:rFonts w:ascii="Arial"/>
          <w:b/>
          <w:sz w:val="24"/>
        </w:rPr>
        <w:t>contracts remains unenforceable except when it deals with</w:t>
      </w:r>
      <w:r>
        <w:rPr>
          <w:rFonts w:ascii="Arial"/>
          <w:b/>
          <w:spacing w:val="-4"/>
          <w:sz w:val="24"/>
        </w:rPr>
        <w:t> </w:t>
      </w:r>
      <w:r>
        <w:rPr>
          <w:rFonts w:ascii="Arial"/>
          <w:b/>
          <w:sz w:val="24"/>
        </w:rPr>
        <w:t>essential</w:t>
      </w:r>
      <w:r>
        <w:rPr>
          <w:rFonts w:ascii="Arial"/>
          <w:b/>
          <w:spacing w:val="-4"/>
          <w:sz w:val="24"/>
        </w:rPr>
        <w:t> </w:t>
      </w:r>
      <w:r>
        <w:rPr>
          <w:rFonts w:ascii="Arial"/>
          <w:b/>
          <w:sz w:val="24"/>
        </w:rPr>
        <w:t>items.</w:t>
      </w:r>
      <w:r>
        <w:rPr>
          <w:rFonts w:ascii="Arial"/>
          <w:b/>
          <w:spacing w:val="-4"/>
          <w:sz w:val="24"/>
        </w:rPr>
        <w:t> </w:t>
      </w:r>
      <w:r>
        <w:rPr>
          <w:sz w:val="24"/>
        </w:rPr>
        <w:t>However,</w:t>
      </w:r>
      <w:r>
        <w:rPr>
          <w:spacing w:val="-4"/>
          <w:sz w:val="24"/>
        </w:rPr>
        <w:t> </w:t>
      </w:r>
      <w:r>
        <w:rPr>
          <w:sz w:val="24"/>
        </w:rPr>
        <w:t>since</w:t>
      </w:r>
      <w:r>
        <w:rPr>
          <w:spacing w:val="-4"/>
          <w:sz w:val="24"/>
        </w:rPr>
        <w:t> </w:t>
      </w:r>
      <w:r>
        <w:rPr>
          <w:sz w:val="24"/>
        </w:rPr>
        <w:t>I am an </w:t>
      </w:r>
      <w:r>
        <w:rPr>
          <w:rFonts w:ascii="Arial"/>
          <w:b/>
          <w:sz w:val="24"/>
        </w:rPr>
        <w:t>adult with full legal capacity</w:t>
      </w:r>
      <w:r>
        <w:rPr>
          <w:sz w:val="24"/>
        </w:rPr>
        <w:t>, this principle does not apply to our situation, reinforcing the enforceability of our agreement.</w:t>
      </w:r>
    </w:p>
    <w:p>
      <w:pPr>
        <w:spacing w:line="276" w:lineRule="auto" w:before="240"/>
        <w:ind w:left="23" w:right="22" w:firstLine="0"/>
        <w:jc w:val="both"/>
        <w:rPr>
          <w:sz w:val="24"/>
        </w:rPr>
      </w:pPr>
      <w:r>
        <w:rPr>
          <w:sz w:val="24"/>
        </w:rPr>
        <w:t>Furthermore, in </w:t>
      </w:r>
      <w:r>
        <w:rPr>
          <w:rFonts w:ascii="Arial" w:hAnsi="Arial"/>
          <w:b/>
          <w:sz w:val="24"/>
        </w:rPr>
        <w:t>Hart v O’Connor [1985] AC 1000</w:t>
      </w:r>
      <w:r>
        <w:rPr>
          <w:sz w:val="24"/>
        </w:rPr>
        <w:t>, the court emphasized </w:t>
      </w:r>
      <w:r>
        <w:rPr>
          <w:sz w:val="24"/>
        </w:rPr>
        <w:t>valid agreement happens when a person with a healthy mental state enters into a contract </w:t>
      </w:r>
      <w:r>
        <w:rPr>
          <w:rFonts w:ascii="Arial" w:hAnsi="Arial"/>
          <w:b/>
          <w:sz w:val="24"/>
        </w:rPr>
        <w:t>legally binding </w:t>
      </w:r>
      <w:r>
        <w:rPr>
          <w:sz w:val="24"/>
        </w:rPr>
        <w:t>unless proven otherwise. As both parties in our case are legally capable, </w:t>
      </w:r>
      <w:r>
        <w:rPr>
          <w:rFonts w:ascii="Arial" w:hAnsi="Arial"/>
          <w:b/>
          <w:sz w:val="24"/>
        </w:rPr>
        <w:t>this requirement is clearly satisfied</w:t>
      </w:r>
      <w:r>
        <w:rPr>
          <w:sz w:val="24"/>
        </w:rPr>
        <w:t>.</w:t>
      </w:r>
    </w:p>
    <w:p>
      <w:pPr>
        <w:pStyle w:val="Heading1"/>
      </w:pPr>
      <w:bookmarkStart w:name="Conclusion on Capacity to Contract " w:id="22"/>
      <w:bookmarkEnd w:id="22"/>
      <w:r>
        <w:rPr>
          <w:b w:val="0"/>
        </w:rPr>
      </w:r>
      <w:r>
        <w:rPr/>
        <w:t>Conclusion on Capacity to </w:t>
      </w:r>
      <w:r>
        <w:rPr>
          <w:spacing w:val="-2"/>
        </w:rPr>
        <w:t>Contract</w:t>
      </w:r>
    </w:p>
    <w:p>
      <w:pPr>
        <w:pStyle w:val="BodyText"/>
        <w:spacing w:before="5"/>
        <w:rPr>
          <w:rFonts w:ascii="Arial"/>
          <w:b/>
        </w:rPr>
      </w:pPr>
    </w:p>
    <w:p>
      <w:pPr>
        <w:pStyle w:val="BodyText"/>
        <w:spacing w:line="276" w:lineRule="auto" w:before="1"/>
        <w:ind w:left="23" w:right="33"/>
        <w:jc w:val="both"/>
      </w:pPr>
      <w:r>
        <w:rPr/>
        <w:t>The agreement holds legal validity due to the full legal capacity both parties have.</w:t>
      </w:r>
      <w:r>
        <w:rPr>
          <w:spacing w:val="-3"/>
        </w:rPr>
        <w:t> </w:t>
      </w:r>
      <w:r>
        <w:rPr/>
        <w:t>Law establishes no obstacles for enabling the enforcement of this agreement.</w:t>
      </w:r>
    </w:p>
    <w:p>
      <w:pPr>
        <w:pStyle w:val="BodyText"/>
        <w:spacing w:before="3"/>
      </w:pPr>
    </w:p>
    <w:p>
      <w:pPr>
        <w:pStyle w:val="Heading1"/>
        <w:spacing w:before="1"/>
      </w:pPr>
      <w:bookmarkStart w:name="Legal Precedents Supporting Contract For" w:id="23"/>
      <w:bookmarkEnd w:id="23"/>
      <w:r>
        <w:rPr>
          <w:b w:val="0"/>
        </w:rPr>
      </w:r>
      <w:r>
        <w:rPr/>
        <w:t>Legal Precedents Supporting Contract </w:t>
      </w:r>
      <w:r>
        <w:rPr>
          <w:spacing w:val="-2"/>
        </w:rPr>
        <w:t>Formation</w:t>
      </w:r>
    </w:p>
    <w:p>
      <w:pPr>
        <w:pStyle w:val="BodyText"/>
        <w:spacing w:before="5"/>
        <w:rPr>
          <w:rFonts w:ascii="Arial"/>
          <w:b/>
        </w:rPr>
      </w:pPr>
    </w:p>
    <w:p>
      <w:pPr>
        <w:pStyle w:val="BodyText"/>
        <w:ind w:left="23"/>
        <w:jc w:val="both"/>
      </w:pPr>
      <w:r>
        <w:rPr/>
        <w:t>Several key cases reinforce the argument that a binding contract was </w:t>
      </w:r>
      <w:r>
        <w:rPr>
          <w:spacing w:val="-2"/>
        </w:rPr>
        <w:t>formed:</w:t>
      </w:r>
    </w:p>
    <w:p>
      <w:pPr>
        <w:pStyle w:val="BodyText"/>
        <w:spacing w:before="5"/>
      </w:pPr>
    </w:p>
    <w:p>
      <w:pPr>
        <w:pStyle w:val="ListParagraph"/>
        <w:numPr>
          <w:ilvl w:val="0"/>
          <w:numId w:val="5"/>
        </w:numPr>
        <w:tabs>
          <w:tab w:pos="743" w:val="left" w:leader="none"/>
        </w:tabs>
        <w:spacing w:line="276" w:lineRule="auto" w:before="0" w:after="0"/>
        <w:ind w:left="743" w:right="26" w:hanging="360"/>
        <w:jc w:val="both"/>
        <w:rPr>
          <w:sz w:val="24"/>
        </w:rPr>
      </w:pPr>
      <w:r>
        <w:rPr>
          <w:rFonts w:ascii="Arial" w:hAnsi="Arial"/>
          <w:b/>
          <w:sz w:val="24"/>
        </w:rPr>
        <w:t>Carlill v Carbolic Smoke Ball Co [1893] 1 QB 256 </w:t>
      </w:r>
      <w:r>
        <w:rPr>
          <w:sz w:val="24"/>
        </w:rPr>
        <w:t>– This case defined that a valid contract requires three elements: an offer combined with </w:t>
      </w:r>
      <w:r>
        <w:rPr>
          <w:sz w:val="24"/>
        </w:rPr>
        <w:t>acceptance supported by consideration which matches our current agreement.</w:t>
      </w:r>
    </w:p>
    <w:p>
      <w:pPr>
        <w:pStyle w:val="BodyText"/>
      </w:pPr>
    </w:p>
    <w:p>
      <w:pPr>
        <w:pStyle w:val="BodyText"/>
        <w:spacing w:before="246"/>
      </w:pPr>
    </w:p>
    <w:p>
      <w:pPr>
        <w:pStyle w:val="ListParagraph"/>
        <w:numPr>
          <w:ilvl w:val="0"/>
          <w:numId w:val="5"/>
        </w:numPr>
        <w:tabs>
          <w:tab w:pos="743" w:val="left" w:leader="none"/>
        </w:tabs>
        <w:spacing w:line="276" w:lineRule="auto" w:before="0" w:after="0"/>
        <w:ind w:left="743" w:right="26" w:hanging="360"/>
        <w:jc w:val="both"/>
        <w:rPr>
          <w:sz w:val="24"/>
        </w:rPr>
      </w:pPr>
      <w:r>
        <w:rPr>
          <w:rFonts w:ascii="Arial" w:hAnsi="Arial"/>
          <w:b/>
          <w:sz w:val="24"/>
        </w:rPr>
        <w:t>Gibson v Manchester City</w:t>
      </w:r>
      <w:r>
        <w:rPr>
          <w:rFonts w:ascii="Arial" w:hAnsi="Arial"/>
          <w:b/>
          <w:spacing w:val="-3"/>
          <w:sz w:val="24"/>
        </w:rPr>
        <w:t> </w:t>
      </w:r>
      <w:r>
        <w:rPr>
          <w:rFonts w:ascii="Arial" w:hAnsi="Arial"/>
          <w:b/>
          <w:sz w:val="24"/>
        </w:rPr>
        <w:t>Council</w:t>
      </w:r>
      <w:r>
        <w:rPr>
          <w:rFonts w:ascii="Arial" w:hAnsi="Arial"/>
          <w:b/>
          <w:spacing w:val="-3"/>
          <w:sz w:val="24"/>
        </w:rPr>
        <w:t> </w:t>
      </w:r>
      <w:r>
        <w:rPr>
          <w:rFonts w:ascii="Arial" w:hAnsi="Arial"/>
          <w:b/>
          <w:sz w:val="24"/>
        </w:rPr>
        <w:t>[1979]</w:t>
      </w:r>
      <w:r>
        <w:rPr>
          <w:rFonts w:ascii="Arial" w:hAnsi="Arial"/>
          <w:b/>
          <w:spacing w:val="-3"/>
          <w:sz w:val="24"/>
        </w:rPr>
        <w:t> </w:t>
      </w:r>
      <w:r>
        <w:rPr>
          <w:rFonts w:ascii="Arial" w:hAnsi="Arial"/>
          <w:b/>
          <w:sz w:val="24"/>
        </w:rPr>
        <w:t>1</w:t>
      </w:r>
      <w:r>
        <w:rPr>
          <w:rFonts w:ascii="Arial" w:hAnsi="Arial"/>
          <w:b/>
          <w:spacing w:val="-3"/>
          <w:sz w:val="24"/>
        </w:rPr>
        <w:t> </w:t>
      </w:r>
      <w:r>
        <w:rPr>
          <w:rFonts w:ascii="Arial" w:hAnsi="Arial"/>
          <w:b/>
          <w:sz w:val="24"/>
        </w:rPr>
        <w:t>WLR</w:t>
      </w:r>
      <w:r>
        <w:rPr>
          <w:rFonts w:ascii="Arial" w:hAnsi="Arial"/>
          <w:b/>
          <w:spacing w:val="-3"/>
          <w:sz w:val="24"/>
        </w:rPr>
        <w:t> </w:t>
      </w:r>
      <w:r>
        <w:rPr>
          <w:rFonts w:ascii="Arial" w:hAnsi="Arial"/>
          <w:b/>
          <w:sz w:val="24"/>
        </w:rPr>
        <w:t>294</w:t>
      </w:r>
      <w:r>
        <w:rPr>
          <w:rFonts w:ascii="Arial" w:hAnsi="Arial"/>
          <w:b/>
          <w:spacing w:val="-3"/>
          <w:sz w:val="24"/>
        </w:rPr>
        <w:t> </w:t>
      </w:r>
      <w:r>
        <w:rPr>
          <w:sz w:val="24"/>
        </w:rPr>
        <w:t>–</w:t>
      </w:r>
      <w:r>
        <w:rPr>
          <w:spacing w:val="-3"/>
          <w:sz w:val="24"/>
        </w:rPr>
        <w:t> </w:t>
      </w:r>
      <w:r>
        <w:rPr>
          <w:sz w:val="24"/>
        </w:rPr>
        <w:t>This</w:t>
      </w:r>
      <w:r>
        <w:rPr>
          <w:spacing w:val="-3"/>
          <w:sz w:val="24"/>
        </w:rPr>
        <w:t> </w:t>
      </w:r>
      <w:r>
        <w:rPr>
          <w:sz w:val="24"/>
        </w:rPr>
        <w:t>case</w:t>
      </w:r>
      <w:r>
        <w:rPr>
          <w:spacing w:val="-3"/>
          <w:sz w:val="24"/>
        </w:rPr>
        <w:t> </w:t>
      </w:r>
      <w:r>
        <w:rPr>
          <w:sz w:val="24"/>
        </w:rPr>
        <w:t>emphasized that negotiations alone do not constitute a contract. However, since our agreement included a firm offer, acceptance, and payment, it meets the criteria for a legally binding contract.</w:t>
      </w:r>
    </w:p>
    <w:p>
      <w:pPr>
        <w:pStyle w:val="BodyText"/>
        <w:spacing w:before="41"/>
      </w:pPr>
    </w:p>
    <w:p>
      <w:pPr>
        <w:pStyle w:val="ListParagraph"/>
        <w:numPr>
          <w:ilvl w:val="0"/>
          <w:numId w:val="5"/>
        </w:numPr>
        <w:tabs>
          <w:tab w:pos="743" w:val="left" w:leader="none"/>
        </w:tabs>
        <w:spacing w:line="276" w:lineRule="auto" w:before="0" w:after="0"/>
        <w:ind w:left="743" w:right="22" w:hanging="360"/>
        <w:jc w:val="both"/>
        <w:rPr>
          <w:sz w:val="24"/>
        </w:rPr>
      </w:pPr>
      <w:r>
        <w:rPr>
          <w:rFonts w:ascii="Arial" w:hAnsi="Arial"/>
          <w:b/>
          <w:sz w:val="24"/>
        </w:rPr>
        <w:t>Parker v Clark [1960] 1 WLR 286 </w:t>
      </w:r>
      <w:r>
        <w:rPr>
          <w:sz w:val="24"/>
        </w:rPr>
        <w:t>– A party's reliance on contractual </w:t>
      </w:r>
      <w:r>
        <w:rPr>
          <w:sz w:val="24"/>
        </w:rPr>
        <w:t>promises that include financial commitments combined with altered residential plans hardens the enforceability of their promises. Quick Pay of my deposit together with my rental agreement show my reliance on the property agreement.</w:t>
      </w:r>
    </w:p>
    <w:p>
      <w:pPr>
        <w:pStyle w:val="BodyText"/>
      </w:pPr>
    </w:p>
    <w:p>
      <w:pPr>
        <w:pStyle w:val="BodyText"/>
        <w:spacing w:before="245"/>
      </w:pPr>
    </w:p>
    <w:p>
      <w:pPr>
        <w:pStyle w:val="ListParagraph"/>
        <w:numPr>
          <w:ilvl w:val="0"/>
          <w:numId w:val="5"/>
        </w:numPr>
        <w:tabs>
          <w:tab w:pos="743" w:val="left" w:leader="none"/>
        </w:tabs>
        <w:spacing w:line="276" w:lineRule="auto" w:before="1" w:after="0"/>
        <w:ind w:left="743" w:right="21" w:hanging="360"/>
        <w:jc w:val="both"/>
        <w:rPr>
          <w:sz w:val="24"/>
        </w:rPr>
      </w:pPr>
      <w:r>
        <w:rPr>
          <w:rFonts w:ascii="Arial" w:hAnsi="Arial"/>
          <w:b/>
          <w:sz w:val="24"/>
        </w:rPr>
        <w:t>Spencer v Harding [1870] LR 5 CP 561 </w:t>
      </w:r>
      <w:r>
        <w:rPr>
          <w:sz w:val="24"/>
        </w:rPr>
        <w:t>– This case clarifies that invitations to negotiate do not form contracts, but once an offer is made and accepted, as </w:t>
      </w:r>
      <w:r>
        <w:rPr>
          <w:sz w:val="24"/>
        </w:rPr>
        <w:t>in our case, a binding agreement arises.</w:t>
      </w:r>
    </w:p>
    <w:p>
      <w:pPr>
        <w:pStyle w:val="ListParagraph"/>
        <w:spacing w:after="0" w:line="276" w:lineRule="auto"/>
        <w:jc w:val="both"/>
        <w:rPr>
          <w:sz w:val="24"/>
        </w:rPr>
        <w:sectPr>
          <w:pgSz w:w="12240" w:h="15840"/>
          <w:pgMar w:top="1360" w:bottom="280" w:left="1417" w:right="1417"/>
        </w:sectPr>
      </w:pPr>
    </w:p>
    <w:p>
      <w:pPr>
        <w:pStyle w:val="Heading1"/>
        <w:spacing w:before="80"/>
      </w:pPr>
      <w:bookmarkStart w:name="Implications of Breach of Contract " w:id="24"/>
      <w:bookmarkEnd w:id="24"/>
      <w:r>
        <w:rPr>
          <w:b w:val="0"/>
        </w:rPr>
      </w:r>
      <w:r>
        <w:rPr/>
        <w:t>Implications of Breach of </w:t>
      </w:r>
      <w:r>
        <w:rPr>
          <w:spacing w:val="-2"/>
        </w:rPr>
        <w:t>Contract</w:t>
      </w:r>
    </w:p>
    <w:p>
      <w:pPr>
        <w:pStyle w:val="BodyText"/>
        <w:spacing w:before="5"/>
        <w:rPr>
          <w:rFonts w:ascii="Arial"/>
          <w:b/>
        </w:rPr>
      </w:pPr>
    </w:p>
    <w:p>
      <w:pPr>
        <w:pStyle w:val="BodyText"/>
        <w:spacing w:line="276" w:lineRule="auto"/>
        <w:ind w:left="23" w:right="29"/>
        <w:jc w:val="both"/>
      </w:pPr>
      <w:r>
        <w:rPr/>
        <w:t>Since all the essential elements of contract formation are present, a legally </w:t>
      </w:r>
      <w:r>
        <w:rPr/>
        <w:t>binding contract exists between us. Your decision to rent the flat to another tenant despite our agreement constitutes a breach of contract. The legal implications of this breach may </w:t>
      </w:r>
      <w:r>
        <w:rPr>
          <w:spacing w:val="-2"/>
        </w:rPr>
        <w:t>include:</w:t>
      </w:r>
    </w:p>
    <w:p>
      <w:pPr>
        <w:pStyle w:val="BodyText"/>
        <w:spacing w:before="4"/>
      </w:pPr>
    </w:p>
    <w:p>
      <w:pPr>
        <w:pStyle w:val="Heading1"/>
        <w:numPr>
          <w:ilvl w:val="0"/>
          <w:numId w:val="6"/>
        </w:numPr>
        <w:tabs>
          <w:tab w:pos="289" w:val="left" w:leader="none"/>
        </w:tabs>
        <w:spacing w:line="240" w:lineRule="auto" w:before="0" w:after="0"/>
        <w:ind w:left="289" w:right="0" w:hanging="266"/>
        <w:jc w:val="left"/>
      </w:pPr>
      <w:bookmarkStart w:name="1. Damages " w:id="25"/>
      <w:bookmarkEnd w:id="25"/>
      <w:r>
        <w:rPr>
          <w:b w:val="0"/>
        </w:rPr>
      </w:r>
      <w:r>
        <w:rPr>
          <w:spacing w:val="-2"/>
        </w:rPr>
        <w:t>Damages</w:t>
      </w:r>
    </w:p>
    <w:p>
      <w:pPr>
        <w:pStyle w:val="BodyText"/>
        <w:spacing w:before="5"/>
        <w:rPr>
          <w:rFonts w:ascii="Arial"/>
          <w:b/>
        </w:rPr>
      </w:pPr>
    </w:p>
    <w:p>
      <w:pPr>
        <w:pStyle w:val="BodyText"/>
        <w:spacing w:line="276" w:lineRule="auto" w:before="1"/>
        <w:ind w:left="23" w:right="23"/>
        <w:jc w:val="both"/>
      </w:pPr>
      <w:r>
        <w:rPr/>
        <w:t>I may be entitled to claim financial damages for losses incurred due to your </w:t>
      </w:r>
      <w:r>
        <w:rPr/>
        <w:t>breach, </w:t>
      </w:r>
      <w:r>
        <w:rPr>
          <w:spacing w:val="-2"/>
        </w:rPr>
        <w:t>including:</w:t>
      </w:r>
    </w:p>
    <w:p>
      <w:pPr>
        <w:pStyle w:val="ListParagraph"/>
        <w:numPr>
          <w:ilvl w:val="1"/>
          <w:numId w:val="6"/>
        </w:numPr>
        <w:tabs>
          <w:tab w:pos="742" w:val="left" w:leader="none"/>
        </w:tabs>
        <w:spacing w:line="240" w:lineRule="auto" w:before="240" w:after="0"/>
        <w:ind w:left="742" w:right="0" w:hanging="359"/>
        <w:jc w:val="left"/>
        <w:rPr>
          <w:sz w:val="24"/>
        </w:rPr>
      </w:pPr>
      <w:r>
        <w:rPr>
          <w:sz w:val="24"/>
        </w:rPr>
        <w:t>Additional costs of securing alternative </w:t>
      </w:r>
      <w:r>
        <w:rPr>
          <w:spacing w:val="-2"/>
          <w:sz w:val="24"/>
        </w:rPr>
        <w:t>accommodation.</w:t>
      </w:r>
    </w:p>
    <w:p>
      <w:pPr>
        <w:pStyle w:val="ListParagraph"/>
        <w:numPr>
          <w:ilvl w:val="1"/>
          <w:numId w:val="6"/>
        </w:numPr>
        <w:tabs>
          <w:tab w:pos="742" w:val="left" w:leader="none"/>
        </w:tabs>
        <w:spacing w:line="240" w:lineRule="auto" w:before="41" w:after="0"/>
        <w:ind w:left="742" w:right="0" w:hanging="359"/>
        <w:jc w:val="left"/>
        <w:rPr>
          <w:sz w:val="24"/>
        </w:rPr>
      </w:pPr>
      <w:r>
        <w:rPr>
          <w:sz w:val="24"/>
        </w:rPr>
        <w:t>Financial hardship caused by the sudden cancellation of the </w:t>
      </w:r>
      <w:r>
        <w:rPr>
          <w:spacing w:val="-2"/>
          <w:sz w:val="24"/>
        </w:rPr>
        <w:t>agreement.</w:t>
      </w:r>
    </w:p>
    <w:p>
      <w:pPr>
        <w:pStyle w:val="BodyText"/>
        <w:spacing w:before="5"/>
      </w:pPr>
    </w:p>
    <w:p>
      <w:pPr>
        <w:spacing w:line="276" w:lineRule="auto" w:before="0"/>
        <w:ind w:left="23" w:right="30" w:firstLine="0"/>
        <w:jc w:val="both"/>
        <w:rPr>
          <w:sz w:val="24"/>
        </w:rPr>
      </w:pPr>
      <w:r>
        <w:rPr>
          <w:sz w:val="24"/>
        </w:rPr>
        <w:t>In </w:t>
      </w:r>
      <w:r>
        <w:rPr>
          <w:rFonts w:ascii="Arial"/>
          <w:b/>
          <w:sz w:val="24"/>
        </w:rPr>
        <w:t>Anglia Television Ltd v Reed [1972] 1 QB 60</w:t>
      </w:r>
      <w:r>
        <w:rPr>
          <w:sz w:val="24"/>
        </w:rPr>
        <w:t>, the court ruled that</w:t>
      </w:r>
      <w:r>
        <w:rPr>
          <w:spacing w:val="-4"/>
          <w:sz w:val="24"/>
        </w:rPr>
        <w:t> </w:t>
      </w:r>
      <w:r>
        <w:rPr>
          <w:sz w:val="24"/>
        </w:rPr>
        <w:t>a</w:t>
      </w:r>
      <w:r>
        <w:rPr>
          <w:spacing w:val="-4"/>
          <w:sz w:val="24"/>
        </w:rPr>
        <w:t> </w:t>
      </w:r>
      <w:r>
        <w:rPr>
          <w:sz w:val="24"/>
        </w:rPr>
        <w:t>party</w:t>
      </w:r>
      <w:r>
        <w:rPr>
          <w:spacing w:val="-4"/>
          <w:sz w:val="24"/>
        </w:rPr>
        <w:t> </w:t>
      </w:r>
      <w:r>
        <w:rPr>
          <w:sz w:val="24"/>
        </w:rPr>
        <w:t>suffering losses due to a breach of contract can claim damages for financial loss.</w:t>
      </w:r>
    </w:p>
    <w:p>
      <w:pPr>
        <w:pStyle w:val="BodyText"/>
        <w:spacing w:before="4"/>
      </w:pPr>
    </w:p>
    <w:p>
      <w:pPr>
        <w:pStyle w:val="Heading1"/>
        <w:numPr>
          <w:ilvl w:val="0"/>
          <w:numId w:val="6"/>
        </w:numPr>
        <w:tabs>
          <w:tab w:pos="289" w:val="left" w:leader="none"/>
        </w:tabs>
        <w:spacing w:line="240" w:lineRule="auto" w:before="0" w:after="0"/>
        <w:ind w:left="289" w:right="0" w:hanging="266"/>
        <w:jc w:val="left"/>
      </w:pPr>
      <w:bookmarkStart w:name="2. Specific Performance " w:id="26"/>
      <w:bookmarkEnd w:id="26"/>
      <w:r>
        <w:rPr>
          <w:b w:val="0"/>
        </w:rPr>
      </w:r>
      <w:r>
        <w:rPr/>
        <w:t>Specific </w:t>
      </w:r>
      <w:r>
        <w:rPr>
          <w:spacing w:val="-2"/>
        </w:rPr>
        <w:t>Performance</w:t>
      </w:r>
    </w:p>
    <w:p>
      <w:pPr>
        <w:pStyle w:val="BodyText"/>
        <w:spacing w:before="6"/>
        <w:rPr>
          <w:rFonts w:ascii="Arial"/>
          <w:b/>
        </w:rPr>
      </w:pPr>
    </w:p>
    <w:p>
      <w:pPr>
        <w:pStyle w:val="BodyText"/>
        <w:spacing w:line="276" w:lineRule="auto"/>
        <w:ind w:left="23" w:right="22"/>
        <w:jc w:val="both"/>
      </w:pPr>
      <w:r>
        <w:rPr/>
        <w:t>I could seek a legal remedy compelling you to honor our agreement and proceed </w:t>
      </w:r>
      <w:r>
        <w:rPr/>
        <w:t>with the tenancy. The remedy of specific performance is often awarded in cases involving land transactions, as real estate is considered unique.</w:t>
      </w:r>
    </w:p>
    <w:p>
      <w:pPr>
        <w:pStyle w:val="BodyText"/>
        <w:spacing w:before="4"/>
      </w:pPr>
    </w:p>
    <w:p>
      <w:pPr>
        <w:pStyle w:val="Heading1"/>
        <w:spacing w:before="0"/>
      </w:pPr>
      <w:bookmarkStart w:name="Conclusion " w:id="27"/>
      <w:bookmarkEnd w:id="27"/>
      <w:r>
        <w:rPr>
          <w:b w:val="0"/>
        </w:rPr>
      </w:r>
      <w:r>
        <w:rPr>
          <w:spacing w:val="-2"/>
        </w:rPr>
        <w:t>Conclusion</w:t>
      </w:r>
    </w:p>
    <w:p>
      <w:pPr>
        <w:pStyle w:val="BodyText"/>
        <w:spacing w:before="5"/>
        <w:rPr>
          <w:rFonts w:ascii="Arial"/>
          <w:b/>
        </w:rPr>
      </w:pPr>
    </w:p>
    <w:p>
      <w:pPr>
        <w:pStyle w:val="BodyText"/>
        <w:spacing w:line="276" w:lineRule="auto"/>
        <w:ind w:left="23" w:right="26"/>
        <w:jc w:val="both"/>
      </w:pPr>
      <w:r>
        <w:rPr/>
        <w:t>A legally binding contract was formed when you made the offer, I accepted, and </w:t>
      </w:r>
      <w:r>
        <w:rPr/>
        <w:t>I provided consideration through the deposit payment. Your subsequent decision to rent the flat to another person despite our agreement constitutes a breach of contract.</w:t>
      </w:r>
    </w:p>
    <w:p>
      <w:pPr>
        <w:pStyle w:val="BodyText"/>
        <w:spacing w:line="276" w:lineRule="auto" w:before="240"/>
        <w:ind w:left="23" w:right="29"/>
      </w:pPr>
      <w:r>
        <w:rPr/>
        <w:t>I strongly urge you to reconsider your decision</w:t>
      </w:r>
      <w:r>
        <w:rPr>
          <w:spacing w:val="-3"/>
        </w:rPr>
        <w:t> </w:t>
      </w:r>
      <w:r>
        <w:rPr/>
        <w:t>and</w:t>
      </w:r>
      <w:r>
        <w:rPr>
          <w:spacing w:val="-3"/>
        </w:rPr>
        <w:t> </w:t>
      </w:r>
      <w:r>
        <w:rPr/>
        <w:t>uphold</w:t>
      </w:r>
      <w:r>
        <w:rPr>
          <w:spacing w:val="-3"/>
        </w:rPr>
        <w:t> </w:t>
      </w:r>
      <w:r>
        <w:rPr/>
        <w:t>our</w:t>
      </w:r>
      <w:r>
        <w:rPr>
          <w:spacing w:val="-3"/>
        </w:rPr>
        <w:t> </w:t>
      </w:r>
      <w:r>
        <w:rPr/>
        <w:t>agreement.</w:t>
      </w:r>
      <w:r>
        <w:rPr>
          <w:spacing w:val="-3"/>
        </w:rPr>
        <w:t> </w:t>
      </w:r>
      <w:r>
        <w:rPr/>
        <w:t>If</w:t>
      </w:r>
      <w:r>
        <w:rPr>
          <w:spacing w:val="-3"/>
        </w:rPr>
        <w:t> </w:t>
      </w:r>
      <w:r>
        <w:rPr/>
        <w:t>this</w:t>
      </w:r>
      <w:r>
        <w:rPr>
          <w:spacing w:val="-3"/>
        </w:rPr>
        <w:t> </w:t>
      </w:r>
      <w:r>
        <w:rPr/>
        <w:t>matter is not resolved amicably, I may have no choice but to pursue legal action.</w:t>
      </w:r>
    </w:p>
    <w:p>
      <w:pPr>
        <w:pStyle w:val="BodyText"/>
        <w:spacing w:line="558" w:lineRule="exact" w:before="19"/>
        <w:ind w:left="23" w:right="4642"/>
      </w:pPr>
      <w:r>
        <w:rPr/>
        <w:t>I</w:t>
      </w:r>
      <w:r>
        <w:rPr>
          <w:spacing w:val="-7"/>
        </w:rPr>
        <w:t> </w:t>
      </w:r>
      <w:r>
        <w:rPr/>
        <w:t>look</w:t>
      </w:r>
      <w:r>
        <w:rPr>
          <w:spacing w:val="-7"/>
        </w:rPr>
        <w:t> </w:t>
      </w:r>
      <w:r>
        <w:rPr/>
        <w:t>forward</w:t>
      </w:r>
      <w:r>
        <w:rPr>
          <w:spacing w:val="-7"/>
        </w:rPr>
        <w:t> </w:t>
      </w:r>
      <w:r>
        <w:rPr/>
        <w:t>to</w:t>
      </w:r>
      <w:r>
        <w:rPr>
          <w:spacing w:val="-7"/>
        </w:rPr>
        <w:t> </w:t>
      </w:r>
      <w:r>
        <w:rPr/>
        <w:t>your</w:t>
      </w:r>
      <w:r>
        <w:rPr>
          <w:spacing w:val="-7"/>
        </w:rPr>
        <w:t> </w:t>
      </w:r>
      <w:r>
        <w:rPr/>
        <w:t>prompt</w:t>
      </w:r>
      <w:r>
        <w:rPr>
          <w:spacing w:val="-7"/>
        </w:rPr>
        <w:t> </w:t>
      </w:r>
      <w:r>
        <w:rPr/>
        <w:t>response. Yours sincerely,</w:t>
      </w:r>
    </w:p>
    <w:p>
      <w:pPr>
        <w:pStyle w:val="BodyText"/>
        <w:spacing w:line="256" w:lineRule="exact"/>
        <w:ind w:left="89"/>
      </w:pPr>
      <w:r>
        <w:rPr>
          <w:spacing w:val="-4"/>
        </w:rPr>
        <w:t>Jane</w:t>
      </w:r>
    </w:p>
    <w:p>
      <w:pPr>
        <w:pStyle w:val="BodyText"/>
        <w:spacing w:after="0" w:line="256" w:lineRule="exact"/>
        <w:sectPr>
          <w:pgSz w:w="12240" w:h="15840"/>
          <w:pgMar w:top="1360" w:bottom="280" w:left="1417" w:right="1417"/>
        </w:sectPr>
      </w:pPr>
    </w:p>
    <w:p>
      <w:pPr>
        <w:pStyle w:val="Heading1"/>
        <w:spacing w:before="254"/>
      </w:pPr>
      <w:r>
        <w:rPr>
          <w:spacing w:val="-2"/>
        </w:rPr>
        <w:t>References</w:t>
      </w:r>
    </w:p>
    <w:p>
      <w:pPr>
        <w:pStyle w:val="BodyText"/>
        <w:spacing w:before="83"/>
        <w:rPr>
          <w:rFonts w:ascii="Arial"/>
          <w:b/>
        </w:rPr>
      </w:pPr>
    </w:p>
    <w:p>
      <w:pPr>
        <w:pStyle w:val="ListParagraph"/>
        <w:numPr>
          <w:ilvl w:val="0"/>
          <w:numId w:val="7"/>
        </w:numPr>
        <w:tabs>
          <w:tab w:pos="742" w:val="left" w:leader="none"/>
        </w:tabs>
        <w:spacing w:line="240" w:lineRule="auto" w:before="0" w:after="0"/>
        <w:ind w:left="742" w:right="0" w:hanging="359"/>
        <w:jc w:val="left"/>
        <w:rPr>
          <w:sz w:val="24"/>
        </w:rPr>
      </w:pPr>
      <w:r>
        <w:rPr>
          <w:rFonts w:ascii="Arial"/>
          <w:b/>
          <w:sz w:val="24"/>
        </w:rPr>
        <w:t>Carlill</w:t>
      </w:r>
      <w:r>
        <w:rPr>
          <w:rFonts w:ascii="Arial"/>
          <w:b/>
          <w:spacing w:val="-2"/>
          <w:sz w:val="24"/>
        </w:rPr>
        <w:t> </w:t>
      </w:r>
      <w:r>
        <w:rPr>
          <w:rFonts w:ascii="Arial"/>
          <w:b/>
          <w:sz w:val="24"/>
        </w:rPr>
        <w:t>v.</w:t>
      </w:r>
      <w:r>
        <w:rPr>
          <w:rFonts w:ascii="Arial"/>
          <w:b/>
          <w:spacing w:val="-2"/>
          <w:sz w:val="24"/>
        </w:rPr>
        <w:t> </w:t>
      </w:r>
      <w:r>
        <w:rPr>
          <w:rFonts w:ascii="Arial"/>
          <w:b/>
          <w:sz w:val="24"/>
        </w:rPr>
        <w:t>Carbolic</w:t>
      </w:r>
      <w:r>
        <w:rPr>
          <w:rFonts w:ascii="Arial"/>
          <w:b/>
          <w:spacing w:val="-2"/>
          <w:sz w:val="24"/>
        </w:rPr>
        <w:t> </w:t>
      </w:r>
      <w:r>
        <w:rPr>
          <w:rFonts w:ascii="Arial"/>
          <w:b/>
          <w:sz w:val="24"/>
        </w:rPr>
        <w:t>Smoke</w:t>
      </w:r>
      <w:r>
        <w:rPr>
          <w:rFonts w:ascii="Arial"/>
          <w:b/>
          <w:spacing w:val="-2"/>
          <w:sz w:val="24"/>
        </w:rPr>
        <w:t> </w:t>
      </w:r>
      <w:r>
        <w:rPr>
          <w:rFonts w:ascii="Arial"/>
          <w:b/>
          <w:sz w:val="24"/>
        </w:rPr>
        <w:t>Ball</w:t>
      </w:r>
      <w:r>
        <w:rPr>
          <w:rFonts w:ascii="Arial"/>
          <w:b/>
          <w:spacing w:val="-2"/>
          <w:sz w:val="24"/>
        </w:rPr>
        <w:t> </w:t>
      </w:r>
      <w:r>
        <w:rPr>
          <w:rFonts w:ascii="Arial"/>
          <w:b/>
          <w:sz w:val="24"/>
        </w:rPr>
        <w:t>Company</w:t>
      </w:r>
      <w:r>
        <w:rPr>
          <w:rFonts w:ascii="Arial"/>
          <w:b/>
          <w:spacing w:val="-2"/>
          <w:sz w:val="24"/>
        </w:rPr>
        <w:t> </w:t>
      </w:r>
      <w:r>
        <w:rPr>
          <w:sz w:val="24"/>
        </w:rPr>
        <w:t>[1893]</w:t>
      </w:r>
      <w:r>
        <w:rPr>
          <w:spacing w:val="-2"/>
          <w:sz w:val="24"/>
        </w:rPr>
        <w:t> </w:t>
      </w:r>
      <w:r>
        <w:rPr>
          <w:sz w:val="24"/>
        </w:rPr>
        <w:t>1</w:t>
      </w:r>
      <w:r>
        <w:rPr>
          <w:spacing w:val="-2"/>
          <w:sz w:val="24"/>
        </w:rPr>
        <w:t> </w:t>
      </w:r>
      <w:r>
        <w:rPr>
          <w:sz w:val="24"/>
        </w:rPr>
        <w:t>Q.B.</w:t>
      </w:r>
      <w:r>
        <w:rPr>
          <w:spacing w:val="-2"/>
          <w:sz w:val="24"/>
        </w:rPr>
        <w:t> </w:t>
      </w:r>
      <w:r>
        <w:rPr>
          <w:spacing w:val="-4"/>
          <w:sz w:val="24"/>
        </w:rPr>
        <w:t>256.</w:t>
      </w:r>
    </w:p>
    <w:p>
      <w:pPr>
        <w:pStyle w:val="BodyText"/>
        <w:spacing w:line="276" w:lineRule="auto" w:before="42"/>
        <w:ind w:left="743" w:right="30" w:firstLine="81"/>
        <w:jc w:val="both"/>
      </w:pPr>
      <w:r>
        <w:rPr/>
        <w:t>In this landmark case, the court ruled that</w:t>
      </w:r>
      <w:r>
        <w:rPr>
          <w:spacing w:val="-3"/>
        </w:rPr>
        <w:t> </w:t>
      </w:r>
      <w:r>
        <w:rPr/>
        <w:t>an</w:t>
      </w:r>
      <w:r>
        <w:rPr>
          <w:spacing w:val="-3"/>
        </w:rPr>
        <w:t> </w:t>
      </w:r>
      <w:r>
        <w:rPr/>
        <w:t>advertisement</w:t>
      </w:r>
      <w:r>
        <w:rPr>
          <w:spacing w:val="-3"/>
        </w:rPr>
        <w:t> </w:t>
      </w:r>
      <w:r>
        <w:rPr/>
        <w:t>offering</w:t>
      </w:r>
      <w:r>
        <w:rPr>
          <w:spacing w:val="-3"/>
        </w:rPr>
        <w:t> </w:t>
      </w:r>
      <w:r>
        <w:rPr/>
        <w:t>rewards</w:t>
      </w:r>
      <w:r>
        <w:rPr>
          <w:spacing w:val="-3"/>
        </w:rPr>
        <w:t> </w:t>
      </w:r>
      <w:r>
        <w:rPr/>
        <w:t>for using the smoke ball constituted a unilateral contract, binding the defendant to pay once the condition was fulfilled.</w:t>
      </w:r>
    </w:p>
    <w:p>
      <w:pPr>
        <w:spacing w:line="276" w:lineRule="auto" w:before="0"/>
        <w:ind w:left="743" w:right="30" w:firstLine="111"/>
        <w:jc w:val="both"/>
        <w:rPr>
          <w:sz w:val="24"/>
        </w:rPr>
      </w:pPr>
      <w:r>
        <w:rPr>
          <w:sz w:val="24"/>
        </w:rPr>
        <w:t>Citation: </w:t>
      </w:r>
      <w:r>
        <w:rPr>
          <w:rFonts w:ascii="Arial"/>
          <w:i/>
          <w:sz w:val="24"/>
        </w:rPr>
        <w:t>Carlill v. Carbolic Smoke Ball Company </w:t>
      </w:r>
      <w:r>
        <w:rPr>
          <w:sz w:val="24"/>
        </w:rPr>
        <w:t>[1893] 1 Q.B. 256, Court </w:t>
      </w:r>
      <w:r>
        <w:rPr>
          <w:sz w:val="24"/>
        </w:rPr>
        <w:t>of </w:t>
      </w:r>
      <w:r>
        <w:rPr>
          <w:spacing w:val="-2"/>
          <w:sz w:val="24"/>
        </w:rPr>
        <w:t>Appeal.</w:t>
      </w:r>
    </w:p>
    <w:p>
      <w:pPr>
        <w:pStyle w:val="BodyText"/>
      </w:pPr>
    </w:p>
    <w:p>
      <w:pPr>
        <w:pStyle w:val="BodyText"/>
        <w:spacing w:before="82"/>
      </w:pPr>
    </w:p>
    <w:p>
      <w:pPr>
        <w:pStyle w:val="ListParagraph"/>
        <w:numPr>
          <w:ilvl w:val="0"/>
          <w:numId w:val="7"/>
        </w:numPr>
        <w:tabs>
          <w:tab w:pos="743" w:val="left" w:leader="none"/>
        </w:tabs>
        <w:spacing w:line="276" w:lineRule="auto" w:before="0" w:after="0"/>
        <w:ind w:left="743" w:right="23" w:hanging="360"/>
        <w:jc w:val="left"/>
        <w:rPr>
          <w:sz w:val="24"/>
        </w:rPr>
      </w:pPr>
      <w:r>
        <w:rPr>
          <w:rFonts w:ascii="Arial"/>
          <w:b/>
          <w:sz w:val="24"/>
        </w:rPr>
        <w:t>Beta</w:t>
      </w:r>
      <w:r>
        <w:rPr>
          <w:rFonts w:ascii="Arial"/>
          <w:b/>
          <w:spacing w:val="40"/>
          <w:sz w:val="24"/>
        </w:rPr>
        <w:t> </w:t>
      </w:r>
      <w:r>
        <w:rPr>
          <w:rFonts w:ascii="Arial"/>
          <w:b/>
          <w:sz w:val="24"/>
        </w:rPr>
        <w:t>Computers</w:t>
      </w:r>
      <w:r>
        <w:rPr>
          <w:rFonts w:ascii="Arial"/>
          <w:b/>
          <w:spacing w:val="40"/>
          <w:sz w:val="24"/>
        </w:rPr>
        <w:t> </w:t>
      </w:r>
      <w:r>
        <w:rPr>
          <w:rFonts w:ascii="Arial"/>
          <w:b/>
          <w:sz w:val="24"/>
        </w:rPr>
        <w:t>(Europe)</w:t>
      </w:r>
      <w:r>
        <w:rPr>
          <w:rFonts w:ascii="Arial"/>
          <w:b/>
          <w:spacing w:val="40"/>
          <w:sz w:val="24"/>
        </w:rPr>
        <w:t> </w:t>
      </w:r>
      <w:r>
        <w:rPr>
          <w:rFonts w:ascii="Arial"/>
          <w:b/>
          <w:sz w:val="24"/>
        </w:rPr>
        <w:t>Ltd</w:t>
      </w:r>
      <w:r>
        <w:rPr>
          <w:rFonts w:ascii="Arial"/>
          <w:b/>
          <w:spacing w:val="40"/>
          <w:sz w:val="24"/>
        </w:rPr>
        <w:t> </w:t>
      </w:r>
      <w:r>
        <w:rPr>
          <w:rFonts w:ascii="Arial"/>
          <w:b/>
          <w:sz w:val="24"/>
        </w:rPr>
        <w:t>v</w:t>
      </w:r>
      <w:r>
        <w:rPr>
          <w:rFonts w:ascii="Arial"/>
          <w:b/>
          <w:spacing w:val="40"/>
          <w:sz w:val="24"/>
        </w:rPr>
        <w:t> </w:t>
      </w:r>
      <w:r>
        <w:rPr>
          <w:rFonts w:ascii="Arial"/>
          <w:b/>
          <w:sz w:val="24"/>
        </w:rPr>
        <w:t>Adobe</w:t>
      </w:r>
      <w:r>
        <w:rPr>
          <w:rFonts w:ascii="Arial"/>
          <w:b/>
          <w:spacing w:val="40"/>
          <w:sz w:val="24"/>
        </w:rPr>
        <w:t> </w:t>
      </w:r>
      <w:r>
        <w:rPr>
          <w:rFonts w:ascii="Arial"/>
          <w:b/>
          <w:sz w:val="24"/>
        </w:rPr>
        <w:t>Systems</w:t>
      </w:r>
      <w:r>
        <w:rPr>
          <w:rFonts w:ascii="Arial"/>
          <w:b/>
          <w:spacing w:val="40"/>
          <w:sz w:val="24"/>
        </w:rPr>
        <w:t> </w:t>
      </w:r>
      <w:r>
        <w:rPr>
          <w:rFonts w:ascii="Arial"/>
          <w:b/>
          <w:sz w:val="24"/>
        </w:rPr>
        <w:t>(Europe)</w:t>
      </w:r>
      <w:r>
        <w:rPr>
          <w:rFonts w:ascii="Arial"/>
          <w:b/>
          <w:spacing w:val="40"/>
          <w:sz w:val="24"/>
        </w:rPr>
        <w:t> </w:t>
      </w:r>
      <w:r>
        <w:rPr>
          <w:rFonts w:ascii="Arial"/>
          <w:b/>
          <w:sz w:val="24"/>
        </w:rPr>
        <w:t>Ltd</w:t>
      </w:r>
      <w:r>
        <w:rPr>
          <w:rFonts w:ascii="Arial"/>
          <w:b/>
          <w:spacing w:val="40"/>
          <w:sz w:val="24"/>
        </w:rPr>
        <w:t> </w:t>
      </w:r>
      <w:r>
        <w:rPr>
          <w:sz w:val="24"/>
        </w:rPr>
        <w:t>[1996]</w:t>
      </w:r>
      <w:r>
        <w:rPr>
          <w:spacing w:val="40"/>
          <w:sz w:val="24"/>
        </w:rPr>
        <w:t> </w:t>
      </w:r>
      <w:r>
        <w:rPr>
          <w:sz w:val="24"/>
        </w:rPr>
        <w:t>FSR 367, 1996 SLT 604, 1996 SCLR 587, (1995) IP &amp; T Digest 28.</w:t>
      </w:r>
    </w:p>
    <w:p>
      <w:pPr>
        <w:pStyle w:val="BodyText"/>
        <w:spacing w:line="276" w:lineRule="auto"/>
        <w:ind w:left="743" w:firstLine="141"/>
      </w:pPr>
      <w:r>
        <w:rPr/>
        <w:t>This</w:t>
      </w:r>
      <w:r>
        <w:rPr>
          <w:spacing w:val="40"/>
        </w:rPr>
        <w:t> </w:t>
      </w:r>
      <w:r>
        <w:rPr/>
        <w:t>intellectual</w:t>
      </w:r>
      <w:r>
        <w:rPr>
          <w:spacing w:val="40"/>
        </w:rPr>
        <w:t> </w:t>
      </w:r>
      <w:r>
        <w:rPr/>
        <w:t>property</w:t>
      </w:r>
      <w:r>
        <w:rPr>
          <w:spacing w:val="40"/>
        </w:rPr>
        <w:t> </w:t>
      </w:r>
      <w:r>
        <w:rPr/>
        <w:t>dispute</w:t>
      </w:r>
      <w:r>
        <w:rPr>
          <w:spacing w:val="40"/>
        </w:rPr>
        <w:t> </w:t>
      </w:r>
      <w:r>
        <w:rPr/>
        <w:t>addresses</w:t>
      </w:r>
      <w:r>
        <w:rPr>
          <w:spacing w:val="40"/>
        </w:rPr>
        <w:t> </w:t>
      </w:r>
      <w:r>
        <w:rPr/>
        <w:t>copyright</w:t>
      </w:r>
      <w:r>
        <w:rPr>
          <w:spacing w:val="40"/>
        </w:rPr>
        <w:t> </w:t>
      </w:r>
      <w:r>
        <w:rPr/>
        <w:t>infringement</w:t>
      </w:r>
      <w:r>
        <w:rPr>
          <w:spacing w:val="40"/>
        </w:rPr>
        <w:t> </w:t>
      </w:r>
      <w:r>
        <w:rPr/>
        <w:t>and</w:t>
      </w:r>
      <w:r>
        <w:rPr>
          <w:spacing w:val="40"/>
        </w:rPr>
        <w:t> </w:t>
      </w:r>
      <w:r>
        <w:rPr/>
        <w:t>the</w:t>
      </w:r>
      <w:r>
        <w:rPr>
          <w:spacing w:val="40"/>
        </w:rPr>
        <w:t> </w:t>
      </w:r>
      <w:r>
        <w:rPr/>
        <w:t>proper application of the law regarding software licensing agreements.</w:t>
      </w:r>
    </w:p>
    <w:p>
      <w:pPr>
        <w:spacing w:line="276" w:lineRule="auto" w:before="0"/>
        <w:ind w:left="743" w:right="0" w:firstLine="111"/>
        <w:jc w:val="left"/>
        <w:rPr>
          <w:sz w:val="24"/>
        </w:rPr>
      </w:pPr>
      <w:r>
        <w:rPr>
          <w:sz w:val="24"/>
        </w:rPr>
        <w:t>Citation:</w:t>
      </w:r>
      <w:r>
        <w:rPr>
          <w:spacing w:val="40"/>
          <w:sz w:val="24"/>
        </w:rPr>
        <w:t> </w:t>
      </w:r>
      <w:r>
        <w:rPr>
          <w:rFonts w:ascii="Arial"/>
          <w:i/>
          <w:sz w:val="24"/>
        </w:rPr>
        <w:t>Beta</w:t>
      </w:r>
      <w:r>
        <w:rPr>
          <w:rFonts w:ascii="Arial"/>
          <w:i/>
          <w:spacing w:val="40"/>
          <w:sz w:val="24"/>
        </w:rPr>
        <w:t> </w:t>
      </w:r>
      <w:r>
        <w:rPr>
          <w:rFonts w:ascii="Arial"/>
          <w:i/>
          <w:sz w:val="24"/>
        </w:rPr>
        <w:t>Computers</w:t>
      </w:r>
      <w:r>
        <w:rPr>
          <w:rFonts w:ascii="Arial"/>
          <w:i/>
          <w:spacing w:val="40"/>
          <w:sz w:val="24"/>
        </w:rPr>
        <w:t> </w:t>
      </w:r>
      <w:r>
        <w:rPr>
          <w:rFonts w:ascii="Arial"/>
          <w:i/>
          <w:sz w:val="24"/>
        </w:rPr>
        <w:t>(Europe)</w:t>
      </w:r>
      <w:r>
        <w:rPr>
          <w:rFonts w:ascii="Arial"/>
          <w:i/>
          <w:spacing w:val="40"/>
          <w:sz w:val="24"/>
        </w:rPr>
        <w:t> </w:t>
      </w:r>
      <w:r>
        <w:rPr>
          <w:rFonts w:ascii="Arial"/>
          <w:i/>
          <w:sz w:val="24"/>
        </w:rPr>
        <w:t>Ltd</w:t>
      </w:r>
      <w:r>
        <w:rPr>
          <w:rFonts w:ascii="Arial"/>
          <w:i/>
          <w:spacing w:val="40"/>
          <w:sz w:val="24"/>
        </w:rPr>
        <w:t> </w:t>
      </w:r>
      <w:r>
        <w:rPr>
          <w:rFonts w:ascii="Arial"/>
          <w:i/>
          <w:sz w:val="24"/>
        </w:rPr>
        <w:t>v Adobe Systems (Europe) Ltd </w:t>
      </w:r>
      <w:r>
        <w:rPr>
          <w:sz w:val="24"/>
        </w:rPr>
        <w:t>[1996] FSR 367, 1996 SLT 604, 1996 SCLR 587, (1995) IP &amp; T Digest 28.</w:t>
      </w:r>
    </w:p>
    <w:p>
      <w:pPr>
        <w:pStyle w:val="BodyText"/>
      </w:pPr>
    </w:p>
    <w:p>
      <w:pPr>
        <w:pStyle w:val="BodyText"/>
        <w:spacing w:before="83"/>
      </w:pPr>
    </w:p>
    <w:p>
      <w:pPr>
        <w:pStyle w:val="ListParagraph"/>
        <w:numPr>
          <w:ilvl w:val="0"/>
          <w:numId w:val="7"/>
        </w:numPr>
        <w:tabs>
          <w:tab w:pos="742" w:val="left" w:leader="none"/>
        </w:tabs>
        <w:spacing w:line="240" w:lineRule="auto" w:before="0" w:after="0"/>
        <w:ind w:left="742" w:right="0" w:hanging="359"/>
        <w:jc w:val="left"/>
        <w:rPr>
          <w:sz w:val="24"/>
        </w:rPr>
      </w:pPr>
      <w:r>
        <w:rPr>
          <w:rFonts w:ascii="Arial"/>
          <w:b/>
          <w:sz w:val="24"/>
        </w:rPr>
        <w:t>Entores Ltd v Miles Far East Corporation </w:t>
      </w:r>
      <w:r>
        <w:rPr>
          <w:sz w:val="24"/>
        </w:rPr>
        <w:t>[1955] 2 Q.B. </w:t>
      </w:r>
      <w:r>
        <w:rPr>
          <w:spacing w:val="-4"/>
          <w:sz w:val="24"/>
        </w:rPr>
        <w:t>327.</w:t>
      </w:r>
    </w:p>
    <w:p>
      <w:pPr>
        <w:pStyle w:val="BodyText"/>
        <w:spacing w:line="276" w:lineRule="auto" w:before="42"/>
        <w:ind w:left="743" w:firstLine="81"/>
      </w:pPr>
      <w:r>
        <w:rPr/>
        <w:t>The court in</w:t>
      </w:r>
      <w:r>
        <w:rPr>
          <w:spacing w:val="-3"/>
        </w:rPr>
        <w:t> </w:t>
      </w:r>
      <w:r>
        <w:rPr/>
        <w:t>this</w:t>
      </w:r>
      <w:r>
        <w:rPr>
          <w:spacing w:val="-3"/>
        </w:rPr>
        <w:t> </w:t>
      </w:r>
      <w:r>
        <w:rPr/>
        <w:t>case</w:t>
      </w:r>
      <w:r>
        <w:rPr>
          <w:spacing w:val="-3"/>
        </w:rPr>
        <w:t> </w:t>
      </w:r>
      <w:r>
        <w:rPr/>
        <w:t>examined</w:t>
      </w:r>
      <w:r>
        <w:rPr>
          <w:spacing w:val="-3"/>
        </w:rPr>
        <w:t> </w:t>
      </w:r>
      <w:r>
        <w:rPr/>
        <w:t>the</w:t>
      </w:r>
      <w:r>
        <w:rPr>
          <w:spacing w:val="-3"/>
        </w:rPr>
        <w:t> </w:t>
      </w:r>
      <w:r>
        <w:rPr/>
        <w:t>issue</w:t>
      </w:r>
      <w:r>
        <w:rPr>
          <w:spacing w:val="-3"/>
        </w:rPr>
        <w:t> </w:t>
      </w:r>
      <w:r>
        <w:rPr/>
        <w:t>of</w:t>
      </w:r>
      <w:r>
        <w:rPr>
          <w:spacing w:val="-3"/>
        </w:rPr>
        <w:t> </w:t>
      </w:r>
      <w:r>
        <w:rPr/>
        <w:t>when</w:t>
      </w:r>
      <w:r>
        <w:rPr>
          <w:spacing w:val="-3"/>
        </w:rPr>
        <w:t> </w:t>
      </w:r>
      <w:r>
        <w:rPr/>
        <w:t>a</w:t>
      </w:r>
      <w:r>
        <w:rPr>
          <w:spacing w:val="-3"/>
        </w:rPr>
        <w:t> </w:t>
      </w:r>
      <w:r>
        <w:rPr/>
        <w:t>contract</w:t>
      </w:r>
      <w:r>
        <w:rPr>
          <w:spacing w:val="-3"/>
        </w:rPr>
        <w:t> </w:t>
      </w:r>
      <w:r>
        <w:rPr/>
        <w:t>is</w:t>
      </w:r>
      <w:r>
        <w:rPr>
          <w:spacing w:val="-3"/>
        </w:rPr>
        <w:t> </w:t>
      </w:r>
      <w:r>
        <w:rPr/>
        <w:t>considered</w:t>
      </w:r>
      <w:r>
        <w:rPr>
          <w:spacing w:val="-3"/>
        </w:rPr>
        <w:t> </w:t>
      </w:r>
      <w:r>
        <w:rPr/>
        <w:t>to</w:t>
      </w:r>
      <w:r>
        <w:rPr>
          <w:spacing w:val="-3"/>
        </w:rPr>
        <w:t> </w:t>
      </w:r>
      <w:r>
        <w:rPr/>
        <w:t>be accepted in cases of instantaneous communication such as telex or telephone.</w:t>
      </w:r>
    </w:p>
    <w:p>
      <w:pPr>
        <w:spacing w:line="276" w:lineRule="auto" w:before="0"/>
        <w:ind w:left="743" w:right="0" w:firstLine="96"/>
        <w:jc w:val="left"/>
        <w:rPr>
          <w:sz w:val="24"/>
        </w:rPr>
      </w:pPr>
      <w:r>
        <w:rPr>
          <w:sz w:val="24"/>
        </w:rPr>
        <w:t>Citation:</w:t>
      </w:r>
      <w:r>
        <w:rPr>
          <w:spacing w:val="26"/>
          <w:sz w:val="24"/>
        </w:rPr>
        <w:t> </w:t>
      </w:r>
      <w:r>
        <w:rPr>
          <w:rFonts w:ascii="Arial"/>
          <w:i/>
          <w:sz w:val="24"/>
        </w:rPr>
        <w:t>Entores</w:t>
      </w:r>
      <w:r>
        <w:rPr>
          <w:rFonts w:ascii="Arial"/>
          <w:i/>
          <w:spacing w:val="26"/>
          <w:sz w:val="24"/>
        </w:rPr>
        <w:t> </w:t>
      </w:r>
      <w:r>
        <w:rPr>
          <w:rFonts w:ascii="Arial"/>
          <w:i/>
          <w:sz w:val="24"/>
        </w:rPr>
        <w:t>Ltd</w:t>
      </w:r>
      <w:r>
        <w:rPr>
          <w:rFonts w:ascii="Arial"/>
          <w:i/>
          <w:spacing w:val="26"/>
          <w:sz w:val="24"/>
        </w:rPr>
        <w:t> </w:t>
      </w:r>
      <w:r>
        <w:rPr>
          <w:rFonts w:ascii="Arial"/>
          <w:i/>
          <w:sz w:val="24"/>
        </w:rPr>
        <w:t>v</w:t>
      </w:r>
      <w:r>
        <w:rPr>
          <w:rFonts w:ascii="Arial"/>
          <w:i/>
          <w:spacing w:val="26"/>
          <w:sz w:val="24"/>
        </w:rPr>
        <w:t> </w:t>
      </w:r>
      <w:r>
        <w:rPr>
          <w:rFonts w:ascii="Arial"/>
          <w:i/>
          <w:sz w:val="24"/>
        </w:rPr>
        <w:t>Miles</w:t>
      </w:r>
      <w:r>
        <w:rPr>
          <w:rFonts w:ascii="Arial"/>
          <w:i/>
          <w:spacing w:val="26"/>
          <w:sz w:val="24"/>
        </w:rPr>
        <w:t> </w:t>
      </w:r>
      <w:r>
        <w:rPr>
          <w:rFonts w:ascii="Arial"/>
          <w:i/>
          <w:sz w:val="24"/>
        </w:rPr>
        <w:t>Far</w:t>
      </w:r>
      <w:r>
        <w:rPr>
          <w:rFonts w:ascii="Arial"/>
          <w:i/>
          <w:spacing w:val="26"/>
          <w:sz w:val="24"/>
        </w:rPr>
        <w:t> </w:t>
      </w:r>
      <w:r>
        <w:rPr>
          <w:rFonts w:ascii="Arial"/>
          <w:i/>
          <w:sz w:val="24"/>
        </w:rPr>
        <w:t>East</w:t>
      </w:r>
      <w:r>
        <w:rPr>
          <w:rFonts w:ascii="Arial"/>
          <w:i/>
          <w:spacing w:val="26"/>
          <w:sz w:val="24"/>
        </w:rPr>
        <w:t> </w:t>
      </w:r>
      <w:r>
        <w:rPr>
          <w:rFonts w:ascii="Arial"/>
          <w:i/>
          <w:sz w:val="24"/>
        </w:rPr>
        <w:t>Corporation</w:t>
      </w:r>
      <w:r>
        <w:rPr>
          <w:rFonts w:ascii="Arial"/>
          <w:i/>
          <w:spacing w:val="26"/>
          <w:sz w:val="24"/>
        </w:rPr>
        <w:t> </w:t>
      </w:r>
      <w:r>
        <w:rPr>
          <w:sz w:val="24"/>
        </w:rPr>
        <w:t>[1955] 2 Q.B. 327, Court </w:t>
      </w:r>
      <w:r>
        <w:rPr>
          <w:sz w:val="24"/>
        </w:rPr>
        <w:t>of </w:t>
      </w:r>
      <w:r>
        <w:rPr>
          <w:spacing w:val="-2"/>
          <w:sz w:val="24"/>
        </w:rPr>
        <w:t>Appeal.</w:t>
      </w:r>
    </w:p>
    <w:p>
      <w:pPr>
        <w:pStyle w:val="BodyText"/>
      </w:pPr>
    </w:p>
    <w:p>
      <w:pPr>
        <w:pStyle w:val="BodyText"/>
        <w:spacing w:before="82"/>
      </w:pPr>
    </w:p>
    <w:p>
      <w:pPr>
        <w:pStyle w:val="ListParagraph"/>
        <w:numPr>
          <w:ilvl w:val="0"/>
          <w:numId w:val="7"/>
        </w:numPr>
        <w:tabs>
          <w:tab w:pos="742" w:val="left" w:leader="none"/>
        </w:tabs>
        <w:spacing w:line="240" w:lineRule="auto" w:before="0" w:after="0"/>
        <w:ind w:left="742" w:right="0" w:hanging="359"/>
        <w:jc w:val="left"/>
        <w:rPr>
          <w:sz w:val="24"/>
        </w:rPr>
      </w:pPr>
      <w:r>
        <w:rPr>
          <w:rFonts w:ascii="Arial"/>
          <w:b/>
          <w:sz w:val="24"/>
        </w:rPr>
        <w:t>Currie v Misa </w:t>
      </w:r>
      <w:r>
        <w:rPr>
          <w:sz w:val="24"/>
        </w:rPr>
        <w:t>(1875) LR 10 Exch 153, 44 LJ Ex 94, 23 WR </w:t>
      </w:r>
      <w:r>
        <w:rPr>
          <w:spacing w:val="-4"/>
          <w:sz w:val="24"/>
        </w:rPr>
        <w:t>450.</w:t>
      </w:r>
    </w:p>
    <w:p>
      <w:pPr>
        <w:pStyle w:val="BodyText"/>
        <w:spacing w:line="276" w:lineRule="auto" w:before="42"/>
        <w:ind w:left="743" w:firstLine="96"/>
      </w:pPr>
      <w:r>
        <w:rPr/>
        <w:t>This</w:t>
      </w:r>
      <w:r>
        <w:rPr>
          <w:spacing w:val="25"/>
        </w:rPr>
        <w:t> </w:t>
      </w:r>
      <w:r>
        <w:rPr/>
        <w:t>case</w:t>
      </w:r>
      <w:r>
        <w:rPr>
          <w:spacing w:val="25"/>
        </w:rPr>
        <w:t> </w:t>
      </w:r>
      <w:r>
        <w:rPr/>
        <w:t>is</w:t>
      </w:r>
      <w:r>
        <w:rPr>
          <w:spacing w:val="25"/>
        </w:rPr>
        <w:t> </w:t>
      </w:r>
      <w:r>
        <w:rPr/>
        <w:t>seminal</w:t>
      </w:r>
      <w:r>
        <w:rPr>
          <w:spacing w:val="25"/>
        </w:rPr>
        <w:t> </w:t>
      </w:r>
      <w:r>
        <w:rPr/>
        <w:t>in</w:t>
      </w:r>
      <w:r>
        <w:rPr>
          <w:spacing w:val="25"/>
        </w:rPr>
        <w:t> </w:t>
      </w:r>
      <w:r>
        <w:rPr/>
        <w:t>the</w:t>
      </w:r>
      <w:r>
        <w:rPr>
          <w:spacing w:val="25"/>
        </w:rPr>
        <w:t> </w:t>
      </w:r>
      <w:r>
        <w:rPr/>
        <w:t>study</w:t>
      </w:r>
      <w:r>
        <w:rPr>
          <w:spacing w:val="25"/>
        </w:rPr>
        <w:t> </w:t>
      </w:r>
      <w:r>
        <w:rPr/>
        <w:t>of</w:t>
      </w:r>
      <w:r>
        <w:rPr>
          <w:spacing w:val="25"/>
        </w:rPr>
        <w:t> </w:t>
      </w:r>
      <w:r>
        <w:rPr/>
        <w:t>consideration</w:t>
      </w:r>
      <w:r>
        <w:rPr>
          <w:spacing w:val="25"/>
        </w:rPr>
        <w:t> </w:t>
      </w:r>
      <w:r>
        <w:rPr/>
        <w:t>in</w:t>
      </w:r>
      <w:r>
        <w:rPr>
          <w:spacing w:val="25"/>
        </w:rPr>
        <w:t> </w:t>
      </w:r>
      <w:r>
        <w:rPr/>
        <w:t>contract law, </w:t>
      </w:r>
      <w:r>
        <w:rPr/>
        <w:t>establishing the concept of consideration as a benefit to one party or a detriment to another.</w:t>
      </w:r>
    </w:p>
    <w:p>
      <w:pPr>
        <w:pStyle w:val="BodyText"/>
        <w:spacing w:line="276" w:lineRule="auto"/>
        <w:ind w:left="743" w:firstLine="126"/>
      </w:pPr>
      <w:r>
        <w:rPr/>
        <w:t>Citation:</w:t>
      </w:r>
      <w:r>
        <w:rPr>
          <w:spacing w:val="40"/>
        </w:rPr>
        <w:t> </w:t>
      </w:r>
      <w:r>
        <w:rPr>
          <w:rFonts w:ascii="Arial"/>
          <w:i/>
        </w:rPr>
        <w:t>Currie</w:t>
      </w:r>
      <w:r>
        <w:rPr>
          <w:rFonts w:ascii="Arial"/>
          <w:i/>
          <w:spacing w:val="40"/>
        </w:rPr>
        <w:t> </w:t>
      </w:r>
      <w:r>
        <w:rPr>
          <w:rFonts w:ascii="Arial"/>
          <w:i/>
        </w:rPr>
        <w:t>v</w:t>
      </w:r>
      <w:r>
        <w:rPr>
          <w:rFonts w:ascii="Arial"/>
          <w:i/>
          <w:spacing w:val="40"/>
        </w:rPr>
        <w:t> </w:t>
      </w:r>
      <w:r>
        <w:rPr>
          <w:rFonts w:ascii="Arial"/>
          <w:i/>
        </w:rPr>
        <w:t>Misa</w:t>
      </w:r>
      <w:r>
        <w:rPr>
          <w:rFonts w:ascii="Arial"/>
          <w:i/>
          <w:spacing w:val="40"/>
        </w:rPr>
        <w:t> </w:t>
      </w:r>
      <w:r>
        <w:rPr/>
        <w:t>(1875)</w:t>
      </w:r>
      <w:r>
        <w:rPr>
          <w:spacing w:val="40"/>
        </w:rPr>
        <w:t> </w:t>
      </w:r>
      <w:r>
        <w:rPr/>
        <w:t>LR</w:t>
      </w:r>
      <w:r>
        <w:rPr>
          <w:spacing w:val="40"/>
        </w:rPr>
        <w:t> </w:t>
      </w:r>
      <w:r>
        <w:rPr/>
        <w:t>10</w:t>
      </w:r>
      <w:r>
        <w:rPr>
          <w:spacing w:val="40"/>
        </w:rPr>
        <w:t> </w:t>
      </w:r>
      <w:r>
        <w:rPr/>
        <w:t>Exch</w:t>
      </w:r>
      <w:r>
        <w:rPr>
          <w:spacing w:val="40"/>
        </w:rPr>
        <w:t> </w:t>
      </w:r>
      <w:r>
        <w:rPr/>
        <w:t>153,</w:t>
      </w:r>
      <w:r>
        <w:rPr>
          <w:spacing w:val="40"/>
        </w:rPr>
        <w:t> </w:t>
      </w:r>
      <w:r>
        <w:rPr/>
        <w:t>44</w:t>
      </w:r>
      <w:r>
        <w:rPr>
          <w:spacing w:val="40"/>
        </w:rPr>
        <w:t> </w:t>
      </w:r>
      <w:r>
        <w:rPr/>
        <w:t>LJ</w:t>
      </w:r>
      <w:r>
        <w:rPr>
          <w:spacing w:val="40"/>
        </w:rPr>
        <w:t> </w:t>
      </w:r>
      <w:r>
        <w:rPr/>
        <w:t>Ex</w:t>
      </w:r>
      <w:r>
        <w:rPr>
          <w:spacing w:val="40"/>
        </w:rPr>
        <w:t> </w:t>
      </w:r>
      <w:r>
        <w:rPr/>
        <w:t>94,</w:t>
      </w:r>
      <w:r>
        <w:rPr>
          <w:spacing w:val="40"/>
        </w:rPr>
        <w:t> </w:t>
      </w:r>
      <w:r>
        <w:rPr/>
        <w:t>23</w:t>
      </w:r>
      <w:r>
        <w:rPr>
          <w:spacing w:val="40"/>
        </w:rPr>
        <w:t> </w:t>
      </w:r>
      <w:r>
        <w:rPr/>
        <w:t>WR</w:t>
      </w:r>
      <w:r>
        <w:rPr>
          <w:spacing w:val="40"/>
        </w:rPr>
        <w:t> </w:t>
      </w:r>
      <w:r>
        <w:rPr/>
        <w:t>450, Exchequer Court.</w:t>
      </w:r>
    </w:p>
    <w:p>
      <w:pPr>
        <w:pStyle w:val="BodyText"/>
      </w:pPr>
    </w:p>
    <w:p>
      <w:pPr>
        <w:pStyle w:val="BodyText"/>
        <w:spacing w:before="82"/>
      </w:pPr>
    </w:p>
    <w:p>
      <w:pPr>
        <w:pStyle w:val="Heading1"/>
        <w:numPr>
          <w:ilvl w:val="0"/>
          <w:numId w:val="7"/>
        </w:numPr>
        <w:tabs>
          <w:tab w:pos="743" w:val="left" w:leader="none"/>
        </w:tabs>
        <w:spacing w:line="276" w:lineRule="auto" w:before="1" w:after="0"/>
        <w:ind w:left="743" w:right="31" w:hanging="360"/>
        <w:jc w:val="left"/>
        <w:rPr>
          <w:rFonts w:ascii="Arial MT" w:hAnsi="Arial MT"/>
          <w:b w:val="0"/>
        </w:rPr>
      </w:pPr>
      <w:r>
        <w:rPr/>
        <w:t>Chappell</w:t>
      </w:r>
      <w:r>
        <w:rPr>
          <w:spacing w:val="27"/>
        </w:rPr>
        <w:t> </w:t>
      </w:r>
      <w:r>
        <w:rPr/>
        <w:t>&amp;</w:t>
      </w:r>
      <w:r>
        <w:rPr>
          <w:spacing w:val="27"/>
        </w:rPr>
        <w:t> </w:t>
      </w:r>
      <w:r>
        <w:rPr/>
        <w:t>Co.</w:t>
      </w:r>
      <w:r>
        <w:rPr>
          <w:spacing w:val="27"/>
        </w:rPr>
        <w:t> </w:t>
      </w:r>
      <w:r>
        <w:rPr/>
        <w:t>Ltd</w:t>
      </w:r>
      <w:r>
        <w:rPr>
          <w:spacing w:val="27"/>
        </w:rPr>
        <w:t> </w:t>
      </w:r>
      <w:r>
        <w:rPr/>
        <w:t>and</w:t>
      </w:r>
      <w:r>
        <w:rPr>
          <w:spacing w:val="27"/>
        </w:rPr>
        <w:t> </w:t>
      </w:r>
      <w:r>
        <w:rPr/>
        <w:t>Another</w:t>
      </w:r>
      <w:r>
        <w:rPr>
          <w:spacing w:val="27"/>
        </w:rPr>
        <w:t> </w:t>
      </w:r>
      <w:r>
        <w:rPr/>
        <w:t>v</w:t>
      </w:r>
      <w:r>
        <w:rPr>
          <w:spacing w:val="27"/>
        </w:rPr>
        <w:t> </w:t>
      </w:r>
      <w:r>
        <w:rPr/>
        <w:t>Nestlé</w:t>
      </w:r>
      <w:r>
        <w:rPr>
          <w:spacing w:val="27"/>
        </w:rPr>
        <w:t> </w:t>
      </w:r>
      <w:r>
        <w:rPr/>
        <w:t>Co.</w:t>
      </w:r>
      <w:r>
        <w:rPr>
          <w:spacing w:val="27"/>
        </w:rPr>
        <w:t> </w:t>
      </w:r>
      <w:r>
        <w:rPr/>
        <w:t>Ltd</w:t>
      </w:r>
      <w:r>
        <w:rPr>
          <w:spacing w:val="27"/>
        </w:rPr>
        <w:t> </w:t>
      </w:r>
      <w:r>
        <w:rPr/>
        <w:t>and</w:t>
      </w:r>
      <w:r>
        <w:rPr>
          <w:spacing w:val="27"/>
        </w:rPr>
        <w:t> </w:t>
      </w:r>
      <w:r>
        <w:rPr/>
        <w:t>Another</w:t>
      </w:r>
      <w:r>
        <w:rPr>
          <w:spacing w:val="27"/>
        </w:rPr>
        <w:t> </w:t>
      </w:r>
      <w:r>
        <w:rPr>
          <w:rFonts w:ascii="Arial MT" w:hAnsi="Arial MT"/>
          <w:b w:val="0"/>
        </w:rPr>
        <w:t>[1960] </w:t>
      </w:r>
      <w:r>
        <w:rPr>
          <w:rFonts w:ascii="Arial MT" w:hAnsi="Arial MT"/>
          <w:b w:val="0"/>
        </w:rPr>
        <w:t>A.C. </w:t>
      </w:r>
      <w:r>
        <w:rPr>
          <w:rFonts w:ascii="Arial MT" w:hAnsi="Arial MT"/>
          <w:b w:val="0"/>
          <w:spacing w:val="-4"/>
        </w:rPr>
        <w:t>87.</w:t>
      </w:r>
    </w:p>
    <w:p>
      <w:pPr>
        <w:pStyle w:val="BodyText"/>
        <w:spacing w:line="276" w:lineRule="auto"/>
        <w:ind w:left="743" w:right="23" w:firstLine="126"/>
        <w:jc w:val="both"/>
      </w:pPr>
      <w:r>
        <w:rPr/>
        <w:t>The court examined the necessity of consideration within contracts involving goods transfers through this particular case. A simple chocolate bar </w:t>
      </w:r>
      <w:r>
        <w:rPr/>
        <w:t>wrapper proved to be acceptable enough consideration based on this ruling.</w:t>
      </w:r>
    </w:p>
    <w:p>
      <w:pPr>
        <w:spacing w:before="0"/>
        <w:ind w:left="839" w:right="0" w:firstLine="0"/>
        <w:jc w:val="left"/>
        <w:rPr>
          <w:sz w:val="24"/>
        </w:rPr>
      </w:pPr>
      <w:r>
        <w:rPr>
          <w:sz w:val="24"/>
        </w:rPr>
        <w:t>Citation:</w:t>
      </w:r>
      <w:r>
        <w:rPr>
          <w:spacing w:val="30"/>
          <w:sz w:val="24"/>
        </w:rPr>
        <w:t> </w:t>
      </w:r>
      <w:r>
        <w:rPr>
          <w:rFonts w:ascii="Arial" w:hAnsi="Arial"/>
          <w:i/>
          <w:sz w:val="24"/>
        </w:rPr>
        <w:t>Chappell</w:t>
      </w:r>
      <w:r>
        <w:rPr>
          <w:rFonts w:ascii="Arial" w:hAnsi="Arial"/>
          <w:i/>
          <w:spacing w:val="30"/>
          <w:sz w:val="24"/>
        </w:rPr>
        <w:t> </w:t>
      </w:r>
      <w:r>
        <w:rPr>
          <w:rFonts w:ascii="Arial" w:hAnsi="Arial"/>
          <w:i/>
          <w:sz w:val="24"/>
        </w:rPr>
        <w:t>&amp;</w:t>
      </w:r>
      <w:r>
        <w:rPr>
          <w:rFonts w:ascii="Arial" w:hAnsi="Arial"/>
          <w:i/>
          <w:spacing w:val="30"/>
          <w:sz w:val="24"/>
        </w:rPr>
        <w:t> </w:t>
      </w:r>
      <w:r>
        <w:rPr>
          <w:rFonts w:ascii="Arial" w:hAnsi="Arial"/>
          <w:i/>
          <w:sz w:val="24"/>
        </w:rPr>
        <w:t>Co.</w:t>
      </w:r>
      <w:r>
        <w:rPr>
          <w:rFonts w:ascii="Arial" w:hAnsi="Arial"/>
          <w:i/>
          <w:spacing w:val="30"/>
          <w:sz w:val="24"/>
        </w:rPr>
        <w:t> </w:t>
      </w:r>
      <w:r>
        <w:rPr>
          <w:rFonts w:ascii="Arial" w:hAnsi="Arial"/>
          <w:i/>
          <w:sz w:val="24"/>
        </w:rPr>
        <w:t>Ltd</w:t>
      </w:r>
      <w:r>
        <w:rPr>
          <w:rFonts w:ascii="Arial" w:hAnsi="Arial"/>
          <w:i/>
          <w:spacing w:val="30"/>
          <w:sz w:val="24"/>
        </w:rPr>
        <w:t> </w:t>
      </w:r>
      <w:r>
        <w:rPr>
          <w:rFonts w:ascii="Arial" w:hAnsi="Arial"/>
          <w:i/>
          <w:sz w:val="24"/>
        </w:rPr>
        <w:t>and</w:t>
      </w:r>
      <w:r>
        <w:rPr>
          <w:rFonts w:ascii="Arial" w:hAnsi="Arial"/>
          <w:i/>
          <w:spacing w:val="30"/>
          <w:sz w:val="24"/>
        </w:rPr>
        <w:t> </w:t>
      </w:r>
      <w:r>
        <w:rPr>
          <w:rFonts w:ascii="Arial" w:hAnsi="Arial"/>
          <w:i/>
          <w:sz w:val="24"/>
        </w:rPr>
        <w:t>Another</w:t>
      </w:r>
      <w:r>
        <w:rPr>
          <w:rFonts w:ascii="Arial" w:hAnsi="Arial"/>
          <w:i/>
          <w:spacing w:val="30"/>
          <w:sz w:val="24"/>
        </w:rPr>
        <w:t> </w:t>
      </w:r>
      <w:r>
        <w:rPr>
          <w:rFonts w:ascii="Arial" w:hAnsi="Arial"/>
          <w:i/>
          <w:sz w:val="24"/>
        </w:rPr>
        <w:t>v</w:t>
      </w:r>
      <w:r>
        <w:rPr>
          <w:rFonts w:ascii="Arial" w:hAnsi="Arial"/>
          <w:i/>
          <w:spacing w:val="30"/>
          <w:sz w:val="24"/>
        </w:rPr>
        <w:t> </w:t>
      </w:r>
      <w:r>
        <w:rPr>
          <w:rFonts w:ascii="Arial" w:hAnsi="Arial"/>
          <w:i/>
          <w:sz w:val="24"/>
        </w:rPr>
        <w:t>Nestlé</w:t>
      </w:r>
      <w:r>
        <w:rPr>
          <w:rFonts w:ascii="Arial" w:hAnsi="Arial"/>
          <w:i/>
          <w:spacing w:val="15"/>
          <w:sz w:val="24"/>
        </w:rPr>
        <w:t> </w:t>
      </w:r>
      <w:r>
        <w:rPr>
          <w:rFonts w:ascii="Arial" w:hAnsi="Arial"/>
          <w:i/>
          <w:sz w:val="24"/>
        </w:rPr>
        <w:t>Co.</w:t>
      </w:r>
      <w:r>
        <w:rPr>
          <w:rFonts w:ascii="Arial" w:hAnsi="Arial"/>
          <w:i/>
          <w:spacing w:val="15"/>
          <w:sz w:val="24"/>
        </w:rPr>
        <w:t> </w:t>
      </w:r>
      <w:r>
        <w:rPr>
          <w:rFonts w:ascii="Arial" w:hAnsi="Arial"/>
          <w:i/>
          <w:sz w:val="24"/>
        </w:rPr>
        <w:t>Ltd</w:t>
      </w:r>
      <w:r>
        <w:rPr>
          <w:rFonts w:ascii="Arial" w:hAnsi="Arial"/>
          <w:i/>
          <w:spacing w:val="15"/>
          <w:sz w:val="24"/>
        </w:rPr>
        <w:t> </w:t>
      </w:r>
      <w:r>
        <w:rPr>
          <w:rFonts w:ascii="Arial" w:hAnsi="Arial"/>
          <w:i/>
          <w:sz w:val="24"/>
        </w:rPr>
        <w:t>and</w:t>
      </w:r>
      <w:r>
        <w:rPr>
          <w:rFonts w:ascii="Arial" w:hAnsi="Arial"/>
          <w:i/>
          <w:spacing w:val="15"/>
          <w:sz w:val="24"/>
        </w:rPr>
        <w:t> </w:t>
      </w:r>
      <w:r>
        <w:rPr>
          <w:rFonts w:ascii="Arial" w:hAnsi="Arial"/>
          <w:i/>
          <w:sz w:val="24"/>
        </w:rPr>
        <w:t>Another</w:t>
      </w:r>
      <w:r>
        <w:rPr>
          <w:rFonts w:ascii="Arial" w:hAnsi="Arial"/>
          <w:i/>
          <w:spacing w:val="15"/>
          <w:sz w:val="24"/>
        </w:rPr>
        <w:t> </w:t>
      </w:r>
      <w:r>
        <w:rPr>
          <w:spacing w:val="-2"/>
          <w:sz w:val="24"/>
        </w:rPr>
        <w:t>[1960]</w:t>
      </w:r>
    </w:p>
    <w:p>
      <w:pPr>
        <w:spacing w:after="0"/>
        <w:jc w:val="left"/>
        <w:rPr>
          <w:sz w:val="24"/>
        </w:rPr>
        <w:sectPr>
          <w:pgSz w:w="12240" w:h="15840"/>
          <w:pgMar w:top="1820" w:bottom="280" w:left="1417" w:right="1417"/>
        </w:sectPr>
      </w:pPr>
    </w:p>
    <w:p>
      <w:pPr>
        <w:pStyle w:val="BodyText"/>
        <w:spacing w:before="80"/>
        <w:ind w:left="743"/>
      </w:pPr>
      <w:r>
        <w:rPr/>
        <w:t>A.C. 87, House of </w:t>
      </w:r>
      <w:r>
        <w:rPr>
          <w:spacing w:val="-2"/>
        </w:rPr>
        <w:t>Lords.</w:t>
      </w:r>
    </w:p>
    <w:p>
      <w:pPr>
        <w:pStyle w:val="BodyText"/>
      </w:pPr>
    </w:p>
    <w:p>
      <w:pPr>
        <w:pStyle w:val="BodyText"/>
        <w:spacing w:before="124"/>
      </w:pPr>
    </w:p>
    <w:p>
      <w:pPr>
        <w:pStyle w:val="Heading1"/>
        <w:numPr>
          <w:ilvl w:val="0"/>
          <w:numId w:val="7"/>
        </w:numPr>
        <w:tabs>
          <w:tab w:pos="743" w:val="left" w:leader="none"/>
        </w:tabs>
        <w:spacing w:line="276" w:lineRule="auto" w:before="0" w:after="0"/>
        <w:ind w:left="743" w:right="21" w:hanging="360"/>
        <w:jc w:val="left"/>
        <w:rPr>
          <w:rFonts w:ascii="Arial MT" w:hAnsi="Arial MT"/>
          <w:b w:val="0"/>
        </w:rPr>
      </w:pPr>
      <w:r>
        <w:rPr/>
        <w:t>RTS</w:t>
      </w:r>
      <w:r>
        <w:rPr>
          <w:spacing w:val="40"/>
        </w:rPr>
        <w:t> </w:t>
      </w:r>
      <w:r>
        <w:rPr/>
        <w:t>Flexible</w:t>
      </w:r>
      <w:r>
        <w:rPr>
          <w:spacing w:val="40"/>
        </w:rPr>
        <w:t> </w:t>
      </w:r>
      <w:r>
        <w:rPr/>
        <w:t>Systems</w:t>
      </w:r>
      <w:r>
        <w:rPr>
          <w:spacing w:val="40"/>
        </w:rPr>
        <w:t> </w:t>
      </w:r>
      <w:r>
        <w:rPr/>
        <w:t>Ltd</w:t>
      </w:r>
      <w:r>
        <w:rPr>
          <w:spacing w:val="40"/>
        </w:rPr>
        <w:t> </w:t>
      </w:r>
      <w:r>
        <w:rPr/>
        <w:t>v</w:t>
      </w:r>
      <w:r>
        <w:rPr>
          <w:spacing w:val="40"/>
        </w:rPr>
        <w:t> </w:t>
      </w:r>
      <w:r>
        <w:rPr/>
        <w:t>Molkerei</w:t>
      </w:r>
      <w:r>
        <w:rPr>
          <w:spacing w:val="40"/>
        </w:rPr>
        <w:t> </w:t>
      </w:r>
      <w:r>
        <w:rPr/>
        <w:t>Alois</w:t>
      </w:r>
      <w:r>
        <w:rPr>
          <w:spacing w:val="40"/>
        </w:rPr>
        <w:t> </w:t>
      </w:r>
      <w:r>
        <w:rPr/>
        <w:t>Müller</w:t>
      </w:r>
      <w:r>
        <w:rPr>
          <w:spacing w:val="40"/>
        </w:rPr>
        <w:t> </w:t>
      </w:r>
      <w:r>
        <w:rPr/>
        <w:t>GmbH</w:t>
      </w:r>
      <w:r>
        <w:rPr>
          <w:spacing w:val="40"/>
        </w:rPr>
        <w:t> </w:t>
      </w:r>
      <w:r>
        <w:rPr/>
        <w:t>&amp;</w:t>
      </w:r>
      <w:r>
        <w:rPr>
          <w:spacing w:val="40"/>
        </w:rPr>
        <w:t> </w:t>
      </w:r>
      <w:r>
        <w:rPr/>
        <w:t>Co</w:t>
      </w:r>
      <w:r>
        <w:rPr>
          <w:spacing w:val="40"/>
        </w:rPr>
        <w:t> </w:t>
      </w:r>
      <w:r>
        <w:rPr/>
        <w:t>KG</w:t>
      </w:r>
      <w:r>
        <w:rPr>
          <w:spacing w:val="40"/>
        </w:rPr>
        <w:t> </w:t>
      </w:r>
      <w:r>
        <w:rPr/>
        <w:t>(UK Production) </w:t>
      </w:r>
      <w:r>
        <w:rPr>
          <w:rFonts w:ascii="Arial MT" w:hAnsi="Arial MT"/>
          <w:b w:val="0"/>
        </w:rPr>
        <w:t>[2010] 1 WLR 753.</w:t>
      </w:r>
    </w:p>
    <w:p>
      <w:pPr>
        <w:pStyle w:val="BodyText"/>
        <w:spacing w:line="276" w:lineRule="auto"/>
        <w:ind w:left="743" w:right="28" w:firstLine="81"/>
        <w:jc w:val="both"/>
      </w:pPr>
      <w:r>
        <w:rPr/>
        <w:t>This</w:t>
      </w:r>
      <w:r>
        <w:rPr>
          <w:spacing w:val="-4"/>
        </w:rPr>
        <w:t> </w:t>
      </w:r>
      <w:r>
        <w:rPr/>
        <w:t>case</w:t>
      </w:r>
      <w:r>
        <w:rPr>
          <w:spacing w:val="-4"/>
        </w:rPr>
        <w:t> </w:t>
      </w:r>
      <w:r>
        <w:rPr/>
        <w:t>clarified</w:t>
      </w:r>
      <w:r>
        <w:rPr>
          <w:spacing w:val="-4"/>
        </w:rPr>
        <w:t> </w:t>
      </w:r>
      <w:r>
        <w:rPr/>
        <w:t>the</w:t>
      </w:r>
      <w:r>
        <w:rPr>
          <w:spacing w:val="-4"/>
        </w:rPr>
        <w:t> </w:t>
      </w:r>
      <w:r>
        <w:rPr/>
        <w:t>need</w:t>
      </w:r>
      <w:r>
        <w:rPr>
          <w:spacing w:val="-4"/>
        </w:rPr>
        <w:t> </w:t>
      </w:r>
      <w:r>
        <w:rPr/>
        <w:t>for</w:t>
      </w:r>
      <w:r>
        <w:rPr>
          <w:spacing w:val="-4"/>
        </w:rPr>
        <w:t> </w:t>
      </w:r>
      <w:r>
        <w:rPr/>
        <w:t>a</w:t>
      </w:r>
      <w:r>
        <w:rPr>
          <w:spacing w:val="-4"/>
        </w:rPr>
        <w:t> </w:t>
      </w:r>
      <w:r>
        <w:rPr/>
        <w:t>formal</w:t>
      </w:r>
      <w:r>
        <w:rPr>
          <w:spacing w:val="-4"/>
        </w:rPr>
        <w:t> </w:t>
      </w:r>
      <w:r>
        <w:rPr/>
        <w:t>agreement</w:t>
      </w:r>
      <w:r>
        <w:rPr>
          <w:spacing w:val="-4"/>
        </w:rPr>
        <w:t> </w:t>
      </w:r>
      <w:r>
        <w:rPr/>
        <w:t>in</w:t>
      </w:r>
      <w:r>
        <w:rPr>
          <w:spacing w:val="-4"/>
        </w:rPr>
        <w:t> </w:t>
      </w:r>
      <w:r>
        <w:rPr/>
        <w:t>long-term</w:t>
      </w:r>
      <w:r>
        <w:rPr>
          <w:spacing w:val="-4"/>
        </w:rPr>
        <w:t> </w:t>
      </w:r>
      <w:r>
        <w:rPr/>
        <w:t>supply</w:t>
      </w:r>
      <w:r>
        <w:rPr>
          <w:spacing w:val="-4"/>
        </w:rPr>
        <w:t> </w:t>
      </w:r>
      <w:r>
        <w:rPr/>
        <w:t>contracts and the extent to which a party is bound by an agreement if</w:t>
      </w:r>
      <w:r>
        <w:rPr>
          <w:spacing w:val="-3"/>
        </w:rPr>
        <w:t> </w:t>
      </w:r>
      <w:r>
        <w:rPr/>
        <w:t>the</w:t>
      </w:r>
      <w:r>
        <w:rPr>
          <w:spacing w:val="-3"/>
        </w:rPr>
        <w:t> </w:t>
      </w:r>
      <w:r>
        <w:rPr/>
        <w:t>contract's</w:t>
      </w:r>
      <w:r>
        <w:rPr>
          <w:spacing w:val="-3"/>
        </w:rPr>
        <w:t> </w:t>
      </w:r>
      <w:r>
        <w:rPr/>
        <w:t>terms are not formalized.</w:t>
      </w:r>
    </w:p>
    <w:p>
      <w:pPr>
        <w:spacing w:before="0"/>
        <w:ind w:left="869" w:right="0" w:firstLine="0"/>
        <w:jc w:val="both"/>
        <w:rPr>
          <w:rFonts w:ascii="Arial" w:hAnsi="Arial"/>
          <w:i/>
          <w:sz w:val="24"/>
        </w:rPr>
      </w:pPr>
      <w:r>
        <w:rPr>
          <w:sz w:val="24"/>
        </w:rPr>
        <w:t>Citation:</w:t>
      </w:r>
      <w:r>
        <w:rPr>
          <w:spacing w:val="58"/>
          <w:sz w:val="24"/>
        </w:rPr>
        <w:t> </w:t>
      </w:r>
      <w:r>
        <w:rPr>
          <w:rFonts w:ascii="Arial" w:hAnsi="Arial"/>
          <w:i/>
          <w:sz w:val="24"/>
        </w:rPr>
        <w:t>RTS</w:t>
      </w:r>
      <w:r>
        <w:rPr>
          <w:rFonts w:ascii="Arial" w:hAnsi="Arial"/>
          <w:i/>
          <w:spacing w:val="44"/>
          <w:sz w:val="24"/>
        </w:rPr>
        <w:t> </w:t>
      </w:r>
      <w:r>
        <w:rPr>
          <w:rFonts w:ascii="Arial" w:hAnsi="Arial"/>
          <w:i/>
          <w:sz w:val="24"/>
        </w:rPr>
        <w:t>Flexible</w:t>
      </w:r>
      <w:r>
        <w:rPr>
          <w:rFonts w:ascii="Arial" w:hAnsi="Arial"/>
          <w:i/>
          <w:spacing w:val="43"/>
          <w:sz w:val="24"/>
        </w:rPr>
        <w:t> </w:t>
      </w:r>
      <w:r>
        <w:rPr>
          <w:rFonts w:ascii="Arial" w:hAnsi="Arial"/>
          <w:i/>
          <w:sz w:val="24"/>
        </w:rPr>
        <w:t>Systems</w:t>
      </w:r>
      <w:r>
        <w:rPr>
          <w:rFonts w:ascii="Arial" w:hAnsi="Arial"/>
          <w:i/>
          <w:spacing w:val="44"/>
          <w:sz w:val="24"/>
        </w:rPr>
        <w:t> </w:t>
      </w:r>
      <w:r>
        <w:rPr>
          <w:rFonts w:ascii="Arial" w:hAnsi="Arial"/>
          <w:i/>
          <w:sz w:val="24"/>
        </w:rPr>
        <w:t>Ltd</w:t>
      </w:r>
      <w:r>
        <w:rPr>
          <w:rFonts w:ascii="Arial" w:hAnsi="Arial"/>
          <w:i/>
          <w:spacing w:val="43"/>
          <w:sz w:val="24"/>
        </w:rPr>
        <w:t> </w:t>
      </w:r>
      <w:r>
        <w:rPr>
          <w:rFonts w:ascii="Arial" w:hAnsi="Arial"/>
          <w:i/>
          <w:sz w:val="24"/>
        </w:rPr>
        <w:t>v</w:t>
      </w:r>
      <w:r>
        <w:rPr>
          <w:rFonts w:ascii="Arial" w:hAnsi="Arial"/>
          <w:i/>
          <w:spacing w:val="44"/>
          <w:sz w:val="24"/>
        </w:rPr>
        <w:t> </w:t>
      </w:r>
      <w:r>
        <w:rPr>
          <w:rFonts w:ascii="Arial" w:hAnsi="Arial"/>
          <w:i/>
          <w:sz w:val="24"/>
        </w:rPr>
        <w:t>Molkerei</w:t>
      </w:r>
      <w:r>
        <w:rPr>
          <w:rFonts w:ascii="Arial" w:hAnsi="Arial"/>
          <w:i/>
          <w:spacing w:val="44"/>
          <w:sz w:val="24"/>
        </w:rPr>
        <w:t> </w:t>
      </w:r>
      <w:r>
        <w:rPr>
          <w:rFonts w:ascii="Arial" w:hAnsi="Arial"/>
          <w:i/>
          <w:sz w:val="24"/>
        </w:rPr>
        <w:t>Alois</w:t>
      </w:r>
      <w:r>
        <w:rPr>
          <w:rFonts w:ascii="Arial" w:hAnsi="Arial"/>
          <w:i/>
          <w:spacing w:val="43"/>
          <w:sz w:val="24"/>
        </w:rPr>
        <w:t> </w:t>
      </w:r>
      <w:r>
        <w:rPr>
          <w:rFonts w:ascii="Arial" w:hAnsi="Arial"/>
          <w:i/>
          <w:sz w:val="24"/>
        </w:rPr>
        <w:t>Müller</w:t>
      </w:r>
      <w:r>
        <w:rPr>
          <w:rFonts w:ascii="Arial" w:hAnsi="Arial"/>
          <w:i/>
          <w:spacing w:val="44"/>
          <w:sz w:val="24"/>
        </w:rPr>
        <w:t> </w:t>
      </w:r>
      <w:r>
        <w:rPr>
          <w:rFonts w:ascii="Arial" w:hAnsi="Arial"/>
          <w:i/>
          <w:sz w:val="24"/>
        </w:rPr>
        <w:t>GmbH</w:t>
      </w:r>
      <w:r>
        <w:rPr>
          <w:rFonts w:ascii="Arial" w:hAnsi="Arial"/>
          <w:i/>
          <w:spacing w:val="43"/>
          <w:sz w:val="24"/>
        </w:rPr>
        <w:t> </w:t>
      </w:r>
      <w:r>
        <w:rPr>
          <w:rFonts w:ascii="Arial" w:hAnsi="Arial"/>
          <w:i/>
          <w:sz w:val="24"/>
        </w:rPr>
        <w:t>&amp;</w:t>
      </w:r>
      <w:r>
        <w:rPr>
          <w:rFonts w:ascii="Arial" w:hAnsi="Arial"/>
          <w:i/>
          <w:spacing w:val="44"/>
          <w:sz w:val="24"/>
        </w:rPr>
        <w:t> </w:t>
      </w:r>
      <w:r>
        <w:rPr>
          <w:rFonts w:ascii="Arial" w:hAnsi="Arial"/>
          <w:i/>
          <w:sz w:val="24"/>
        </w:rPr>
        <w:t>Co</w:t>
      </w:r>
      <w:r>
        <w:rPr>
          <w:rFonts w:ascii="Arial" w:hAnsi="Arial"/>
          <w:i/>
          <w:spacing w:val="44"/>
          <w:sz w:val="24"/>
        </w:rPr>
        <w:t> </w:t>
      </w:r>
      <w:r>
        <w:rPr>
          <w:rFonts w:ascii="Arial" w:hAnsi="Arial"/>
          <w:i/>
          <w:spacing w:val="-5"/>
          <w:sz w:val="24"/>
        </w:rPr>
        <w:t>KG</w:t>
      </w:r>
    </w:p>
    <w:p>
      <w:pPr>
        <w:pStyle w:val="BodyText"/>
        <w:spacing w:before="41"/>
        <w:ind w:left="743"/>
        <w:jc w:val="both"/>
      </w:pPr>
      <w:r>
        <w:rPr/>
        <w:t>[2010] 1 WLR 753, Supreme </w:t>
      </w:r>
      <w:r>
        <w:rPr>
          <w:spacing w:val="-2"/>
        </w:rPr>
        <w:t>Court.</w:t>
      </w:r>
    </w:p>
    <w:p>
      <w:pPr>
        <w:pStyle w:val="BodyText"/>
      </w:pPr>
    </w:p>
    <w:p>
      <w:pPr>
        <w:pStyle w:val="BodyText"/>
        <w:spacing w:before="124"/>
      </w:pPr>
    </w:p>
    <w:p>
      <w:pPr>
        <w:pStyle w:val="ListParagraph"/>
        <w:numPr>
          <w:ilvl w:val="0"/>
          <w:numId w:val="7"/>
        </w:numPr>
        <w:tabs>
          <w:tab w:pos="743" w:val="left" w:leader="none"/>
        </w:tabs>
        <w:spacing w:line="276" w:lineRule="auto" w:before="0" w:after="0"/>
        <w:ind w:left="743" w:right="34" w:hanging="360"/>
        <w:jc w:val="left"/>
        <w:rPr>
          <w:sz w:val="24"/>
        </w:rPr>
      </w:pPr>
      <w:r>
        <w:rPr>
          <w:rFonts w:ascii="Arial"/>
          <w:b/>
          <w:sz w:val="24"/>
        </w:rPr>
        <w:t>Esso Petroleum Ltd v Commissioners of Customs and Excise </w:t>
      </w:r>
      <w:r>
        <w:rPr>
          <w:sz w:val="24"/>
        </w:rPr>
        <w:t>[1976] 1 </w:t>
      </w:r>
      <w:r>
        <w:rPr>
          <w:sz w:val="24"/>
        </w:rPr>
        <w:t>All</w:t>
      </w:r>
      <w:r>
        <w:rPr>
          <w:spacing w:val="80"/>
          <w:w w:val="150"/>
          <w:sz w:val="24"/>
        </w:rPr>
        <w:t> </w:t>
      </w:r>
      <w:r>
        <w:rPr>
          <w:sz w:val="24"/>
        </w:rPr>
        <w:t>ER 117, [1976] 1 WLR 1, 120 Sol Jo 49.</w:t>
      </w:r>
    </w:p>
    <w:p>
      <w:pPr>
        <w:pStyle w:val="BodyText"/>
        <w:spacing w:line="276" w:lineRule="auto"/>
        <w:ind w:left="743" w:right="31" w:firstLine="111"/>
        <w:jc w:val="both"/>
      </w:pPr>
      <w:r>
        <w:rPr/>
        <w:t>This case addressed the classification of petrol discount tokens and </w:t>
      </w:r>
      <w:r>
        <w:rPr/>
        <w:t>whether they could be considered as an “advertisement” under UK VAT law.</w:t>
      </w:r>
    </w:p>
    <w:p>
      <w:pPr>
        <w:spacing w:line="276" w:lineRule="auto" w:before="0"/>
        <w:ind w:left="743" w:right="25" w:firstLine="81"/>
        <w:jc w:val="both"/>
        <w:rPr>
          <w:sz w:val="24"/>
        </w:rPr>
      </w:pPr>
      <w:r>
        <w:rPr>
          <w:sz w:val="24"/>
        </w:rPr>
        <w:t>Citation: </w:t>
      </w:r>
      <w:r>
        <w:rPr>
          <w:rFonts w:ascii="Arial"/>
          <w:i/>
          <w:sz w:val="24"/>
        </w:rPr>
        <w:t>Esso Petroleum Ltd v Commissioners of Customs and Excise </w:t>
      </w:r>
      <w:r>
        <w:rPr>
          <w:sz w:val="24"/>
        </w:rPr>
        <w:t>[1976]</w:t>
      </w:r>
      <w:r>
        <w:rPr>
          <w:spacing w:val="-3"/>
          <w:sz w:val="24"/>
        </w:rPr>
        <w:t> </w:t>
      </w:r>
      <w:r>
        <w:rPr>
          <w:sz w:val="24"/>
        </w:rPr>
        <w:t>1 All ER 117, House of Lords.</w:t>
      </w:r>
    </w:p>
    <w:p>
      <w:pPr>
        <w:pStyle w:val="BodyText"/>
      </w:pPr>
    </w:p>
    <w:p>
      <w:pPr>
        <w:pStyle w:val="BodyText"/>
        <w:spacing w:before="83"/>
      </w:pPr>
    </w:p>
    <w:p>
      <w:pPr>
        <w:pStyle w:val="ListParagraph"/>
        <w:numPr>
          <w:ilvl w:val="0"/>
          <w:numId w:val="7"/>
        </w:numPr>
        <w:tabs>
          <w:tab w:pos="742" w:val="left" w:leader="none"/>
        </w:tabs>
        <w:spacing w:line="240" w:lineRule="auto" w:before="0" w:after="0"/>
        <w:ind w:left="742" w:right="0" w:hanging="359"/>
        <w:jc w:val="both"/>
        <w:rPr>
          <w:sz w:val="24"/>
        </w:rPr>
      </w:pPr>
      <w:r>
        <w:rPr>
          <w:rFonts w:ascii="Arial"/>
          <w:b/>
          <w:sz w:val="24"/>
        </w:rPr>
        <w:t>Harris v Nickerson </w:t>
      </w:r>
      <w:r>
        <w:rPr>
          <w:sz w:val="24"/>
        </w:rPr>
        <w:t>(1873) LR 8 QB </w:t>
      </w:r>
      <w:r>
        <w:rPr>
          <w:spacing w:val="-4"/>
          <w:sz w:val="24"/>
        </w:rPr>
        <w:t>286.</w:t>
      </w:r>
    </w:p>
    <w:p>
      <w:pPr>
        <w:pStyle w:val="BodyText"/>
        <w:spacing w:line="276" w:lineRule="auto" w:before="42"/>
        <w:ind w:left="743" w:right="27" w:firstLine="81"/>
        <w:jc w:val="both"/>
      </w:pPr>
      <w:r>
        <w:rPr/>
        <w:t>This case discussed the enforceability of advertisements offering</w:t>
      </w:r>
      <w:r>
        <w:rPr>
          <w:spacing w:val="-3"/>
        </w:rPr>
        <w:t> </w:t>
      </w:r>
      <w:r>
        <w:rPr/>
        <w:t>goods</w:t>
      </w:r>
      <w:r>
        <w:rPr>
          <w:spacing w:val="-3"/>
        </w:rPr>
        <w:t> </w:t>
      </w:r>
      <w:r>
        <w:rPr/>
        <w:t>for</w:t>
      </w:r>
      <w:r>
        <w:rPr>
          <w:spacing w:val="-3"/>
        </w:rPr>
        <w:t> </w:t>
      </w:r>
      <w:r>
        <w:rPr/>
        <w:t>sale in a particular manner, marking the distinction between offer and invitation </w:t>
      </w:r>
      <w:r>
        <w:rPr/>
        <w:t>to </w:t>
      </w:r>
      <w:r>
        <w:rPr>
          <w:spacing w:val="-2"/>
        </w:rPr>
        <w:t>treat.</w:t>
      </w:r>
    </w:p>
    <w:p>
      <w:pPr>
        <w:pStyle w:val="BodyText"/>
      </w:pPr>
    </w:p>
    <w:p>
      <w:pPr>
        <w:pStyle w:val="BodyText"/>
        <w:spacing w:before="82"/>
      </w:pPr>
    </w:p>
    <w:p>
      <w:pPr>
        <w:pStyle w:val="ListParagraph"/>
        <w:numPr>
          <w:ilvl w:val="0"/>
          <w:numId w:val="7"/>
        </w:numPr>
        <w:tabs>
          <w:tab w:pos="742" w:val="left" w:leader="none"/>
        </w:tabs>
        <w:spacing w:line="240" w:lineRule="auto" w:before="0" w:after="0"/>
        <w:ind w:left="742" w:right="0" w:hanging="359"/>
        <w:jc w:val="both"/>
        <w:rPr>
          <w:sz w:val="24"/>
        </w:rPr>
      </w:pPr>
      <w:r>
        <w:rPr>
          <w:rFonts w:ascii="Arial"/>
          <w:b/>
          <w:sz w:val="24"/>
        </w:rPr>
        <w:t>Carbolic Smoke Ball Co v Carill </w:t>
      </w:r>
      <w:r>
        <w:rPr>
          <w:sz w:val="24"/>
        </w:rPr>
        <w:t>[1892] 2 Q.B. </w:t>
      </w:r>
      <w:r>
        <w:rPr>
          <w:spacing w:val="-4"/>
          <w:sz w:val="24"/>
        </w:rPr>
        <w:t>484.</w:t>
      </w:r>
    </w:p>
    <w:p>
      <w:pPr>
        <w:pStyle w:val="BodyText"/>
        <w:spacing w:line="276" w:lineRule="auto" w:before="42"/>
        <w:ind w:left="743" w:right="24" w:firstLine="111"/>
        <w:jc w:val="both"/>
      </w:pPr>
      <w:r>
        <w:rPr/>
        <w:t>Another pivotal case involving unilateral contracts, where the Court of </w:t>
      </w:r>
      <w:r>
        <w:rPr/>
        <w:t>Appeal held that an advertisement promising rewards for using a product constituted an enforceable contract.</w:t>
      </w:r>
    </w:p>
    <w:p>
      <w:pPr>
        <w:spacing w:before="0"/>
        <w:ind w:left="809" w:right="0" w:firstLine="0"/>
        <w:jc w:val="both"/>
        <w:rPr>
          <w:sz w:val="24"/>
        </w:rPr>
      </w:pPr>
      <w:r>
        <w:rPr>
          <w:sz w:val="24"/>
        </w:rPr>
        <w:t>Citation: </w:t>
      </w:r>
      <w:r>
        <w:rPr>
          <w:rFonts w:ascii="Arial"/>
          <w:i/>
          <w:sz w:val="24"/>
        </w:rPr>
        <w:t>Carbolic Smoke Ball Co v Carill </w:t>
      </w:r>
      <w:r>
        <w:rPr>
          <w:sz w:val="24"/>
        </w:rPr>
        <w:t>[1892] 2 Q.B. 484, Court of </w:t>
      </w:r>
      <w:r>
        <w:rPr>
          <w:spacing w:val="-2"/>
          <w:sz w:val="24"/>
        </w:rPr>
        <w:t>Appeal.</w:t>
      </w:r>
    </w:p>
    <w:p>
      <w:pPr>
        <w:pStyle w:val="BodyText"/>
      </w:pPr>
    </w:p>
    <w:p>
      <w:pPr>
        <w:pStyle w:val="BodyText"/>
        <w:spacing w:before="124"/>
      </w:pPr>
    </w:p>
    <w:p>
      <w:pPr>
        <w:pStyle w:val="ListParagraph"/>
        <w:numPr>
          <w:ilvl w:val="0"/>
          <w:numId w:val="7"/>
        </w:numPr>
        <w:tabs>
          <w:tab w:pos="742" w:val="left" w:leader="none"/>
        </w:tabs>
        <w:spacing w:line="240" w:lineRule="auto" w:before="0" w:after="0"/>
        <w:ind w:left="742" w:right="0" w:hanging="359"/>
        <w:jc w:val="both"/>
        <w:rPr>
          <w:sz w:val="24"/>
        </w:rPr>
      </w:pPr>
      <w:r>
        <w:rPr>
          <w:rFonts w:ascii="Arial"/>
          <w:b/>
          <w:sz w:val="24"/>
        </w:rPr>
        <w:t>L'Estrange v F Graucob Ltd </w:t>
      </w:r>
      <w:r>
        <w:rPr>
          <w:sz w:val="24"/>
        </w:rPr>
        <w:t>[1934] 2 K.B. </w:t>
      </w:r>
      <w:r>
        <w:rPr>
          <w:spacing w:val="-4"/>
          <w:sz w:val="24"/>
        </w:rPr>
        <w:t>394.</w:t>
      </w:r>
    </w:p>
    <w:p>
      <w:pPr>
        <w:pStyle w:val="BodyText"/>
        <w:spacing w:line="276" w:lineRule="auto" w:before="41"/>
        <w:ind w:left="743" w:right="26" w:firstLine="96"/>
        <w:jc w:val="both"/>
      </w:pPr>
      <w:r>
        <w:rPr/>
        <w:t>The case is a critical example of the court's treatment of exclusion clauses </w:t>
      </w:r>
      <w:r>
        <w:rPr/>
        <w:t>and the enforceability of terms in signed contracts.</w:t>
      </w:r>
    </w:p>
    <w:p>
      <w:pPr>
        <w:spacing w:before="0"/>
        <w:ind w:left="809" w:right="0" w:firstLine="0"/>
        <w:jc w:val="both"/>
        <w:rPr>
          <w:sz w:val="24"/>
        </w:rPr>
      </w:pPr>
      <w:r>
        <w:rPr>
          <w:sz w:val="24"/>
        </w:rPr>
        <w:t>Citation: </w:t>
      </w:r>
      <w:r>
        <w:rPr>
          <w:rFonts w:ascii="Arial"/>
          <w:i/>
          <w:sz w:val="24"/>
        </w:rPr>
        <w:t>L'Estrange v F Graucob Ltd </w:t>
      </w:r>
      <w:r>
        <w:rPr>
          <w:sz w:val="24"/>
        </w:rPr>
        <w:t>[1934] 2 K.B. 394, Court of </w:t>
      </w:r>
      <w:r>
        <w:rPr>
          <w:spacing w:val="-2"/>
          <w:sz w:val="24"/>
        </w:rPr>
        <w:t>Appeal.</w:t>
      </w:r>
    </w:p>
    <w:p>
      <w:pPr>
        <w:spacing w:after="0"/>
        <w:jc w:val="both"/>
        <w:rPr>
          <w:sz w:val="24"/>
        </w:rPr>
        <w:sectPr>
          <w:pgSz w:w="12240" w:h="15840"/>
          <w:pgMar w:top="1360" w:bottom="280" w:left="1417" w:right="1417"/>
        </w:sectPr>
      </w:pPr>
    </w:p>
    <w:p>
      <w:pPr>
        <w:pStyle w:val="ListParagraph"/>
        <w:numPr>
          <w:ilvl w:val="0"/>
          <w:numId w:val="7"/>
        </w:numPr>
        <w:tabs>
          <w:tab w:pos="742" w:val="left" w:leader="none"/>
        </w:tabs>
        <w:spacing w:line="240" w:lineRule="auto" w:before="80" w:after="0"/>
        <w:ind w:left="742" w:right="0" w:hanging="359"/>
        <w:jc w:val="left"/>
        <w:rPr>
          <w:sz w:val="24"/>
        </w:rPr>
      </w:pPr>
      <w:r>
        <w:rPr>
          <w:rFonts w:ascii="Arial"/>
          <w:b/>
          <w:sz w:val="24"/>
        </w:rPr>
        <w:t>Partridge v Crittenden </w:t>
      </w:r>
      <w:r>
        <w:rPr>
          <w:sz w:val="24"/>
        </w:rPr>
        <w:t>[1968] 1 WLR </w:t>
      </w:r>
      <w:r>
        <w:rPr>
          <w:spacing w:val="-2"/>
          <w:sz w:val="24"/>
        </w:rPr>
        <w:t>1204.</w:t>
      </w:r>
    </w:p>
    <w:p>
      <w:pPr>
        <w:pStyle w:val="BodyText"/>
        <w:spacing w:line="276" w:lineRule="auto" w:before="41"/>
        <w:ind w:left="743" w:right="29" w:firstLine="96"/>
      </w:pPr>
      <w:r>
        <w:rPr/>
        <w:t>This case confirmed the legal principle that advertisements are generally </w:t>
      </w:r>
      <w:r>
        <w:rPr/>
        <w:t>seen</w:t>
      </w:r>
      <w:r>
        <w:rPr>
          <w:spacing w:val="40"/>
        </w:rPr>
        <w:t> </w:t>
      </w:r>
      <w:r>
        <w:rPr/>
        <w:t>as invitations to treat, rather than offers.</w:t>
      </w:r>
    </w:p>
    <w:p>
      <w:pPr>
        <w:spacing w:before="0"/>
        <w:ind w:left="809" w:right="0" w:firstLine="0"/>
        <w:jc w:val="left"/>
        <w:rPr>
          <w:sz w:val="24"/>
        </w:rPr>
      </w:pPr>
      <w:r>
        <w:rPr>
          <w:sz w:val="24"/>
        </w:rPr>
        <w:t>Citation: </w:t>
      </w:r>
      <w:r>
        <w:rPr>
          <w:rFonts w:ascii="Arial"/>
          <w:i/>
          <w:sz w:val="24"/>
        </w:rPr>
        <w:t>Partridge v Crittenden </w:t>
      </w:r>
      <w:r>
        <w:rPr>
          <w:sz w:val="24"/>
        </w:rPr>
        <w:t>[1968] 1 WLR 1204, Court of </w:t>
      </w:r>
      <w:r>
        <w:rPr>
          <w:spacing w:val="-2"/>
          <w:sz w:val="24"/>
        </w:rPr>
        <w:t>Appeal.</w:t>
      </w:r>
    </w:p>
    <w:p>
      <w:pPr>
        <w:pStyle w:val="BodyText"/>
      </w:pPr>
    </w:p>
    <w:p>
      <w:pPr>
        <w:pStyle w:val="BodyText"/>
        <w:spacing w:before="124"/>
      </w:pPr>
    </w:p>
    <w:p>
      <w:pPr>
        <w:pStyle w:val="ListParagraph"/>
        <w:numPr>
          <w:ilvl w:val="0"/>
          <w:numId w:val="7"/>
        </w:numPr>
        <w:tabs>
          <w:tab w:pos="742" w:val="left" w:leader="none"/>
        </w:tabs>
        <w:spacing w:line="240" w:lineRule="auto" w:before="0" w:after="0"/>
        <w:ind w:left="742" w:right="0" w:hanging="359"/>
        <w:jc w:val="left"/>
        <w:rPr>
          <w:sz w:val="24"/>
        </w:rPr>
      </w:pPr>
      <w:r>
        <w:rPr>
          <w:rFonts w:ascii="Arial"/>
          <w:b/>
          <w:sz w:val="24"/>
        </w:rPr>
        <w:t>Smith v Hughes </w:t>
      </w:r>
      <w:r>
        <w:rPr>
          <w:sz w:val="24"/>
        </w:rPr>
        <w:t>(1871) LR 6 QB </w:t>
      </w:r>
      <w:r>
        <w:rPr>
          <w:spacing w:val="-4"/>
          <w:sz w:val="24"/>
        </w:rPr>
        <w:t>597.</w:t>
      </w:r>
    </w:p>
    <w:p>
      <w:pPr>
        <w:pStyle w:val="BodyText"/>
        <w:spacing w:line="276" w:lineRule="auto" w:before="42"/>
        <w:ind w:left="743" w:firstLine="96"/>
      </w:pPr>
      <w:r>
        <w:rPr/>
        <w:t>This</w:t>
      </w:r>
      <w:r>
        <w:rPr>
          <w:spacing w:val="27"/>
        </w:rPr>
        <w:t> </w:t>
      </w:r>
      <w:r>
        <w:rPr/>
        <w:t>case</w:t>
      </w:r>
      <w:r>
        <w:rPr>
          <w:spacing w:val="27"/>
        </w:rPr>
        <w:t> </w:t>
      </w:r>
      <w:r>
        <w:rPr/>
        <w:t>involves</w:t>
      </w:r>
      <w:r>
        <w:rPr>
          <w:spacing w:val="27"/>
        </w:rPr>
        <w:t> </w:t>
      </w:r>
      <w:r>
        <w:rPr/>
        <w:t>the</w:t>
      </w:r>
      <w:r>
        <w:rPr>
          <w:spacing w:val="27"/>
        </w:rPr>
        <w:t> </w:t>
      </w:r>
      <w:r>
        <w:rPr/>
        <w:t>issue</w:t>
      </w:r>
      <w:r>
        <w:rPr>
          <w:spacing w:val="27"/>
        </w:rPr>
        <w:t> </w:t>
      </w:r>
      <w:r>
        <w:rPr/>
        <w:t>of</w:t>
      </w:r>
      <w:r>
        <w:rPr>
          <w:spacing w:val="27"/>
        </w:rPr>
        <w:t> </w:t>
      </w:r>
      <w:r>
        <w:rPr/>
        <w:t>whether</w:t>
      </w:r>
      <w:r>
        <w:rPr>
          <w:spacing w:val="27"/>
        </w:rPr>
        <w:t> </w:t>
      </w:r>
      <w:r>
        <w:rPr/>
        <w:t>a</w:t>
      </w:r>
      <w:r>
        <w:rPr>
          <w:spacing w:val="27"/>
        </w:rPr>
        <w:t> </w:t>
      </w:r>
      <w:r>
        <w:rPr/>
        <w:t>contract</w:t>
      </w:r>
      <w:r>
        <w:rPr>
          <w:spacing w:val="27"/>
        </w:rPr>
        <w:t> </w:t>
      </w:r>
      <w:r>
        <w:rPr/>
        <w:t>can</w:t>
      </w:r>
      <w:r>
        <w:rPr>
          <w:spacing w:val="27"/>
        </w:rPr>
        <w:t> </w:t>
      </w:r>
      <w:r>
        <w:rPr/>
        <w:t>be</w:t>
      </w:r>
      <w:r>
        <w:rPr>
          <w:spacing w:val="27"/>
        </w:rPr>
        <w:t> </w:t>
      </w:r>
      <w:r>
        <w:rPr/>
        <w:t>valid</w:t>
      </w:r>
      <w:r>
        <w:rPr>
          <w:spacing w:val="27"/>
        </w:rPr>
        <w:t> </w:t>
      </w:r>
      <w:r>
        <w:rPr/>
        <w:t>if both </w:t>
      </w:r>
      <w:r>
        <w:rPr/>
        <w:t>parties were under different assumptions about its terms.</w:t>
      </w:r>
    </w:p>
    <w:p>
      <w:pPr>
        <w:spacing w:before="0"/>
        <w:ind w:left="809" w:right="0" w:firstLine="0"/>
        <w:jc w:val="left"/>
        <w:rPr>
          <w:sz w:val="24"/>
        </w:rPr>
      </w:pPr>
      <w:r>
        <w:rPr>
          <w:sz w:val="24"/>
        </w:rPr>
        <w:t>Citation: </w:t>
      </w:r>
      <w:r>
        <w:rPr>
          <w:rFonts w:ascii="Arial"/>
          <w:i/>
          <w:sz w:val="24"/>
        </w:rPr>
        <w:t>Smith v Hughes </w:t>
      </w:r>
      <w:r>
        <w:rPr>
          <w:sz w:val="24"/>
        </w:rPr>
        <w:t>(1871) LR 6 QB 597, Queen's </w:t>
      </w:r>
      <w:r>
        <w:rPr>
          <w:spacing w:val="-2"/>
          <w:sz w:val="24"/>
        </w:rPr>
        <w:t>Bench.</w:t>
      </w:r>
    </w:p>
    <w:p>
      <w:pPr>
        <w:pStyle w:val="BodyText"/>
      </w:pPr>
    </w:p>
    <w:p>
      <w:pPr>
        <w:pStyle w:val="BodyText"/>
        <w:spacing w:before="124"/>
      </w:pPr>
    </w:p>
    <w:p>
      <w:pPr>
        <w:pStyle w:val="ListParagraph"/>
        <w:numPr>
          <w:ilvl w:val="0"/>
          <w:numId w:val="7"/>
        </w:numPr>
        <w:tabs>
          <w:tab w:pos="742" w:val="left" w:leader="none"/>
        </w:tabs>
        <w:spacing w:line="240" w:lineRule="auto" w:before="0" w:after="0"/>
        <w:ind w:left="742" w:right="0" w:hanging="359"/>
        <w:jc w:val="left"/>
        <w:rPr>
          <w:sz w:val="24"/>
        </w:rPr>
      </w:pPr>
      <w:r>
        <w:rPr>
          <w:rFonts w:ascii="Arial"/>
          <w:b/>
          <w:sz w:val="24"/>
        </w:rPr>
        <w:t>Felthouse</w:t>
      </w:r>
      <w:r>
        <w:rPr>
          <w:rFonts w:ascii="Arial"/>
          <w:b/>
          <w:spacing w:val="-3"/>
          <w:sz w:val="24"/>
        </w:rPr>
        <w:t> </w:t>
      </w:r>
      <w:r>
        <w:rPr>
          <w:rFonts w:ascii="Arial"/>
          <w:b/>
          <w:sz w:val="24"/>
        </w:rPr>
        <w:t>v</w:t>
      </w:r>
      <w:r>
        <w:rPr>
          <w:rFonts w:ascii="Arial"/>
          <w:b/>
          <w:spacing w:val="-3"/>
          <w:sz w:val="24"/>
        </w:rPr>
        <w:t> </w:t>
      </w:r>
      <w:r>
        <w:rPr>
          <w:rFonts w:ascii="Arial"/>
          <w:b/>
          <w:sz w:val="24"/>
        </w:rPr>
        <w:t>Bindley</w:t>
      </w:r>
      <w:r>
        <w:rPr>
          <w:rFonts w:ascii="Arial"/>
          <w:b/>
          <w:spacing w:val="-3"/>
          <w:sz w:val="24"/>
        </w:rPr>
        <w:t> </w:t>
      </w:r>
      <w:r>
        <w:rPr>
          <w:sz w:val="24"/>
        </w:rPr>
        <w:t>(1862)</w:t>
      </w:r>
      <w:r>
        <w:rPr>
          <w:spacing w:val="-3"/>
          <w:sz w:val="24"/>
        </w:rPr>
        <w:t> </w:t>
      </w:r>
      <w:r>
        <w:rPr>
          <w:sz w:val="24"/>
        </w:rPr>
        <w:t>11</w:t>
      </w:r>
      <w:r>
        <w:rPr>
          <w:spacing w:val="-3"/>
          <w:sz w:val="24"/>
        </w:rPr>
        <w:t> </w:t>
      </w:r>
      <w:r>
        <w:rPr>
          <w:sz w:val="24"/>
        </w:rPr>
        <w:t>CBNS</w:t>
      </w:r>
      <w:r>
        <w:rPr>
          <w:spacing w:val="-3"/>
          <w:sz w:val="24"/>
        </w:rPr>
        <w:t> </w:t>
      </w:r>
      <w:r>
        <w:rPr>
          <w:spacing w:val="-4"/>
          <w:sz w:val="24"/>
        </w:rPr>
        <w:t>869.</w:t>
      </w:r>
    </w:p>
    <w:p>
      <w:pPr>
        <w:pStyle w:val="BodyText"/>
        <w:spacing w:line="276" w:lineRule="auto" w:before="41"/>
        <w:ind w:left="743" w:firstLine="96"/>
      </w:pPr>
      <w:r>
        <w:rPr/>
        <w:t>In</w:t>
      </w:r>
      <w:r>
        <w:rPr>
          <w:spacing w:val="27"/>
        </w:rPr>
        <w:t> </w:t>
      </w:r>
      <w:r>
        <w:rPr/>
        <w:t>this</w:t>
      </w:r>
      <w:r>
        <w:rPr>
          <w:spacing w:val="27"/>
        </w:rPr>
        <w:t> </w:t>
      </w:r>
      <w:r>
        <w:rPr/>
        <w:t>case,</w:t>
      </w:r>
      <w:r>
        <w:rPr>
          <w:spacing w:val="27"/>
        </w:rPr>
        <w:t> </w:t>
      </w:r>
      <w:r>
        <w:rPr/>
        <w:t>the</w:t>
      </w:r>
      <w:r>
        <w:rPr>
          <w:spacing w:val="27"/>
        </w:rPr>
        <w:t> </w:t>
      </w:r>
      <w:r>
        <w:rPr/>
        <w:t>court ruled that silence or failure to object does not amount </w:t>
      </w:r>
      <w:r>
        <w:rPr/>
        <w:t>to acceptance in contract law.</w:t>
      </w:r>
    </w:p>
    <w:p>
      <w:pPr>
        <w:spacing w:before="0"/>
        <w:ind w:left="809" w:right="0" w:firstLine="0"/>
        <w:jc w:val="left"/>
        <w:rPr>
          <w:sz w:val="24"/>
        </w:rPr>
      </w:pPr>
      <w:r>
        <w:rPr>
          <w:sz w:val="24"/>
        </w:rPr>
        <w:t>Citation:</w:t>
      </w:r>
      <w:r>
        <w:rPr>
          <w:spacing w:val="-2"/>
          <w:sz w:val="24"/>
        </w:rPr>
        <w:t> </w:t>
      </w:r>
      <w:r>
        <w:rPr>
          <w:rFonts w:ascii="Arial"/>
          <w:i/>
          <w:sz w:val="24"/>
        </w:rPr>
        <w:t>Felthouse</w:t>
      </w:r>
      <w:r>
        <w:rPr>
          <w:rFonts w:ascii="Arial"/>
          <w:i/>
          <w:spacing w:val="-2"/>
          <w:sz w:val="24"/>
        </w:rPr>
        <w:t> </w:t>
      </w:r>
      <w:r>
        <w:rPr>
          <w:rFonts w:ascii="Arial"/>
          <w:i/>
          <w:sz w:val="24"/>
        </w:rPr>
        <w:t>v</w:t>
      </w:r>
      <w:r>
        <w:rPr>
          <w:rFonts w:ascii="Arial"/>
          <w:i/>
          <w:spacing w:val="-1"/>
          <w:sz w:val="24"/>
        </w:rPr>
        <w:t> </w:t>
      </w:r>
      <w:r>
        <w:rPr>
          <w:rFonts w:ascii="Arial"/>
          <w:i/>
          <w:sz w:val="24"/>
        </w:rPr>
        <w:t>Bindley</w:t>
      </w:r>
      <w:r>
        <w:rPr>
          <w:rFonts w:ascii="Arial"/>
          <w:i/>
          <w:spacing w:val="-2"/>
          <w:sz w:val="24"/>
        </w:rPr>
        <w:t> </w:t>
      </w:r>
      <w:r>
        <w:rPr>
          <w:sz w:val="24"/>
        </w:rPr>
        <w:t>(1862)</w:t>
      </w:r>
      <w:r>
        <w:rPr>
          <w:spacing w:val="-2"/>
          <w:sz w:val="24"/>
        </w:rPr>
        <w:t> </w:t>
      </w:r>
      <w:r>
        <w:rPr>
          <w:sz w:val="24"/>
        </w:rPr>
        <w:t>11</w:t>
      </w:r>
      <w:r>
        <w:rPr>
          <w:spacing w:val="-1"/>
          <w:sz w:val="24"/>
        </w:rPr>
        <w:t> </w:t>
      </w:r>
      <w:r>
        <w:rPr>
          <w:sz w:val="24"/>
        </w:rPr>
        <w:t>CBNS</w:t>
      </w:r>
      <w:r>
        <w:rPr>
          <w:spacing w:val="-2"/>
          <w:sz w:val="24"/>
        </w:rPr>
        <w:t> </w:t>
      </w:r>
      <w:r>
        <w:rPr>
          <w:sz w:val="24"/>
        </w:rPr>
        <w:t>869,</w:t>
      </w:r>
      <w:r>
        <w:rPr>
          <w:spacing w:val="-2"/>
          <w:sz w:val="24"/>
        </w:rPr>
        <w:t> </w:t>
      </w:r>
      <w:r>
        <w:rPr>
          <w:sz w:val="24"/>
        </w:rPr>
        <w:t>Court</w:t>
      </w:r>
      <w:r>
        <w:rPr>
          <w:spacing w:val="-1"/>
          <w:sz w:val="24"/>
        </w:rPr>
        <w:t> </w:t>
      </w:r>
      <w:r>
        <w:rPr>
          <w:sz w:val="24"/>
        </w:rPr>
        <w:t>of</w:t>
      </w:r>
      <w:r>
        <w:rPr>
          <w:spacing w:val="-2"/>
          <w:sz w:val="24"/>
        </w:rPr>
        <w:t> </w:t>
      </w:r>
      <w:r>
        <w:rPr>
          <w:sz w:val="24"/>
        </w:rPr>
        <w:t>Common</w:t>
      </w:r>
      <w:r>
        <w:rPr>
          <w:spacing w:val="-1"/>
          <w:sz w:val="24"/>
        </w:rPr>
        <w:t> </w:t>
      </w:r>
      <w:r>
        <w:rPr>
          <w:spacing w:val="-2"/>
          <w:sz w:val="24"/>
        </w:rPr>
        <w:t>Pleas.</w:t>
      </w:r>
    </w:p>
    <w:p>
      <w:pPr>
        <w:pStyle w:val="BodyText"/>
      </w:pPr>
    </w:p>
    <w:p>
      <w:pPr>
        <w:pStyle w:val="BodyText"/>
        <w:spacing w:before="124"/>
      </w:pPr>
    </w:p>
    <w:p>
      <w:pPr>
        <w:pStyle w:val="ListParagraph"/>
        <w:numPr>
          <w:ilvl w:val="0"/>
          <w:numId w:val="7"/>
        </w:numPr>
        <w:tabs>
          <w:tab w:pos="742" w:val="left" w:leader="none"/>
        </w:tabs>
        <w:spacing w:line="240" w:lineRule="auto" w:before="0" w:after="0"/>
        <w:ind w:left="742" w:right="0" w:hanging="359"/>
        <w:jc w:val="left"/>
        <w:rPr>
          <w:sz w:val="24"/>
        </w:rPr>
      </w:pPr>
      <w:r>
        <w:rPr>
          <w:rFonts w:ascii="Arial"/>
          <w:b/>
          <w:sz w:val="24"/>
        </w:rPr>
        <w:t>Harris</w:t>
      </w:r>
      <w:r>
        <w:rPr>
          <w:rFonts w:ascii="Arial"/>
          <w:b/>
          <w:spacing w:val="-1"/>
          <w:sz w:val="24"/>
        </w:rPr>
        <w:t> </w:t>
      </w:r>
      <w:r>
        <w:rPr>
          <w:rFonts w:ascii="Arial"/>
          <w:b/>
          <w:sz w:val="24"/>
        </w:rPr>
        <w:t>v</w:t>
      </w:r>
      <w:r>
        <w:rPr>
          <w:rFonts w:ascii="Arial"/>
          <w:b/>
          <w:spacing w:val="-1"/>
          <w:sz w:val="24"/>
        </w:rPr>
        <w:t> </w:t>
      </w:r>
      <w:r>
        <w:rPr>
          <w:rFonts w:ascii="Arial"/>
          <w:b/>
          <w:sz w:val="24"/>
        </w:rPr>
        <w:t>Time Inc</w:t>
      </w:r>
      <w:r>
        <w:rPr>
          <w:rFonts w:ascii="Arial"/>
          <w:b/>
          <w:spacing w:val="-1"/>
          <w:sz w:val="24"/>
        </w:rPr>
        <w:t> </w:t>
      </w:r>
      <w:r>
        <w:rPr>
          <w:sz w:val="24"/>
        </w:rPr>
        <w:t>[1985]</w:t>
      </w:r>
      <w:r>
        <w:rPr>
          <w:spacing w:val="-1"/>
          <w:sz w:val="24"/>
        </w:rPr>
        <w:t> </w:t>
      </w:r>
      <w:r>
        <w:rPr>
          <w:sz w:val="24"/>
        </w:rPr>
        <w:t>2 All</w:t>
      </w:r>
      <w:r>
        <w:rPr>
          <w:spacing w:val="-1"/>
          <w:sz w:val="24"/>
        </w:rPr>
        <w:t> </w:t>
      </w:r>
      <w:r>
        <w:rPr>
          <w:sz w:val="24"/>
        </w:rPr>
        <w:t>ER </w:t>
      </w:r>
      <w:r>
        <w:rPr>
          <w:spacing w:val="-4"/>
          <w:sz w:val="24"/>
        </w:rPr>
        <w:t>290.</w:t>
      </w:r>
    </w:p>
    <w:p>
      <w:pPr>
        <w:pStyle w:val="BodyText"/>
        <w:spacing w:line="276" w:lineRule="auto" w:before="42"/>
        <w:ind w:left="743" w:firstLine="81"/>
      </w:pPr>
      <w:r>
        <w:rPr/>
        <w:t>The case discussed issues</w:t>
      </w:r>
      <w:r>
        <w:rPr>
          <w:spacing w:val="-4"/>
        </w:rPr>
        <w:t> </w:t>
      </w:r>
      <w:r>
        <w:rPr/>
        <w:t>around</w:t>
      </w:r>
      <w:r>
        <w:rPr>
          <w:spacing w:val="-4"/>
        </w:rPr>
        <w:t> </w:t>
      </w:r>
      <w:r>
        <w:rPr/>
        <w:t>defamation</w:t>
      </w:r>
      <w:r>
        <w:rPr>
          <w:spacing w:val="-4"/>
        </w:rPr>
        <w:t> </w:t>
      </w:r>
      <w:r>
        <w:rPr/>
        <w:t>and</w:t>
      </w:r>
      <w:r>
        <w:rPr>
          <w:spacing w:val="-4"/>
        </w:rPr>
        <w:t> </w:t>
      </w:r>
      <w:r>
        <w:rPr/>
        <w:t>the</w:t>
      </w:r>
      <w:r>
        <w:rPr>
          <w:spacing w:val="-4"/>
        </w:rPr>
        <w:t> </w:t>
      </w:r>
      <w:r>
        <w:rPr/>
        <w:t>publication</w:t>
      </w:r>
      <w:r>
        <w:rPr>
          <w:spacing w:val="-4"/>
        </w:rPr>
        <w:t> </w:t>
      </w:r>
      <w:r>
        <w:rPr/>
        <w:t>of</w:t>
      </w:r>
      <w:r>
        <w:rPr>
          <w:spacing w:val="-4"/>
        </w:rPr>
        <w:t> </w:t>
      </w:r>
      <w:r>
        <w:rPr/>
        <w:t>misleading information, impacting the enforcement of certain contractual terms.</w:t>
      </w:r>
    </w:p>
    <w:p>
      <w:pPr>
        <w:pStyle w:val="BodyText"/>
      </w:pPr>
    </w:p>
    <w:p>
      <w:pPr>
        <w:pStyle w:val="BodyText"/>
        <w:spacing w:before="82"/>
      </w:pPr>
    </w:p>
    <w:p>
      <w:pPr>
        <w:pStyle w:val="ListParagraph"/>
        <w:numPr>
          <w:ilvl w:val="0"/>
          <w:numId w:val="7"/>
        </w:numPr>
        <w:tabs>
          <w:tab w:pos="742" w:val="left" w:leader="none"/>
        </w:tabs>
        <w:spacing w:line="240" w:lineRule="auto" w:before="1" w:after="0"/>
        <w:ind w:left="742" w:right="0" w:hanging="359"/>
        <w:jc w:val="left"/>
        <w:rPr>
          <w:sz w:val="24"/>
        </w:rPr>
      </w:pPr>
      <w:r>
        <w:rPr>
          <w:rFonts w:ascii="Arial"/>
          <w:b/>
          <w:sz w:val="24"/>
        </w:rPr>
        <w:t>R v Thompson </w:t>
      </w:r>
      <w:r>
        <w:rPr>
          <w:sz w:val="24"/>
        </w:rPr>
        <w:t>[1981] 2 All ER </w:t>
      </w:r>
      <w:r>
        <w:rPr>
          <w:spacing w:val="-5"/>
          <w:sz w:val="24"/>
        </w:rPr>
        <w:t>51.</w:t>
      </w:r>
    </w:p>
    <w:p>
      <w:pPr>
        <w:pStyle w:val="BodyText"/>
        <w:spacing w:line="276" w:lineRule="auto" w:before="41"/>
        <w:ind w:left="743" w:firstLine="111"/>
      </w:pPr>
      <w:r>
        <w:rPr/>
        <w:t>This</w:t>
      </w:r>
      <w:r>
        <w:rPr>
          <w:spacing w:val="40"/>
        </w:rPr>
        <w:t> </w:t>
      </w:r>
      <w:r>
        <w:rPr/>
        <w:t>case</w:t>
      </w:r>
      <w:r>
        <w:rPr>
          <w:spacing w:val="40"/>
        </w:rPr>
        <w:t> </w:t>
      </w:r>
      <w:r>
        <w:rPr/>
        <w:t>was</w:t>
      </w:r>
      <w:r>
        <w:rPr>
          <w:spacing w:val="40"/>
        </w:rPr>
        <w:t> </w:t>
      </w:r>
      <w:r>
        <w:rPr/>
        <w:t>pivotal</w:t>
      </w:r>
      <w:r>
        <w:rPr>
          <w:spacing w:val="40"/>
        </w:rPr>
        <w:t> </w:t>
      </w:r>
      <w:r>
        <w:rPr/>
        <w:t>in</w:t>
      </w:r>
      <w:r>
        <w:rPr>
          <w:spacing w:val="40"/>
        </w:rPr>
        <w:t> </w:t>
      </w:r>
      <w:r>
        <w:rPr/>
        <w:t>the</w:t>
      </w:r>
      <w:r>
        <w:rPr>
          <w:spacing w:val="40"/>
        </w:rPr>
        <w:t> </w:t>
      </w:r>
      <w:r>
        <w:rPr/>
        <w:t>development</w:t>
      </w:r>
      <w:r>
        <w:rPr>
          <w:spacing w:val="40"/>
        </w:rPr>
        <w:t> </w:t>
      </w:r>
      <w:r>
        <w:rPr/>
        <w:t>of</w:t>
      </w:r>
      <w:r>
        <w:rPr>
          <w:spacing w:val="27"/>
        </w:rPr>
        <w:t> </w:t>
      </w:r>
      <w:r>
        <w:rPr/>
        <w:t>UK</w:t>
      </w:r>
      <w:r>
        <w:rPr>
          <w:spacing w:val="27"/>
        </w:rPr>
        <w:t> </w:t>
      </w:r>
      <w:r>
        <w:rPr/>
        <w:t>law</w:t>
      </w:r>
      <w:r>
        <w:rPr>
          <w:spacing w:val="27"/>
        </w:rPr>
        <w:t> </w:t>
      </w:r>
      <w:r>
        <w:rPr/>
        <w:t>on</w:t>
      </w:r>
      <w:r>
        <w:rPr>
          <w:spacing w:val="27"/>
        </w:rPr>
        <w:t> </w:t>
      </w:r>
      <w:r>
        <w:rPr/>
        <w:t>the</w:t>
      </w:r>
      <w:r>
        <w:rPr>
          <w:spacing w:val="27"/>
        </w:rPr>
        <w:t> </w:t>
      </w:r>
      <w:r>
        <w:rPr/>
        <w:t>construction</w:t>
      </w:r>
      <w:r>
        <w:rPr>
          <w:spacing w:val="27"/>
        </w:rPr>
        <w:t> </w:t>
      </w:r>
      <w:r>
        <w:rPr/>
        <w:t>and enforcement of contracts involving illegal activities.</w:t>
      </w:r>
    </w:p>
    <w:p>
      <w:pPr>
        <w:spacing w:before="0"/>
        <w:ind w:left="809" w:right="0" w:firstLine="0"/>
        <w:jc w:val="left"/>
        <w:rPr>
          <w:sz w:val="24"/>
        </w:rPr>
      </w:pPr>
      <w:r>
        <w:rPr>
          <w:sz w:val="24"/>
        </w:rPr>
        <w:t>Citation: </w:t>
      </w:r>
      <w:r>
        <w:rPr>
          <w:rFonts w:ascii="Arial"/>
          <w:i/>
          <w:sz w:val="24"/>
        </w:rPr>
        <w:t>R v Thompson </w:t>
      </w:r>
      <w:r>
        <w:rPr>
          <w:sz w:val="24"/>
        </w:rPr>
        <w:t>[1981] 2 All ER 51, Court of </w:t>
      </w:r>
      <w:r>
        <w:rPr>
          <w:spacing w:val="-2"/>
          <w:sz w:val="24"/>
        </w:rPr>
        <w:t>Appeal.</w:t>
      </w:r>
    </w:p>
    <w:p>
      <w:pPr>
        <w:spacing w:after="0"/>
        <w:jc w:val="left"/>
        <w:rPr>
          <w:sz w:val="24"/>
        </w:rPr>
        <w:sectPr>
          <w:pgSz w:w="12240" w:h="15840"/>
          <w:pgMar w:top="1360" w:bottom="280" w:left="1417" w:right="1417"/>
        </w:sectPr>
      </w:pPr>
    </w:p>
    <w:p>
      <w:pPr>
        <w:pStyle w:val="BodyText"/>
        <w:spacing w:before="4"/>
        <w:rPr>
          <w:sz w:val="17"/>
        </w:rPr>
      </w:pPr>
      <w:r>
        <w:rPr>
          <w:sz w:val="17"/>
        </w:rPr>
        <w:drawing>
          <wp:anchor distT="0" distB="0" distL="0" distR="0" allowOverlap="1" layoutInCell="1" locked="0" behindDoc="0" simplePos="0" relativeHeight="15729152">
            <wp:simplePos x="0" y="0"/>
            <wp:positionH relativeFrom="page">
              <wp:posOffset>18258</wp:posOffset>
            </wp:positionH>
            <wp:positionV relativeFrom="page">
              <wp:posOffset>0</wp:posOffset>
            </wp:positionV>
            <wp:extent cx="7519987" cy="10330482"/>
            <wp:effectExtent l="0" t="0" r="0" b="0"/>
            <wp:wrapNone/>
            <wp:docPr id="2" name="Image 2"/>
            <wp:cNvGraphicFramePr>
              <a:graphicFrameLocks/>
            </wp:cNvGraphicFramePr>
            <a:graphic>
              <a:graphicData uri="http://schemas.openxmlformats.org/drawingml/2006/picture">
                <pic:pic>
                  <pic:nvPicPr>
                    <pic:cNvPr id="2" name="Image 2"/>
                    <pic:cNvPicPr/>
                  </pic:nvPicPr>
                  <pic:blipFill>
                    <a:blip r:embed="rId6" cstate="print"/>
                    <a:stretch>
                      <a:fillRect/>
                    </a:stretch>
                  </pic:blipFill>
                  <pic:spPr>
                    <a:xfrm>
                      <a:off x="0" y="0"/>
                      <a:ext cx="7519987" cy="10330482"/>
                    </a:xfrm>
                    <a:prstGeom prst="rect">
                      <a:avLst/>
                    </a:prstGeom>
                  </pic:spPr>
                </pic:pic>
              </a:graphicData>
            </a:graphic>
          </wp:anchor>
        </w:drawing>
      </w:r>
    </w:p>
    <w:sectPr>
      <w:pgSz w:w="11900" w:h="16840"/>
      <w:pgMar w:top="1940" w:bottom="280" w:left="1700" w:right="17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
    <w:multiLevelType w:val="hybridMultilevel"/>
    <w:lvl w:ilvl="0">
      <w:start w:val="1"/>
      <w:numFmt w:val="decimal"/>
      <w:lvlText w:val="%1."/>
      <w:lvlJc w:val="left"/>
      <w:pPr>
        <w:ind w:left="743" w:hanging="360"/>
        <w:jc w:val="left"/>
      </w:pPr>
      <w:rPr>
        <w:rFonts w:hint="default" w:ascii="Arial MT" w:hAnsi="Arial MT" w:eastAsia="Arial MT" w:cs="Arial MT"/>
        <w:b w:val="0"/>
        <w:bCs w:val="0"/>
        <w:i w:val="0"/>
        <w:iCs w:val="0"/>
        <w:spacing w:val="0"/>
        <w:w w:val="100"/>
        <w:sz w:val="24"/>
        <w:szCs w:val="24"/>
        <w:lang w:val="en-US" w:eastAsia="en-US" w:bidi="ar-SA"/>
      </w:rPr>
    </w:lvl>
    <w:lvl w:ilvl="1">
      <w:start w:val="0"/>
      <w:numFmt w:val="bullet"/>
      <w:lvlText w:val="•"/>
      <w:lvlJc w:val="left"/>
      <w:pPr>
        <w:ind w:left="1606" w:hanging="360"/>
      </w:pPr>
      <w:rPr>
        <w:rFonts w:hint="default"/>
        <w:lang w:val="en-US" w:eastAsia="en-US" w:bidi="ar-SA"/>
      </w:rPr>
    </w:lvl>
    <w:lvl w:ilvl="2">
      <w:start w:val="0"/>
      <w:numFmt w:val="bullet"/>
      <w:lvlText w:val="•"/>
      <w:lvlJc w:val="left"/>
      <w:pPr>
        <w:ind w:left="2473" w:hanging="360"/>
      </w:pPr>
      <w:rPr>
        <w:rFonts w:hint="default"/>
        <w:lang w:val="en-US" w:eastAsia="en-US" w:bidi="ar-SA"/>
      </w:rPr>
    </w:lvl>
    <w:lvl w:ilvl="3">
      <w:start w:val="0"/>
      <w:numFmt w:val="bullet"/>
      <w:lvlText w:val="•"/>
      <w:lvlJc w:val="left"/>
      <w:pPr>
        <w:ind w:left="3339" w:hanging="360"/>
      </w:pPr>
      <w:rPr>
        <w:rFonts w:hint="default"/>
        <w:lang w:val="en-US" w:eastAsia="en-US" w:bidi="ar-SA"/>
      </w:rPr>
    </w:lvl>
    <w:lvl w:ilvl="4">
      <w:start w:val="0"/>
      <w:numFmt w:val="bullet"/>
      <w:lvlText w:val="•"/>
      <w:lvlJc w:val="left"/>
      <w:pPr>
        <w:ind w:left="4206" w:hanging="360"/>
      </w:pPr>
      <w:rPr>
        <w:rFonts w:hint="default"/>
        <w:lang w:val="en-US" w:eastAsia="en-US" w:bidi="ar-SA"/>
      </w:rPr>
    </w:lvl>
    <w:lvl w:ilvl="5">
      <w:start w:val="0"/>
      <w:numFmt w:val="bullet"/>
      <w:lvlText w:val="•"/>
      <w:lvlJc w:val="left"/>
      <w:pPr>
        <w:ind w:left="5073" w:hanging="360"/>
      </w:pPr>
      <w:rPr>
        <w:rFonts w:hint="default"/>
        <w:lang w:val="en-US" w:eastAsia="en-US" w:bidi="ar-SA"/>
      </w:rPr>
    </w:lvl>
    <w:lvl w:ilvl="6">
      <w:start w:val="0"/>
      <w:numFmt w:val="bullet"/>
      <w:lvlText w:val="•"/>
      <w:lvlJc w:val="left"/>
      <w:pPr>
        <w:ind w:left="5939" w:hanging="360"/>
      </w:pPr>
      <w:rPr>
        <w:rFonts w:hint="default"/>
        <w:lang w:val="en-US" w:eastAsia="en-US" w:bidi="ar-SA"/>
      </w:rPr>
    </w:lvl>
    <w:lvl w:ilvl="7">
      <w:start w:val="0"/>
      <w:numFmt w:val="bullet"/>
      <w:lvlText w:val="•"/>
      <w:lvlJc w:val="left"/>
      <w:pPr>
        <w:ind w:left="6806" w:hanging="360"/>
      </w:pPr>
      <w:rPr>
        <w:rFonts w:hint="default"/>
        <w:lang w:val="en-US" w:eastAsia="en-US" w:bidi="ar-SA"/>
      </w:rPr>
    </w:lvl>
    <w:lvl w:ilvl="8">
      <w:start w:val="0"/>
      <w:numFmt w:val="bullet"/>
      <w:lvlText w:val="•"/>
      <w:lvlJc w:val="left"/>
      <w:pPr>
        <w:ind w:left="7672" w:hanging="360"/>
      </w:pPr>
      <w:rPr>
        <w:rFonts w:hint="default"/>
        <w:lang w:val="en-US" w:eastAsia="en-US" w:bidi="ar-SA"/>
      </w:rPr>
    </w:lvl>
  </w:abstractNum>
  <w:abstractNum w:abstractNumId="5">
    <w:multiLevelType w:val="hybridMultilevel"/>
    <w:lvl w:ilvl="0">
      <w:start w:val="1"/>
      <w:numFmt w:val="decimal"/>
      <w:lvlText w:val="%1."/>
      <w:lvlJc w:val="left"/>
      <w:pPr>
        <w:ind w:left="289" w:hanging="267"/>
        <w:jc w:val="left"/>
      </w:pPr>
      <w:rPr>
        <w:rFonts w:hint="default" w:ascii="Arial" w:hAnsi="Arial" w:eastAsia="Arial" w:cs="Arial"/>
        <w:b/>
        <w:bCs/>
        <w:i w:val="0"/>
        <w:iCs w:val="0"/>
        <w:spacing w:val="0"/>
        <w:w w:val="100"/>
        <w:sz w:val="24"/>
        <w:szCs w:val="24"/>
        <w:lang w:val="en-US" w:eastAsia="en-US" w:bidi="ar-SA"/>
      </w:rPr>
    </w:lvl>
    <w:lvl w:ilvl="1">
      <w:start w:val="0"/>
      <w:numFmt w:val="bullet"/>
      <w:lvlText w:val="●"/>
      <w:lvlJc w:val="left"/>
      <w:pPr>
        <w:ind w:left="743" w:hanging="360"/>
      </w:pPr>
      <w:rPr>
        <w:rFonts w:hint="default" w:ascii="Arial MT" w:hAnsi="Arial MT" w:eastAsia="Arial MT" w:cs="Arial MT"/>
        <w:b w:val="0"/>
        <w:bCs w:val="0"/>
        <w:i w:val="0"/>
        <w:iCs w:val="0"/>
        <w:spacing w:val="0"/>
        <w:w w:val="60"/>
        <w:sz w:val="24"/>
        <w:szCs w:val="24"/>
        <w:lang w:val="en-US" w:eastAsia="en-US" w:bidi="ar-SA"/>
      </w:rPr>
    </w:lvl>
    <w:lvl w:ilvl="2">
      <w:start w:val="0"/>
      <w:numFmt w:val="bullet"/>
      <w:lvlText w:val="•"/>
      <w:lvlJc w:val="left"/>
      <w:pPr>
        <w:ind w:left="1702" w:hanging="360"/>
      </w:pPr>
      <w:rPr>
        <w:rFonts w:hint="default"/>
        <w:lang w:val="en-US" w:eastAsia="en-US" w:bidi="ar-SA"/>
      </w:rPr>
    </w:lvl>
    <w:lvl w:ilvl="3">
      <w:start w:val="0"/>
      <w:numFmt w:val="bullet"/>
      <w:lvlText w:val="•"/>
      <w:lvlJc w:val="left"/>
      <w:pPr>
        <w:ind w:left="2665" w:hanging="360"/>
      </w:pPr>
      <w:rPr>
        <w:rFonts w:hint="default"/>
        <w:lang w:val="en-US" w:eastAsia="en-US" w:bidi="ar-SA"/>
      </w:rPr>
    </w:lvl>
    <w:lvl w:ilvl="4">
      <w:start w:val="0"/>
      <w:numFmt w:val="bullet"/>
      <w:lvlText w:val="•"/>
      <w:lvlJc w:val="left"/>
      <w:pPr>
        <w:ind w:left="3628" w:hanging="360"/>
      </w:pPr>
      <w:rPr>
        <w:rFonts w:hint="default"/>
        <w:lang w:val="en-US" w:eastAsia="en-US" w:bidi="ar-SA"/>
      </w:rPr>
    </w:lvl>
    <w:lvl w:ilvl="5">
      <w:start w:val="0"/>
      <w:numFmt w:val="bullet"/>
      <w:lvlText w:val="•"/>
      <w:lvlJc w:val="left"/>
      <w:pPr>
        <w:ind w:left="4591" w:hanging="360"/>
      </w:pPr>
      <w:rPr>
        <w:rFonts w:hint="default"/>
        <w:lang w:val="en-US" w:eastAsia="en-US" w:bidi="ar-SA"/>
      </w:rPr>
    </w:lvl>
    <w:lvl w:ilvl="6">
      <w:start w:val="0"/>
      <w:numFmt w:val="bullet"/>
      <w:lvlText w:val="•"/>
      <w:lvlJc w:val="left"/>
      <w:pPr>
        <w:ind w:left="5554" w:hanging="360"/>
      </w:pPr>
      <w:rPr>
        <w:rFonts w:hint="default"/>
        <w:lang w:val="en-US" w:eastAsia="en-US" w:bidi="ar-SA"/>
      </w:rPr>
    </w:lvl>
    <w:lvl w:ilvl="7">
      <w:start w:val="0"/>
      <w:numFmt w:val="bullet"/>
      <w:lvlText w:val="•"/>
      <w:lvlJc w:val="left"/>
      <w:pPr>
        <w:ind w:left="6517" w:hanging="360"/>
      </w:pPr>
      <w:rPr>
        <w:rFonts w:hint="default"/>
        <w:lang w:val="en-US" w:eastAsia="en-US" w:bidi="ar-SA"/>
      </w:rPr>
    </w:lvl>
    <w:lvl w:ilvl="8">
      <w:start w:val="0"/>
      <w:numFmt w:val="bullet"/>
      <w:lvlText w:val="•"/>
      <w:lvlJc w:val="left"/>
      <w:pPr>
        <w:ind w:left="7480" w:hanging="360"/>
      </w:pPr>
      <w:rPr>
        <w:rFonts w:hint="default"/>
        <w:lang w:val="en-US" w:eastAsia="en-US" w:bidi="ar-SA"/>
      </w:rPr>
    </w:lvl>
  </w:abstractNum>
  <w:abstractNum w:abstractNumId="4">
    <w:multiLevelType w:val="hybridMultilevel"/>
    <w:lvl w:ilvl="0">
      <w:start w:val="0"/>
      <w:numFmt w:val="bullet"/>
      <w:lvlText w:val="●"/>
      <w:lvlJc w:val="left"/>
      <w:pPr>
        <w:ind w:left="743" w:hanging="360"/>
      </w:pPr>
      <w:rPr>
        <w:rFonts w:hint="default" w:ascii="Arial MT" w:hAnsi="Arial MT" w:eastAsia="Arial MT" w:cs="Arial MT"/>
        <w:b w:val="0"/>
        <w:bCs w:val="0"/>
        <w:i w:val="0"/>
        <w:iCs w:val="0"/>
        <w:spacing w:val="0"/>
        <w:w w:val="60"/>
        <w:sz w:val="24"/>
        <w:szCs w:val="24"/>
        <w:lang w:val="en-US" w:eastAsia="en-US" w:bidi="ar-SA"/>
      </w:rPr>
    </w:lvl>
    <w:lvl w:ilvl="1">
      <w:start w:val="0"/>
      <w:numFmt w:val="bullet"/>
      <w:lvlText w:val="•"/>
      <w:lvlJc w:val="left"/>
      <w:pPr>
        <w:ind w:left="1606" w:hanging="360"/>
      </w:pPr>
      <w:rPr>
        <w:rFonts w:hint="default"/>
        <w:lang w:val="en-US" w:eastAsia="en-US" w:bidi="ar-SA"/>
      </w:rPr>
    </w:lvl>
    <w:lvl w:ilvl="2">
      <w:start w:val="0"/>
      <w:numFmt w:val="bullet"/>
      <w:lvlText w:val="•"/>
      <w:lvlJc w:val="left"/>
      <w:pPr>
        <w:ind w:left="2473" w:hanging="360"/>
      </w:pPr>
      <w:rPr>
        <w:rFonts w:hint="default"/>
        <w:lang w:val="en-US" w:eastAsia="en-US" w:bidi="ar-SA"/>
      </w:rPr>
    </w:lvl>
    <w:lvl w:ilvl="3">
      <w:start w:val="0"/>
      <w:numFmt w:val="bullet"/>
      <w:lvlText w:val="•"/>
      <w:lvlJc w:val="left"/>
      <w:pPr>
        <w:ind w:left="3339" w:hanging="360"/>
      </w:pPr>
      <w:rPr>
        <w:rFonts w:hint="default"/>
        <w:lang w:val="en-US" w:eastAsia="en-US" w:bidi="ar-SA"/>
      </w:rPr>
    </w:lvl>
    <w:lvl w:ilvl="4">
      <w:start w:val="0"/>
      <w:numFmt w:val="bullet"/>
      <w:lvlText w:val="•"/>
      <w:lvlJc w:val="left"/>
      <w:pPr>
        <w:ind w:left="4206" w:hanging="360"/>
      </w:pPr>
      <w:rPr>
        <w:rFonts w:hint="default"/>
        <w:lang w:val="en-US" w:eastAsia="en-US" w:bidi="ar-SA"/>
      </w:rPr>
    </w:lvl>
    <w:lvl w:ilvl="5">
      <w:start w:val="0"/>
      <w:numFmt w:val="bullet"/>
      <w:lvlText w:val="•"/>
      <w:lvlJc w:val="left"/>
      <w:pPr>
        <w:ind w:left="5073" w:hanging="360"/>
      </w:pPr>
      <w:rPr>
        <w:rFonts w:hint="default"/>
        <w:lang w:val="en-US" w:eastAsia="en-US" w:bidi="ar-SA"/>
      </w:rPr>
    </w:lvl>
    <w:lvl w:ilvl="6">
      <w:start w:val="0"/>
      <w:numFmt w:val="bullet"/>
      <w:lvlText w:val="•"/>
      <w:lvlJc w:val="left"/>
      <w:pPr>
        <w:ind w:left="5939" w:hanging="360"/>
      </w:pPr>
      <w:rPr>
        <w:rFonts w:hint="default"/>
        <w:lang w:val="en-US" w:eastAsia="en-US" w:bidi="ar-SA"/>
      </w:rPr>
    </w:lvl>
    <w:lvl w:ilvl="7">
      <w:start w:val="0"/>
      <w:numFmt w:val="bullet"/>
      <w:lvlText w:val="•"/>
      <w:lvlJc w:val="left"/>
      <w:pPr>
        <w:ind w:left="6806" w:hanging="360"/>
      </w:pPr>
      <w:rPr>
        <w:rFonts w:hint="default"/>
        <w:lang w:val="en-US" w:eastAsia="en-US" w:bidi="ar-SA"/>
      </w:rPr>
    </w:lvl>
    <w:lvl w:ilvl="8">
      <w:start w:val="0"/>
      <w:numFmt w:val="bullet"/>
      <w:lvlText w:val="•"/>
      <w:lvlJc w:val="left"/>
      <w:pPr>
        <w:ind w:left="7672" w:hanging="360"/>
      </w:pPr>
      <w:rPr>
        <w:rFonts w:hint="default"/>
        <w:lang w:val="en-US" w:eastAsia="en-US" w:bidi="ar-SA"/>
      </w:rPr>
    </w:lvl>
  </w:abstractNum>
  <w:abstractNum w:abstractNumId="3">
    <w:multiLevelType w:val="hybridMultilevel"/>
    <w:lvl w:ilvl="0">
      <w:start w:val="0"/>
      <w:numFmt w:val="bullet"/>
      <w:lvlText w:val="●"/>
      <w:lvlJc w:val="left"/>
      <w:pPr>
        <w:ind w:left="743" w:hanging="360"/>
      </w:pPr>
      <w:rPr>
        <w:rFonts w:hint="default" w:ascii="Arial MT" w:hAnsi="Arial MT" w:eastAsia="Arial MT" w:cs="Arial MT"/>
        <w:b w:val="0"/>
        <w:bCs w:val="0"/>
        <w:i w:val="0"/>
        <w:iCs w:val="0"/>
        <w:spacing w:val="0"/>
        <w:w w:val="60"/>
        <w:sz w:val="24"/>
        <w:szCs w:val="24"/>
        <w:lang w:val="en-US" w:eastAsia="en-US" w:bidi="ar-SA"/>
      </w:rPr>
    </w:lvl>
    <w:lvl w:ilvl="1">
      <w:start w:val="0"/>
      <w:numFmt w:val="bullet"/>
      <w:lvlText w:val="•"/>
      <w:lvlJc w:val="left"/>
      <w:pPr>
        <w:ind w:left="1606" w:hanging="360"/>
      </w:pPr>
      <w:rPr>
        <w:rFonts w:hint="default"/>
        <w:lang w:val="en-US" w:eastAsia="en-US" w:bidi="ar-SA"/>
      </w:rPr>
    </w:lvl>
    <w:lvl w:ilvl="2">
      <w:start w:val="0"/>
      <w:numFmt w:val="bullet"/>
      <w:lvlText w:val="•"/>
      <w:lvlJc w:val="left"/>
      <w:pPr>
        <w:ind w:left="2473" w:hanging="360"/>
      </w:pPr>
      <w:rPr>
        <w:rFonts w:hint="default"/>
        <w:lang w:val="en-US" w:eastAsia="en-US" w:bidi="ar-SA"/>
      </w:rPr>
    </w:lvl>
    <w:lvl w:ilvl="3">
      <w:start w:val="0"/>
      <w:numFmt w:val="bullet"/>
      <w:lvlText w:val="•"/>
      <w:lvlJc w:val="left"/>
      <w:pPr>
        <w:ind w:left="3339" w:hanging="360"/>
      </w:pPr>
      <w:rPr>
        <w:rFonts w:hint="default"/>
        <w:lang w:val="en-US" w:eastAsia="en-US" w:bidi="ar-SA"/>
      </w:rPr>
    </w:lvl>
    <w:lvl w:ilvl="4">
      <w:start w:val="0"/>
      <w:numFmt w:val="bullet"/>
      <w:lvlText w:val="•"/>
      <w:lvlJc w:val="left"/>
      <w:pPr>
        <w:ind w:left="4206" w:hanging="360"/>
      </w:pPr>
      <w:rPr>
        <w:rFonts w:hint="default"/>
        <w:lang w:val="en-US" w:eastAsia="en-US" w:bidi="ar-SA"/>
      </w:rPr>
    </w:lvl>
    <w:lvl w:ilvl="5">
      <w:start w:val="0"/>
      <w:numFmt w:val="bullet"/>
      <w:lvlText w:val="•"/>
      <w:lvlJc w:val="left"/>
      <w:pPr>
        <w:ind w:left="5073" w:hanging="360"/>
      </w:pPr>
      <w:rPr>
        <w:rFonts w:hint="default"/>
        <w:lang w:val="en-US" w:eastAsia="en-US" w:bidi="ar-SA"/>
      </w:rPr>
    </w:lvl>
    <w:lvl w:ilvl="6">
      <w:start w:val="0"/>
      <w:numFmt w:val="bullet"/>
      <w:lvlText w:val="•"/>
      <w:lvlJc w:val="left"/>
      <w:pPr>
        <w:ind w:left="5939" w:hanging="360"/>
      </w:pPr>
      <w:rPr>
        <w:rFonts w:hint="default"/>
        <w:lang w:val="en-US" w:eastAsia="en-US" w:bidi="ar-SA"/>
      </w:rPr>
    </w:lvl>
    <w:lvl w:ilvl="7">
      <w:start w:val="0"/>
      <w:numFmt w:val="bullet"/>
      <w:lvlText w:val="•"/>
      <w:lvlJc w:val="left"/>
      <w:pPr>
        <w:ind w:left="6806" w:hanging="360"/>
      </w:pPr>
      <w:rPr>
        <w:rFonts w:hint="default"/>
        <w:lang w:val="en-US" w:eastAsia="en-US" w:bidi="ar-SA"/>
      </w:rPr>
    </w:lvl>
    <w:lvl w:ilvl="8">
      <w:start w:val="0"/>
      <w:numFmt w:val="bullet"/>
      <w:lvlText w:val="•"/>
      <w:lvlJc w:val="left"/>
      <w:pPr>
        <w:ind w:left="7672" w:hanging="360"/>
      </w:pPr>
      <w:rPr>
        <w:rFonts w:hint="default"/>
        <w:lang w:val="en-US" w:eastAsia="en-US" w:bidi="ar-SA"/>
      </w:rPr>
    </w:lvl>
  </w:abstractNum>
  <w:abstractNum w:abstractNumId="2">
    <w:multiLevelType w:val="hybridMultilevel"/>
    <w:lvl w:ilvl="0">
      <w:start w:val="1"/>
      <w:numFmt w:val="decimal"/>
      <w:lvlText w:val="%1."/>
      <w:lvlJc w:val="left"/>
      <w:pPr>
        <w:ind w:left="743" w:hanging="360"/>
        <w:jc w:val="left"/>
      </w:pPr>
      <w:rPr>
        <w:rFonts w:hint="default" w:ascii="Arial MT" w:hAnsi="Arial MT" w:eastAsia="Arial MT" w:cs="Arial MT"/>
        <w:b w:val="0"/>
        <w:bCs w:val="0"/>
        <w:i w:val="0"/>
        <w:iCs w:val="0"/>
        <w:spacing w:val="0"/>
        <w:w w:val="100"/>
        <w:sz w:val="24"/>
        <w:szCs w:val="24"/>
        <w:lang w:val="en-US" w:eastAsia="en-US" w:bidi="ar-SA"/>
      </w:rPr>
    </w:lvl>
    <w:lvl w:ilvl="1">
      <w:start w:val="0"/>
      <w:numFmt w:val="bullet"/>
      <w:lvlText w:val="•"/>
      <w:lvlJc w:val="left"/>
      <w:pPr>
        <w:ind w:left="1606" w:hanging="360"/>
      </w:pPr>
      <w:rPr>
        <w:rFonts w:hint="default"/>
        <w:lang w:val="en-US" w:eastAsia="en-US" w:bidi="ar-SA"/>
      </w:rPr>
    </w:lvl>
    <w:lvl w:ilvl="2">
      <w:start w:val="0"/>
      <w:numFmt w:val="bullet"/>
      <w:lvlText w:val="•"/>
      <w:lvlJc w:val="left"/>
      <w:pPr>
        <w:ind w:left="2473" w:hanging="360"/>
      </w:pPr>
      <w:rPr>
        <w:rFonts w:hint="default"/>
        <w:lang w:val="en-US" w:eastAsia="en-US" w:bidi="ar-SA"/>
      </w:rPr>
    </w:lvl>
    <w:lvl w:ilvl="3">
      <w:start w:val="0"/>
      <w:numFmt w:val="bullet"/>
      <w:lvlText w:val="•"/>
      <w:lvlJc w:val="left"/>
      <w:pPr>
        <w:ind w:left="3339" w:hanging="360"/>
      </w:pPr>
      <w:rPr>
        <w:rFonts w:hint="default"/>
        <w:lang w:val="en-US" w:eastAsia="en-US" w:bidi="ar-SA"/>
      </w:rPr>
    </w:lvl>
    <w:lvl w:ilvl="4">
      <w:start w:val="0"/>
      <w:numFmt w:val="bullet"/>
      <w:lvlText w:val="•"/>
      <w:lvlJc w:val="left"/>
      <w:pPr>
        <w:ind w:left="4206" w:hanging="360"/>
      </w:pPr>
      <w:rPr>
        <w:rFonts w:hint="default"/>
        <w:lang w:val="en-US" w:eastAsia="en-US" w:bidi="ar-SA"/>
      </w:rPr>
    </w:lvl>
    <w:lvl w:ilvl="5">
      <w:start w:val="0"/>
      <w:numFmt w:val="bullet"/>
      <w:lvlText w:val="•"/>
      <w:lvlJc w:val="left"/>
      <w:pPr>
        <w:ind w:left="5073" w:hanging="360"/>
      </w:pPr>
      <w:rPr>
        <w:rFonts w:hint="default"/>
        <w:lang w:val="en-US" w:eastAsia="en-US" w:bidi="ar-SA"/>
      </w:rPr>
    </w:lvl>
    <w:lvl w:ilvl="6">
      <w:start w:val="0"/>
      <w:numFmt w:val="bullet"/>
      <w:lvlText w:val="•"/>
      <w:lvlJc w:val="left"/>
      <w:pPr>
        <w:ind w:left="5939" w:hanging="360"/>
      </w:pPr>
      <w:rPr>
        <w:rFonts w:hint="default"/>
        <w:lang w:val="en-US" w:eastAsia="en-US" w:bidi="ar-SA"/>
      </w:rPr>
    </w:lvl>
    <w:lvl w:ilvl="7">
      <w:start w:val="0"/>
      <w:numFmt w:val="bullet"/>
      <w:lvlText w:val="•"/>
      <w:lvlJc w:val="left"/>
      <w:pPr>
        <w:ind w:left="6806" w:hanging="360"/>
      </w:pPr>
      <w:rPr>
        <w:rFonts w:hint="default"/>
        <w:lang w:val="en-US" w:eastAsia="en-US" w:bidi="ar-SA"/>
      </w:rPr>
    </w:lvl>
    <w:lvl w:ilvl="8">
      <w:start w:val="0"/>
      <w:numFmt w:val="bullet"/>
      <w:lvlText w:val="•"/>
      <w:lvlJc w:val="left"/>
      <w:pPr>
        <w:ind w:left="7672" w:hanging="360"/>
      </w:pPr>
      <w:rPr>
        <w:rFonts w:hint="default"/>
        <w:lang w:val="en-US" w:eastAsia="en-US" w:bidi="ar-SA"/>
      </w:rPr>
    </w:lvl>
  </w:abstractNum>
  <w:abstractNum w:abstractNumId="1">
    <w:multiLevelType w:val="hybridMultilevel"/>
    <w:lvl w:ilvl="0">
      <w:start w:val="1"/>
      <w:numFmt w:val="decimal"/>
      <w:lvlText w:val="%1."/>
      <w:lvlJc w:val="left"/>
      <w:pPr>
        <w:ind w:left="289" w:hanging="267"/>
        <w:jc w:val="left"/>
      </w:pPr>
      <w:rPr>
        <w:rFonts w:hint="default" w:ascii="Arial" w:hAnsi="Arial" w:eastAsia="Arial" w:cs="Arial"/>
        <w:b/>
        <w:bCs/>
        <w:i w:val="0"/>
        <w:iCs w:val="0"/>
        <w:spacing w:val="0"/>
        <w:w w:val="100"/>
        <w:sz w:val="24"/>
        <w:szCs w:val="24"/>
        <w:lang w:val="en-US" w:eastAsia="en-US" w:bidi="ar-SA"/>
      </w:rPr>
    </w:lvl>
    <w:lvl w:ilvl="1">
      <w:start w:val="1"/>
      <w:numFmt w:val="decimal"/>
      <w:lvlText w:val="%2."/>
      <w:lvlJc w:val="left"/>
      <w:pPr>
        <w:ind w:left="743" w:hanging="360"/>
        <w:jc w:val="left"/>
      </w:pPr>
      <w:rPr>
        <w:rFonts w:hint="default" w:ascii="Arial MT" w:hAnsi="Arial MT" w:eastAsia="Arial MT" w:cs="Arial MT"/>
        <w:b w:val="0"/>
        <w:bCs w:val="0"/>
        <w:i w:val="0"/>
        <w:iCs w:val="0"/>
        <w:spacing w:val="0"/>
        <w:w w:val="100"/>
        <w:sz w:val="24"/>
        <w:szCs w:val="24"/>
        <w:lang w:val="en-US" w:eastAsia="en-US" w:bidi="ar-SA"/>
      </w:rPr>
    </w:lvl>
    <w:lvl w:ilvl="2">
      <w:start w:val="0"/>
      <w:numFmt w:val="bullet"/>
      <w:lvlText w:val="•"/>
      <w:lvlJc w:val="left"/>
      <w:pPr>
        <w:ind w:left="1702" w:hanging="360"/>
      </w:pPr>
      <w:rPr>
        <w:rFonts w:hint="default"/>
        <w:lang w:val="en-US" w:eastAsia="en-US" w:bidi="ar-SA"/>
      </w:rPr>
    </w:lvl>
    <w:lvl w:ilvl="3">
      <w:start w:val="0"/>
      <w:numFmt w:val="bullet"/>
      <w:lvlText w:val="•"/>
      <w:lvlJc w:val="left"/>
      <w:pPr>
        <w:ind w:left="2665" w:hanging="360"/>
      </w:pPr>
      <w:rPr>
        <w:rFonts w:hint="default"/>
        <w:lang w:val="en-US" w:eastAsia="en-US" w:bidi="ar-SA"/>
      </w:rPr>
    </w:lvl>
    <w:lvl w:ilvl="4">
      <w:start w:val="0"/>
      <w:numFmt w:val="bullet"/>
      <w:lvlText w:val="•"/>
      <w:lvlJc w:val="left"/>
      <w:pPr>
        <w:ind w:left="3628" w:hanging="360"/>
      </w:pPr>
      <w:rPr>
        <w:rFonts w:hint="default"/>
        <w:lang w:val="en-US" w:eastAsia="en-US" w:bidi="ar-SA"/>
      </w:rPr>
    </w:lvl>
    <w:lvl w:ilvl="5">
      <w:start w:val="0"/>
      <w:numFmt w:val="bullet"/>
      <w:lvlText w:val="•"/>
      <w:lvlJc w:val="left"/>
      <w:pPr>
        <w:ind w:left="4591" w:hanging="360"/>
      </w:pPr>
      <w:rPr>
        <w:rFonts w:hint="default"/>
        <w:lang w:val="en-US" w:eastAsia="en-US" w:bidi="ar-SA"/>
      </w:rPr>
    </w:lvl>
    <w:lvl w:ilvl="6">
      <w:start w:val="0"/>
      <w:numFmt w:val="bullet"/>
      <w:lvlText w:val="•"/>
      <w:lvlJc w:val="left"/>
      <w:pPr>
        <w:ind w:left="5554" w:hanging="360"/>
      </w:pPr>
      <w:rPr>
        <w:rFonts w:hint="default"/>
        <w:lang w:val="en-US" w:eastAsia="en-US" w:bidi="ar-SA"/>
      </w:rPr>
    </w:lvl>
    <w:lvl w:ilvl="7">
      <w:start w:val="0"/>
      <w:numFmt w:val="bullet"/>
      <w:lvlText w:val="•"/>
      <w:lvlJc w:val="left"/>
      <w:pPr>
        <w:ind w:left="6517" w:hanging="360"/>
      </w:pPr>
      <w:rPr>
        <w:rFonts w:hint="default"/>
        <w:lang w:val="en-US" w:eastAsia="en-US" w:bidi="ar-SA"/>
      </w:rPr>
    </w:lvl>
    <w:lvl w:ilvl="8">
      <w:start w:val="0"/>
      <w:numFmt w:val="bullet"/>
      <w:lvlText w:val="•"/>
      <w:lvlJc w:val="left"/>
      <w:pPr>
        <w:ind w:left="7480" w:hanging="360"/>
      </w:pPr>
      <w:rPr>
        <w:rFonts w:hint="default"/>
        <w:lang w:val="en-US" w:eastAsia="en-US" w:bidi="ar-SA"/>
      </w:rPr>
    </w:lvl>
  </w:abstractNum>
  <w:abstractNum w:abstractNumId="0">
    <w:multiLevelType w:val="hybridMultilevel"/>
    <w:lvl w:ilvl="0">
      <w:start w:val="0"/>
      <w:numFmt w:val="bullet"/>
      <w:lvlText w:val="●"/>
      <w:lvlJc w:val="left"/>
      <w:pPr>
        <w:ind w:left="743" w:hanging="360"/>
      </w:pPr>
      <w:rPr>
        <w:rFonts w:hint="default" w:ascii="Arial MT" w:hAnsi="Arial MT" w:eastAsia="Arial MT" w:cs="Arial MT"/>
        <w:b w:val="0"/>
        <w:bCs w:val="0"/>
        <w:i w:val="0"/>
        <w:iCs w:val="0"/>
        <w:spacing w:val="0"/>
        <w:w w:val="60"/>
        <w:sz w:val="24"/>
        <w:szCs w:val="24"/>
        <w:lang w:val="en-US" w:eastAsia="en-US" w:bidi="ar-SA"/>
      </w:rPr>
    </w:lvl>
    <w:lvl w:ilvl="1">
      <w:start w:val="0"/>
      <w:numFmt w:val="bullet"/>
      <w:lvlText w:val="•"/>
      <w:lvlJc w:val="left"/>
      <w:pPr>
        <w:ind w:left="1606" w:hanging="360"/>
      </w:pPr>
      <w:rPr>
        <w:rFonts w:hint="default"/>
        <w:lang w:val="en-US" w:eastAsia="en-US" w:bidi="ar-SA"/>
      </w:rPr>
    </w:lvl>
    <w:lvl w:ilvl="2">
      <w:start w:val="0"/>
      <w:numFmt w:val="bullet"/>
      <w:lvlText w:val="•"/>
      <w:lvlJc w:val="left"/>
      <w:pPr>
        <w:ind w:left="2473" w:hanging="360"/>
      </w:pPr>
      <w:rPr>
        <w:rFonts w:hint="default"/>
        <w:lang w:val="en-US" w:eastAsia="en-US" w:bidi="ar-SA"/>
      </w:rPr>
    </w:lvl>
    <w:lvl w:ilvl="3">
      <w:start w:val="0"/>
      <w:numFmt w:val="bullet"/>
      <w:lvlText w:val="•"/>
      <w:lvlJc w:val="left"/>
      <w:pPr>
        <w:ind w:left="3339" w:hanging="360"/>
      </w:pPr>
      <w:rPr>
        <w:rFonts w:hint="default"/>
        <w:lang w:val="en-US" w:eastAsia="en-US" w:bidi="ar-SA"/>
      </w:rPr>
    </w:lvl>
    <w:lvl w:ilvl="4">
      <w:start w:val="0"/>
      <w:numFmt w:val="bullet"/>
      <w:lvlText w:val="•"/>
      <w:lvlJc w:val="left"/>
      <w:pPr>
        <w:ind w:left="4206" w:hanging="360"/>
      </w:pPr>
      <w:rPr>
        <w:rFonts w:hint="default"/>
        <w:lang w:val="en-US" w:eastAsia="en-US" w:bidi="ar-SA"/>
      </w:rPr>
    </w:lvl>
    <w:lvl w:ilvl="5">
      <w:start w:val="0"/>
      <w:numFmt w:val="bullet"/>
      <w:lvlText w:val="•"/>
      <w:lvlJc w:val="left"/>
      <w:pPr>
        <w:ind w:left="5073" w:hanging="360"/>
      </w:pPr>
      <w:rPr>
        <w:rFonts w:hint="default"/>
        <w:lang w:val="en-US" w:eastAsia="en-US" w:bidi="ar-SA"/>
      </w:rPr>
    </w:lvl>
    <w:lvl w:ilvl="6">
      <w:start w:val="0"/>
      <w:numFmt w:val="bullet"/>
      <w:lvlText w:val="•"/>
      <w:lvlJc w:val="left"/>
      <w:pPr>
        <w:ind w:left="5939" w:hanging="360"/>
      </w:pPr>
      <w:rPr>
        <w:rFonts w:hint="default"/>
        <w:lang w:val="en-US" w:eastAsia="en-US" w:bidi="ar-SA"/>
      </w:rPr>
    </w:lvl>
    <w:lvl w:ilvl="7">
      <w:start w:val="0"/>
      <w:numFmt w:val="bullet"/>
      <w:lvlText w:val="•"/>
      <w:lvlJc w:val="left"/>
      <w:pPr>
        <w:ind w:left="6806" w:hanging="360"/>
      </w:pPr>
      <w:rPr>
        <w:rFonts w:hint="default"/>
        <w:lang w:val="en-US" w:eastAsia="en-US" w:bidi="ar-SA"/>
      </w:rPr>
    </w:lvl>
    <w:lvl w:ilvl="8">
      <w:start w:val="0"/>
      <w:numFmt w:val="bullet"/>
      <w:lvlText w:val="•"/>
      <w:lvlJc w:val="left"/>
      <w:pPr>
        <w:ind w:left="7672" w:hanging="360"/>
      </w:pPr>
      <w:rPr>
        <w:rFonts w:hint="default"/>
        <w:lang w:val="en-US" w:eastAsia="en-US" w:bidi="ar-SA"/>
      </w:rPr>
    </w:lvl>
  </w:abstract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MT" w:hAnsi="Arial MT" w:eastAsia="Arial MT" w:cs="Arial MT"/>
      <w:lang w:val="en-US" w:eastAsia="en-US" w:bidi="ar-SA"/>
    </w:rPr>
  </w:style>
  <w:style w:styleId="BodyText" w:type="paragraph">
    <w:name w:val="Body Text"/>
    <w:basedOn w:val="Normal"/>
    <w:uiPriority w:val="1"/>
    <w:qFormat/>
    <w:pPr/>
    <w:rPr>
      <w:rFonts w:ascii="Arial MT" w:hAnsi="Arial MT" w:eastAsia="Arial MT" w:cs="Arial MT"/>
      <w:sz w:val="24"/>
      <w:szCs w:val="24"/>
      <w:lang w:val="en-US" w:eastAsia="en-US" w:bidi="ar-SA"/>
    </w:rPr>
  </w:style>
  <w:style w:styleId="Heading1" w:type="paragraph">
    <w:name w:val="Heading 1"/>
    <w:basedOn w:val="Normal"/>
    <w:uiPriority w:val="1"/>
    <w:qFormat/>
    <w:pPr>
      <w:spacing w:before="240"/>
      <w:ind w:left="23"/>
      <w:outlineLvl w:val="1"/>
    </w:pPr>
    <w:rPr>
      <w:rFonts w:ascii="Arial" w:hAnsi="Arial" w:eastAsia="Arial" w:cs="Arial"/>
      <w:b/>
      <w:bCs/>
      <w:sz w:val="24"/>
      <w:szCs w:val="24"/>
      <w:lang w:val="en-US" w:eastAsia="en-US" w:bidi="ar-SA"/>
    </w:rPr>
  </w:style>
  <w:style w:styleId="ListParagraph" w:type="paragraph">
    <w:name w:val="List Paragraph"/>
    <w:basedOn w:val="Normal"/>
    <w:uiPriority w:val="1"/>
    <w:qFormat/>
    <w:pPr>
      <w:ind w:left="743" w:hanging="360"/>
    </w:pPr>
    <w:rPr>
      <w:rFonts w:ascii="Arial MT" w:hAnsi="Arial MT" w:eastAsia="Arial MT" w:cs="Arial MT"/>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2025-03-07T21:13:20Z</dcterms:created>
  <dcterms:modified xsi:type="dcterms:W3CDTF">2025-03-07T21:13:20Z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2025-03-07T00:00:00Z</vt:filetime>
  </property>
  <property fmtid="{D5CDD505-2E9C-101B-9397-08002B2CF9AE}" pid="3" name="LastSaved">
    <vt:filetime>2025-03-07T00:00:00Z</vt:filetime>
  </property>
  <property fmtid="{D5CDD505-2E9C-101B-9397-08002B2CF9AE}" pid="4" name="Producer">
    <vt:lpwstr>iLovePDF</vt:lpwstr>
  </property>
</Properties>
</file>