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02428" w14:textId="77777777" w:rsidR="00BB4B12" w:rsidRPr="00D8504F" w:rsidRDefault="00BB4B12" w:rsidP="00343AF2">
      <w:pPr>
        <w:spacing w:line="480" w:lineRule="auto"/>
        <w:jc w:val="center"/>
        <w:rPr>
          <w:rFonts w:ascii="Times New Roman" w:hAnsi="Times New Roman" w:cs="Times New Roman"/>
          <w:b/>
          <w:bCs/>
        </w:rPr>
      </w:pPr>
      <w:bookmarkStart w:id="0" w:name="_Hlk212123062"/>
    </w:p>
    <w:p w14:paraId="658EF995" w14:textId="687D3C53" w:rsidR="00C30C6E" w:rsidRPr="00D8504F" w:rsidRDefault="00BB4B12" w:rsidP="00343AF2">
      <w:pPr>
        <w:spacing w:line="480" w:lineRule="auto"/>
        <w:jc w:val="center"/>
        <w:rPr>
          <w:rFonts w:ascii="Times New Roman" w:hAnsi="Times New Roman" w:cs="Times New Roman"/>
          <w:b/>
          <w:bCs/>
        </w:rPr>
      </w:pPr>
      <w:r w:rsidRPr="00D8504F">
        <w:rPr>
          <w:noProof/>
        </w:rPr>
        <w:drawing>
          <wp:anchor distT="0" distB="0" distL="114300" distR="114300" simplePos="0" relativeHeight="251659264" behindDoc="1" locked="0" layoutInCell="1" allowOverlap="1" wp14:anchorId="655D11B1" wp14:editId="5C44358C">
            <wp:simplePos x="0" y="0"/>
            <wp:positionH relativeFrom="margin">
              <wp:posOffset>2101850</wp:posOffset>
            </wp:positionH>
            <wp:positionV relativeFrom="paragraph">
              <wp:posOffset>108585</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0605221F" w14:textId="77777777" w:rsidR="00BB4B12" w:rsidRPr="00D8504F" w:rsidRDefault="00BB4B12" w:rsidP="00BB4B12">
      <w:pPr>
        <w:spacing w:line="480" w:lineRule="auto"/>
        <w:rPr>
          <w:rFonts w:ascii="Times New Roman" w:hAnsi="Times New Roman" w:cs="Times New Roman"/>
          <w:b/>
          <w:bCs/>
        </w:rPr>
      </w:pPr>
    </w:p>
    <w:p w14:paraId="5361C2DB" w14:textId="77777777" w:rsidR="00BB4B12" w:rsidRPr="00D8504F" w:rsidRDefault="00BB4B12" w:rsidP="00343AF2">
      <w:pPr>
        <w:spacing w:line="480" w:lineRule="auto"/>
        <w:jc w:val="center"/>
        <w:rPr>
          <w:rFonts w:ascii="Times New Roman" w:hAnsi="Times New Roman" w:cs="Times New Roman"/>
          <w:b/>
          <w:bCs/>
        </w:rPr>
      </w:pPr>
    </w:p>
    <w:p w14:paraId="5D1AD006" w14:textId="4FED083C" w:rsidR="00C30C6E" w:rsidRPr="00D8504F" w:rsidRDefault="00C30C6E" w:rsidP="00343AF2">
      <w:pPr>
        <w:spacing w:line="480" w:lineRule="auto"/>
        <w:jc w:val="center"/>
        <w:rPr>
          <w:rFonts w:ascii="Times New Roman" w:hAnsi="Times New Roman" w:cs="Times New Roman"/>
          <w:b/>
          <w:bCs/>
        </w:rPr>
      </w:pPr>
      <w:r w:rsidRPr="00D8504F">
        <w:rPr>
          <w:rFonts w:ascii="Times New Roman" w:hAnsi="Times New Roman" w:cs="Times New Roman"/>
          <w:b/>
          <w:bCs/>
        </w:rPr>
        <w:t>The Role of UK Police Forces in Supporting the Prevent Strand of the CONTEST Strategy: Effectiveness and Implementation Challenges in Contemporary Society</w:t>
      </w:r>
    </w:p>
    <w:p w14:paraId="66D85550" w14:textId="77777777" w:rsidR="00D8504F" w:rsidRPr="00D8504F" w:rsidRDefault="00D8504F" w:rsidP="00343AF2">
      <w:pPr>
        <w:spacing w:line="480" w:lineRule="auto"/>
        <w:jc w:val="center"/>
        <w:rPr>
          <w:rFonts w:ascii="Times New Roman" w:hAnsi="Times New Roman" w:cs="Times New Roman"/>
          <w:b/>
          <w:bCs/>
        </w:rPr>
      </w:pPr>
    </w:p>
    <w:p w14:paraId="06C29181" w14:textId="77777777" w:rsidR="00D8504F" w:rsidRPr="00D8504F" w:rsidRDefault="00D8504F" w:rsidP="00343AF2">
      <w:pPr>
        <w:spacing w:line="480" w:lineRule="auto"/>
        <w:jc w:val="center"/>
        <w:rPr>
          <w:rFonts w:ascii="Times New Roman" w:hAnsi="Times New Roman" w:cs="Times New Roman"/>
          <w:b/>
          <w:bCs/>
        </w:rPr>
      </w:pPr>
    </w:p>
    <w:p w14:paraId="3FE34D74" w14:textId="77777777" w:rsidR="00D8504F" w:rsidRPr="00D8504F" w:rsidRDefault="00D8504F" w:rsidP="00343AF2">
      <w:pPr>
        <w:spacing w:line="480" w:lineRule="auto"/>
        <w:jc w:val="center"/>
        <w:rPr>
          <w:rFonts w:ascii="Times New Roman" w:hAnsi="Times New Roman" w:cs="Times New Roman"/>
          <w:b/>
          <w:bCs/>
        </w:rPr>
      </w:pPr>
    </w:p>
    <w:p w14:paraId="5B0A37D7" w14:textId="77777777" w:rsidR="00D8504F" w:rsidRPr="00D8504F" w:rsidRDefault="00D8504F" w:rsidP="00343AF2">
      <w:pPr>
        <w:spacing w:line="480" w:lineRule="auto"/>
        <w:jc w:val="center"/>
        <w:rPr>
          <w:rFonts w:ascii="Times New Roman" w:hAnsi="Times New Roman" w:cs="Times New Roman"/>
          <w:b/>
          <w:bCs/>
        </w:rPr>
      </w:pPr>
    </w:p>
    <w:p w14:paraId="3DCCC283" w14:textId="77777777" w:rsidR="00D8504F" w:rsidRPr="00D8504F" w:rsidRDefault="00D8504F" w:rsidP="00343AF2">
      <w:pPr>
        <w:spacing w:line="480" w:lineRule="auto"/>
        <w:jc w:val="center"/>
        <w:rPr>
          <w:rFonts w:ascii="Times New Roman" w:hAnsi="Times New Roman" w:cs="Times New Roman"/>
          <w:b/>
          <w:bCs/>
        </w:rPr>
      </w:pPr>
    </w:p>
    <w:p w14:paraId="36839622" w14:textId="77777777" w:rsidR="00D8504F" w:rsidRPr="00D8504F" w:rsidRDefault="00D8504F" w:rsidP="00343AF2">
      <w:pPr>
        <w:spacing w:line="480" w:lineRule="auto"/>
        <w:jc w:val="center"/>
        <w:rPr>
          <w:rFonts w:ascii="Times New Roman" w:hAnsi="Times New Roman" w:cs="Times New Roman"/>
          <w:b/>
          <w:bCs/>
        </w:rPr>
      </w:pPr>
    </w:p>
    <w:p w14:paraId="5A981272" w14:textId="77777777" w:rsidR="00D8504F" w:rsidRPr="00D8504F" w:rsidRDefault="00D8504F" w:rsidP="00343AF2">
      <w:pPr>
        <w:spacing w:line="480" w:lineRule="auto"/>
        <w:jc w:val="center"/>
        <w:rPr>
          <w:rFonts w:ascii="Times New Roman" w:hAnsi="Times New Roman" w:cs="Times New Roman"/>
          <w:b/>
          <w:bCs/>
        </w:rPr>
      </w:pPr>
    </w:p>
    <w:p w14:paraId="7A138806" w14:textId="77777777" w:rsidR="00D8504F" w:rsidRPr="00D8504F" w:rsidRDefault="00D8504F" w:rsidP="00D8504F">
      <w:pPr>
        <w:spacing w:line="480" w:lineRule="auto"/>
        <w:jc w:val="center"/>
        <w:rPr>
          <w:rFonts w:ascii="Times New Roman" w:hAnsi="Times New Roman" w:cs="Times New Roman"/>
          <w:b/>
          <w:bCs/>
        </w:rPr>
      </w:pPr>
      <w:r w:rsidRPr="00D8504F">
        <w:rPr>
          <w:rFonts w:ascii="Times New Roman" w:hAnsi="Times New Roman" w:cs="Times New Roman"/>
          <w:b/>
          <w:bCs/>
        </w:rPr>
        <w:t xml:space="preserve">Marian Ionut </w:t>
      </w:r>
      <w:proofErr w:type="spellStart"/>
      <w:r w:rsidRPr="00D8504F">
        <w:rPr>
          <w:rFonts w:ascii="Times New Roman" w:hAnsi="Times New Roman" w:cs="Times New Roman"/>
          <w:b/>
          <w:bCs/>
        </w:rPr>
        <w:t>Malasincu</w:t>
      </w:r>
      <w:proofErr w:type="spellEnd"/>
    </w:p>
    <w:p w14:paraId="5A565713" w14:textId="77777777" w:rsidR="00D8504F" w:rsidRPr="00D8504F" w:rsidRDefault="00D8504F" w:rsidP="00D8504F">
      <w:pPr>
        <w:spacing w:line="480" w:lineRule="auto"/>
        <w:jc w:val="center"/>
        <w:rPr>
          <w:rFonts w:ascii="Times New Roman" w:hAnsi="Times New Roman" w:cs="Times New Roman"/>
          <w:b/>
          <w:bCs/>
        </w:rPr>
      </w:pPr>
      <w:r w:rsidRPr="00D8504F">
        <w:rPr>
          <w:rFonts w:ascii="Times New Roman" w:hAnsi="Times New Roman" w:cs="Times New Roman"/>
          <w:b/>
          <w:bCs/>
        </w:rPr>
        <w:t>Student number 2312613</w:t>
      </w:r>
    </w:p>
    <w:p w14:paraId="6EDD6945" w14:textId="2CDC6831" w:rsidR="002633F5" w:rsidRPr="00D8504F" w:rsidRDefault="002633F5" w:rsidP="00D8504F">
      <w:pPr>
        <w:spacing w:line="480" w:lineRule="auto"/>
        <w:jc w:val="center"/>
        <w:rPr>
          <w:rFonts w:ascii="Times New Roman" w:hAnsi="Times New Roman" w:cs="Times New Roman"/>
        </w:rPr>
      </w:pPr>
    </w:p>
    <w:p w14:paraId="1C53AD69" w14:textId="77777777" w:rsidR="00C30C6E" w:rsidRPr="00D8504F" w:rsidRDefault="00C30C6E" w:rsidP="00343AF2">
      <w:pPr>
        <w:spacing w:line="480" w:lineRule="auto"/>
        <w:rPr>
          <w:rFonts w:ascii="Times New Roman" w:hAnsi="Times New Roman" w:cs="Times New Roman"/>
        </w:rPr>
      </w:pPr>
    </w:p>
    <w:p w14:paraId="459AFF35" w14:textId="77777777" w:rsidR="00C30C6E" w:rsidRPr="00D8504F" w:rsidRDefault="00C30C6E" w:rsidP="00343AF2">
      <w:pPr>
        <w:spacing w:line="480" w:lineRule="auto"/>
        <w:rPr>
          <w:rFonts w:ascii="Times New Roman" w:hAnsi="Times New Roman" w:cs="Times New Roman"/>
          <w:b/>
          <w:bCs/>
        </w:rPr>
      </w:pPr>
    </w:p>
    <w:p w14:paraId="5EB25502" w14:textId="77777777" w:rsidR="00C30C6E" w:rsidRPr="00D8504F" w:rsidRDefault="00C30C6E" w:rsidP="00343AF2">
      <w:pPr>
        <w:spacing w:line="480" w:lineRule="auto"/>
        <w:rPr>
          <w:rFonts w:ascii="Times New Roman" w:hAnsi="Times New Roman" w:cs="Times New Roman"/>
          <w:b/>
          <w:bCs/>
        </w:rPr>
      </w:pPr>
    </w:p>
    <w:p w14:paraId="5366B3E9" w14:textId="77777777" w:rsidR="00C30C6E" w:rsidRPr="00D8504F" w:rsidRDefault="00C30C6E" w:rsidP="00343AF2">
      <w:pPr>
        <w:spacing w:line="480" w:lineRule="auto"/>
        <w:rPr>
          <w:rFonts w:ascii="Times New Roman" w:hAnsi="Times New Roman" w:cs="Times New Roman"/>
          <w:b/>
          <w:bCs/>
        </w:rPr>
      </w:pPr>
    </w:p>
    <w:p w14:paraId="64435C9D" w14:textId="77777777" w:rsidR="00343AF2" w:rsidRPr="00D8504F" w:rsidRDefault="00343AF2" w:rsidP="00343AF2">
      <w:pPr>
        <w:spacing w:line="480" w:lineRule="auto"/>
        <w:rPr>
          <w:rFonts w:ascii="Times New Roman" w:hAnsi="Times New Roman" w:cs="Times New Roman"/>
          <w:b/>
          <w:bCs/>
        </w:rPr>
      </w:pPr>
    </w:p>
    <w:p w14:paraId="322084A4" w14:textId="77777777" w:rsidR="00BB4B12" w:rsidRPr="00D8504F" w:rsidRDefault="00BB4B12" w:rsidP="00343AF2">
      <w:pPr>
        <w:spacing w:line="480" w:lineRule="auto"/>
        <w:rPr>
          <w:rFonts w:ascii="Times New Roman" w:hAnsi="Times New Roman" w:cs="Times New Roman"/>
        </w:rPr>
      </w:pPr>
    </w:p>
    <w:p w14:paraId="762996E5" w14:textId="49CC3FCE" w:rsidR="00343AF2" w:rsidRPr="00D8504F" w:rsidRDefault="00343AF2" w:rsidP="00343AF2">
      <w:pPr>
        <w:spacing w:line="480" w:lineRule="auto"/>
        <w:rPr>
          <w:rFonts w:ascii="Times New Roman" w:hAnsi="Times New Roman" w:cs="Times New Roman"/>
          <w:b/>
          <w:bCs/>
        </w:rPr>
      </w:pPr>
      <w:r w:rsidRPr="00D8504F">
        <w:rPr>
          <w:rFonts w:ascii="Times New Roman" w:hAnsi="Times New Roman" w:cs="Times New Roman"/>
          <w:b/>
          <w:bCs/>
        </w:rPr>
        <w:t>Table of Contents</w:t>
      </w:r>
    </w:p>
    <w:p w14:paraId="03BEEC55" w14:textId="1A85003E" w:rsidR="00343AF2" w:rsidRPr="00D8504F" w:rsidRDefault="00343AF2" w:rsidP="00343AF2">
      <w:pPr>
        <w:pStyle w:val="TOC1"/>
        <w:tabs>
          <w:tab w:val="right" w:leader="dot" w:pos="9350"/>
        </w:tabs>
        <w:spacing w:line="480" w:lineRule="auto"/>
        <w:rPr>
          <w:rFonts w:ascii="Times New Roman" w:hAnsi="Times New Roman" w:cs="Times New Roman"/>
        </w:rPr>
      </w:pPr>
      <w:r w:rsidRPr="00D8504F">
        <w:rPr>
          <w:rFonts w:ascii="Times New Roman" w:hAnsi="Times New Roman" w:cs="Times New Roman"/>
        </w:rPr>
        <w:fldChar w:fldCharType="begin"/>
      </w:r>
      <w:r w:rsidRPr="00D8504F">
        <w:rPr>
          <w:rFonts w:ascii="Times New Roman" w:hAnsi="Times New Roman" w:cs="Times New Roman"/>
        </w:rPr>
        <w:instrText xml:space="preserve"> TOC \o "1-1" \h \z \u </w:instrText>
      </w:r>
      <w:r w:rsidRPr="00D8504F">
        <w:rPr>
          <w:rFonts w:ascii="Times New Roman" w:hAnsi="Times New Roman" w:cs="Times New Roman"/>
        </w:rPr>
        <w:fldChar w:fldCharType="separate"/>
      </w:r>
      <w:hyperlink w:anchor="_Toc212123513" w:history="1">
        <w:r w:rsidRPr="00D8504F">
          <w:rPr>
            <w:rStyle w:val="Hyperlink"/>
            <w:rFonts w:ascii="Times New Roman" w:hAnsi="Times New Roman" w:cs="Times New Roman"/>
          </w:rPr>
          <w:t>Introduction</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_Toc212123513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3</w:t>
        </w:r>
        <w:r w:rsidRPr="00D8504F">
          <w:rPr>
            <w:rFonts w:ascii="Times New Roman" w:hAnsi="Times New Roman" w:cs="Times New Roman"/>
            <w:webHidden/>
          </w:rPr>
          <w:fldChar w:fldCharType="end"/>
        </w:r>
      </w:hyperlink>
    </w:p>
    <w:p w14:paraId="4E7D1EDE" w14:textId="3D780624"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4" w:history="1">
        <w:r w:rsidRPr="00D8504F">
          <w:rPr>
            <w:rStyle w:val="Hyperlink"/>
            <w:rFonts w:ascii="Times New Roman" w:hAnsi="Times New Roman" w:cs="Times New Roman"/>
          </w:rPr>
          <w:t>Method of Literature Review</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_Toc212123514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3</w:t>
        </w:r>
        <w:r w:rsidRPr="00D8504F">
          <w:rPr>
            <w:rFonts w:ascii="Times New Roman" w:hAnsi="Times New Roman" w:cs="Times New Roman"/>
            <w:webHidden/>
          </w:rPr>
          <w:fldChar w:fldCharType="end"/>
        </w:r>
      </w:hyperlink>
    </w:p>
    <w:p w14:paraId="31160803" w14:textId="7ECF0F20"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5" w:history="1">
        <w:r w:rsidRPr="00D8504F">
          <w:rPr>
            <w:rStyle w:val="Hyperlink"/>
            <w:rFonts w:ascii="Times New Roman" w:hAnsi="Times New Roman" w:cs="Times New Roman"/>
          </w:rPr>
          <w:t>Overview of the Prevent Strategy and Police Role</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_Toc212123515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3</w:t>
        </w:r>
        <w:r w:rsidRPr="00D8504F">
          <w:rPr>
            <w:rFonts w:ascii="Times New Roman" w:hAnsi="Times New Roman" w:cs="Times New Roman"/>
            <w:webHidden/>
          </w:rPr>
          <w:fldChar w:fldCharType="end"/>
        </w:r>
      </w:hyperlink>
    </w:p>
    <w:p w14:paraId="353E1B01" w14:textId="36878473"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6" w:history="1">
        <w:r w:rsidRPr="00D8504F">
          <w:rPr>
            <w:rStyle w:val="Hyperlink"/>
            <w:rFonts w:ascii="Times New Roman" w:hAnsi="Times New Roman" w:cs="Times New Roman"/>
          </w:rPr>
          <w:t>Successes and Positive Outcomes</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_Toc212123516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4</w:t>
        </w:r>
        <w:r w:rsidRPr="00D8504F">
          <w:rPr>
            <w:rFonts w:ascii="Times New Roman" w:hAnsi="Times New Roman" w:cs="Times New Roman"/>
            <w:webHidden/>
          </w:rPr>
          <w:fldChar w:fldCharType="end"/>
        </w:r>
      </w:hyperlink>
    </w:p>
    <w:p w14:paraId="2A9ECCE2" w14:textId="44E565C0"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7" w:history="1">
        <w:r w:rsidRPr="00D8504F">
          <w:rPr>
            <w:rStyle w:val="Hyperlink"/>
            <w:rFonts w:ascii="Times New Roman" w:hAnsi="Times New Roman" w:cs="Times New Roman"/>
          </w:rPr>
          <w:t>Key Challenges in Implementation</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_Toc212123517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5</w:t>
        </w:r>
        <w:r w:rsidRPr="00D8504F">
          <w:rPr>
            <w:rFonts w:ascii="Times New Roman" w:hAnsi="Times New Roman" w:cs="Times New Roman"/>
            <w:webHidden/>
          </w:rPr>
          <w:fldChar w:fldCharType="end"/>
        </w:r>
      </w:hyperlink>
    </w:p>
    <w:p w14:paraId="2926B393" w14:textId="77BFC90C"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8" w:history="1">
        <w:r w:rsidRPr="00D8504F">
          <w:rPr>
            <w:rStyle w:val="Hyperlink"/>
            <w:rFonts w:ascii="Times New Roman" w:hAnsi="Times New Roman" w:cs="Times New Roman"/>
          </w:rPr>
          <w:t>Public Perception and Trust Issues</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_Toc212123518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6</w:t>
        </w:r>
        <w:r w:rsidRPr="00D8504F">
          <w:rPr>
            <w:rFonts w:ascii="Times New Roman" w:hAnsi="Times New Roman" w:cs="Times New Roman"/>
            <w:webHidden/>
          </w:rPr>
          <w:fldChar w:fldCharType="end"/>
        </w:r>
      </w:hyperlink>
    </w:p>
    <w:p w14:paraId="4CC3CE17" w14:textId="34C47EA5"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19" w:history="1">
        <w:r w:rsidRPr="00D8504F">
          <w:rPr>
            <w:rStyle w:val="Hyperlink"/>
            <w:rFonts w:ascii="Times New Roman" w:hAnsi="Times New Roman" w:cs="Times New Roman"/>
          </w:rPr>
          <w:t>Training, Resources, and Consistency</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_Toc212123519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6</w:t>
        </w:r>
        <w:r w:rsidRPr="00D8504F">
          <w:rPr>
            <w:rFonts w:ascii="Times New Roman" w:hAnsi="Times New Roman" w:cs="Times New Roman"/>
            <w:webHidden/>
          </w:rPr>
          <w:fldChar w:fldCharType="end"/>
        </w:r>
      </w:hyperlink>
    </w:p>
    <w:p w14:paraId="0EC63155" w14:textId="0C6EC527"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20" w:history="1">
        <w:r w:rsidRPr="00D8504F">
          <w:rPr>
            <w:rStyle w:val="Hyperlink"/>
            <w:rFonts w:ascii="Times New Roman" w:hAnsi="Times New Roman" w:cs="Times New Roman"/>
          </w:rPr>
          <w:t>Balancing Security and Safeguarding</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_Toc212123520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7</w:t>
        </w:r>
        <w:r w:rsidRPr="00D8504F">
          <w:rPr>
            <w:rFonts w:ascii="Times New Roman" w:hAnsi="Times New Roman" w:cs="Times New Roman"/>
            <w:webHidden/>
          </w:rPr>
          <w:fldChar w:fldCharType="end"/>
        </w:r>
      </w:hyperlink>
    </w:p>
    <w:p w14:paraId="645F4FB6" w14:textId="35EB0341"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21" w:history="1">
        <w:r w:rsidRPr="00D8504F">
          <w:rPr>
            <w:rStyle w:val="Hyperlink"/>
            <w:rFonts w:ascii="Times New Roman" w:hAnsi="Times New Roman" w:cs="Times New Roman"/>
          </w:rPr>
          <w:t>Evolving Threats and Policy Reforms</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_Toc212123521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7</w:t>
        </w:r>
        <w:r w:rsidRPr="00D8504F">
          <w:rPr>
            <w:rFonts w:ascii="Times New Roman" w:hAnsi="Times New Roman" w:cs="Times New Roman"/>
            <w:webHidden/>
          </w:rPr>
          <w:fldChar w:fldCharType="end"/>
        </w:r>
      </w:hyperlink>
    </w:p>
    <w:p w14:paraId="3781DE0C" w14:textId="5E7F8093"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22" w:history="1">
        <w:r w:rsidRPr="00D8504F">
          <w:rPr>
            <w:rStyle w:val="Hyperlink"/>
            <w:rFonts w:ascii="Times New Roman" w:hAnsi="Times New Roman" w:cs="Times New Roman"/>
          </w:rPr>
          <w:t>Critical Analysis and Synthesis</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_Toc212123522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8</w:t>
        </w:r>
        <w:r w:rsidRPr="00D8504F">
          <w:rPr>
            <w:rFonts w:ascii="Times New Roman" w:hAnsi="Times New Roman" w:cs="Times New Roman"/>
            <w:webHidden/>
          </w:rPr>
          <w:fldChar w:fldCharType="end"/>
        </w:r>
      </w:hyperlink>
    </w:p>
    <w:p w14:paraId="0C303F8A" w14:textId="7728202D"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23" w:history="1">
        <w:r w:rsidRPr="00D8504F">
          <w:rPr>
            <w:rStyle w:val="Hyperlink"/>
            <w:rFonts w:ascii="Times New Roman" w:hAnsi="Times New Roman" w:cs="Times New Roman"/>
          </w:rPr>
          <w:t>Conclusion</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_Toc212123523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9</w:t>
        </w:r>
        <w:r w:rsidRPr="00D8504F">
          <w:rPr>
            <w:rFonts w:ascii="Times New Roman" w:hAnsi="Times New Roman" w:cs="Times New Roman"/>
            <w:webHidden/>
          </w:rPr>
          <w:fldChar w:fldCharType="end"/>
        </w:r>
      </w:hyperlink>
    </w:p>
    <w:p w14:paraId="3202480E" w14:textId="6C6CA6EF" w:rsidR="00343AF2" w:rsidRPr="00D8504F" w:rsidRDefault="00343AF2" w:rsidP="00343AF2">
      <w:pPr>
        <w:pStyle w:val="TOC1"/>
        <w:tabs>
          <w:tab w:val="right" w:leader="dot" w:pos="9350"/>
        </w:tabs>
        <w:spacing w:line="480" w:lineRule="auto"/>
        <w:rPr>
          <w:rFonts w:ascii="Times New Roman" w:hAnsi="Times New Roman" w:cs="Times New Roman"/>
        </w:rPr>
      </w:pPr>
      <w:hyperlink w:anchor="_Toc212123524" w:history="1">
        <w:r w:rsidRPr="00D8504F">
          <w:rPr>
            <w:rStyle w:val="Hyperlink"/>
            <w:rFonts w:ascii="Times New Roman" w:hAnsi="Times New Roman" w:cs="Times New Roman"/>
          </w:rPr>
          <w:t>Reference List</w:t>
        </w:r>
        <w:r w:rsidRPr="00D8504F">
          <w:rPr>
            <w:rFonts w:ascii="Times New Roman" w:hAnsi="Times New Roman" w:cs="Times New Roman"/>
            <w:webHidden/>
          </w:rPr>
          <w:tab/>
        </w:r>
        <w:r w:rsidRPr="00D8504F">
          <w:rPr>
            <w:rFonts w:ascii="Times New Roman" w:hAnsi="Times New Roman" w:cs="Times New Roman"/>
            <w:webHidden/>
          </w:rPr>
          <w:fldChar w:fldCharType="begin"/>
        </w:r>
        <w:r w:rsidRPr="00D8504F">
          <w:rPr>
            <w:rFonts w:ascii="Times New Roman" w:hAnsi="Times New Roman" w:cs="Times New Roman"/>
            <w:webHidden/>
          </w:rPr>
          <w:instrText xml:space="preserve"> PAGEREF _Toc212123524 \h </w:instrText>
        </w:r>
        <w:r w:rsidRPr="00D8504F">
          <w:rPr>
            <w:rFonts w:ascii="Times New Roman" w:hAnsi="Times New Roman" w:cs="Times New Roman"/>
            <w:webHidden/>
          </w:rPr>
        </w:r>
        <w:r w:rsidRPr="00D8504F">
          <w:rPr>
            <w:rFonts w:ascii="Times New Roman" w:hAnsi="Times New Roman" w:cs="Times New Roman"/>
            <w:webHidden/>
          </w:rPr>
          <w:fldChar w:fldCharType="separate"/>
        </w:r>
        <w:r w:rsidR="00BB4B12" w:rsidRPr="00D8504F">
          <w:rPr>
            <w:rFonts w:ascii="Times New Roman" w:hAnsi="Times New Roman" w:cs="Times New Roman"/>
            <w:webHidden/>
          </w:rPr>
          <w:t>10</w:t>
        </w:r>
        <w:r w:rsidRPr="00D8504F">
          <w:rPr>
            <w:rFonts w:ascii="Times New Roman" w:hAnsi="Times New Roman" w:cs="Times New Roman"/>
            <w:webHidden/>
          </w:rPr>
          <w:fldChar w:fldCharType="end"/>
        </w:r>
      </w:hyperlink>
    </w:p>
    <w:p w14:paraId="335E9759" w14:textId="1C932066" w:rsidR="00343AF2" w:rsidRPr="00D8504F" w:rsidRDefault="00343AF2" w:rsidP="00343AF2">
      <w:pPr>
        <w:spacing w:line="480" w:lineRule="auto"/>
        <w:rPr>
          <w:rFonts w:ascii="Times New Roman" w:hAnsi="Times New Roman" w:cs="Times New Roman"/>
        </w:rPr>
      </w:pPr>
      <w:r w:rsidRPr="00D8504F">
        <w:rPr>
          <w:rFonts w:ascii="Times New Roman" w:hAnsi="Times New Roman" w:cs="Times New Roman"/>
        </w:rPr>
        <w:fldChar w:fldCharType="end"/>
      </w:r>
    </w:p>
    <w:p w14:paraId="70BB055D" w14:textId="77777777" w:rsidR="00343AF2" w:rsidRPr="00D8504F" w:rsidRDefault="00343AF2" w:rsidP="00343AF2">
      <w:pPr>
        <w:spacing w:line="480" w:lineRule="auto"/>
        <w:rPr>
          <w:rFonts w:ascii="Times New Roman" w:hAnsi="Times New Roman" w:cs="Times New Roman"/>
        </w:rPr>
      </w:pPr>
    </w:p>
    <w:p w14:paraId="428D9D03" w14:textId="77777777" w:rsidR="00D8504F" w:rsidRPr="00D8504F" w:rsidRDefault="00D8504F" w:rsidP="00343AF2">
      <w:pPr>
        <w:spacing w:line="480" w:lineRule="auto"/>
        <w:rPr>
          <w:rFonts w:ascii="Times New Roman" w:hAnsi="Times New Roman" w:cs="Times New Roman"/>
        </w:rPr>
      </w:pPr>
    </w:p>
    <w:p w14:paraId="68AB4BE5" w14:textId="011A1DB1" w:rsidR="00C30C6E" w:rsidRPr="00D8504F" w:rsidRDefault="00C30C6E" w:rsidP="00BB4B12">
      <w:pPr>
        <w:spacing w:line="480" w:lineRule="auto"/>
        <w:jc w:val="both"/>
        <w:rPr>
          <w:rFonts w:ascii="Times New Roman" w:hAnsi="Times New Roman" w:cs="Times New Roman"/>
        </w:rPr>
      </w:pPr>
      <w:bookmarkStart w:id="1" w:name="_Toc212123513"/>
      <w:r w:rsidRPr="00D8504F">
        <w:rPr>
          <w:rStyle w:val="Heading1Char"/>
          <w:rFonts w:ascii="Times New Roman" w:hAnsi="Times New Roman" w:cs="Times New Roman"/>
          <w:b/>
          <w:bCs/>
          <w:color w:val="auto"/>
          <w:sz w:val="24"/>
          <w:szCs w:val="24"/>
        </w:rPr>
        <w:lastRenderedPageBreak/>
        <w:t>Introduction</w:t>
      </w:r>
      <w:bookmarkEnd w:id="1"/>
      <w:r w:rsidRPr="00D8504F">
        <w:rPr>
          <w:rStyle w:val="Heading1Char"/>
          <w:rFonts w:ascii="Times New Roman" w:hAnsi="Times New Roman" w:cs="Times New Roman"/>
          <w:b/>
          <w:bCs/>
          <w:color w:val="auto"/>
          <w:sz w:val="24"/>
          <w:szCs w:val="24"/>
        </w:rPr>
        <w:br/>
      </w:r>
      <w:r w:rsidR="00D34EA1" w:rsidRPr="00D8504F">
        <w:rPr>
          <w:rFonts w:ascii="Times New Roman" w:hAnsi="Times New Roman" w:cs="Times New Roman"/>
        </w:rPr>
        <w:t>The counter-terrorist approach of the UK, CONTEST, is organised in the form of four pillars, which are Prevent, Pursue, Protect and Prepare (HM Government, 2023). Prevent strand aims at preventing the emergence of terrorists or sustaining the acts of terrorism. It puts a great burden on the policing agencies and local partners to intervene at an early stage and control the risks of radicalisation. This process requires the participation of police forces in England and Wales: they interact with communities, evaluate referrals and operate in multi-agency environments to protect vulnerable individuals. This literature review will look at how UK police forces help in supporting Prevent, and what are the challenges they meet to make it effective in the current society. The review begins by giving the strategy and police role, goes on to give an evidence of successes, and lastly gives a critical discussion on the key challenges before concluding on the implications today.</w:t>
      </w:r>
    </w:p>
    <w:p w14:paraId="0BF4478D" w14:textId="77777777" w:rsidR="00BB4B12" w:rsidRPr="00D8504F" w:rsidRDefault="00C30C6E" w:rsidP="00BB4B12">
      <w:pPr>
        <w:spacing w:line="480" w:lineRule="auto"/>
        <w:jc w:val="both"/>
        <w:rPr>
          <w:rStyle w:val="Heading1Char"/>
          <w:rFonts w:ascii="Times New Roman" w:hAnsi="Times New Roman" w:cs="Times New Roman"/>
          <w:b/>
          <w:bCs/>
          <w:color w:val="auto"/>
          <w:sz w:val="24"/>
          <w:szCs w:val="24"/>
        </w:rPr>
      </w:pPr>
      <w:bookmarkStart w:id="2" w:name="_Toc212123514"/>
      <w:r w:rsidRPr="00D8504F">
        <w:rPr>
          <w:rStyle w:val="Heading1Char"/>
          <w:rFonts w:ascii="Times New Roman" w:hAnsi="Times New Roman" w:cs="Times New Roman"/>
          <w:b/>
          <w:bCs/>
          <w:color w:val="auto"/>
          <w:sz w:val="24"/>
          <w:szCs w:val="24"/>
        </w:rPr>
        <w:t>Method of Literature Review</w:t>
      </w:r>
      <w:bookmarkEnd w:id="2"/>
    </w:p>
    <w:p w14:paraId="0E8B889B" w14:textId="3569A2B2" w:rsidR="00C30C6E" w:rsidRPr="00D8504F" w:rsidRDefault="00C30C6E" w:rsidP="00BB4B12">
      <w:pPr>
        <w:spacing w:line="480" w:lineRule="auto"/>
        <w:jc w:val="both"/>
        <w:rPr>
          <w:rFonts w:ascii="Times New Roman" w:hAnsi="Times New Roman" w:cs="Times New Roman"/>
        </w:rPr>
      </w:pPr>
      <w:r w:rsidRPr="00D8504F">
        <w:rPr>
          <w:rFonts w:ascii="Times New Roman" w:hAnsi="Times New Roman" w:cs="Times New Roman"/>
        </w:rPr>
        <w:t xml:space="preserve">To gather relevant literature this review used academic databases including Google Scholar, JSTOR and EBSCO, and official publications from Home Office, HMICFRS and policing bodies. </w:t>
      </w:r>
      <w:r w:rsidR="00A11265" w:rsidRPr="00D8504F">
        <w:rPr>
          <w:rFonts w:ascii="Times New Roman" w:hAnsi="Times New Roman" w:cs="Times New Roman"/>
        </w:rPr>
        <w:t>Some of the keywords were used which are Prevent Strategy, counter-terrorism policing UK, radicalisation prevention, Channel programme and police community engagement. Peer-reviewed articles, as well as policy documents published after 2015, were the main priorities of the selection criteria, but seminal articles published before 2015 were also taken into account. This methodology is sure to provide a wide but narrow set of materials on both academic and policy and practitioner schools of thought.</w:t>
      </w:r>
    </w:p>
    <w:p w14:paraId="2842741E" w14:textId="77777777" w:rsidR="00BB4B12" w:rsidRPr="00D8504F" w:rsidRDefault="00BB4B12" w:rsidP="00BB4B12">
      <w:pPr>
        <w:spacing w:line="480" w:lineRule="auto"/>
        <w:jc w:val="both"/>
        <w:rPr>
          <w:rFonts w:ascii="Times New Roman" w:hAnsi="Times New Roman" w:cs="Times New Roman"/>
        </w:rPr>
      </w:pPr>
    </w:p>
    <w:p w14:paraId="3740EAE9" w14:textId="77777777" w:rsidR="00BB4B12" w:rsidRPr="00D8504F" w:rsidRDefault="00BB4B12" w:rsidP="00BB4B12">
      <w:pPr>
        <w:spacing w:line="480" w:lineRule="auto"/>
        <w:jc w:val="both"/>
        <w:rPr>
          <w:rFonts w:ascii="Times New Roman" w:eastAsiaTheme="majorEastAsia" w:hAnsi="Times New Roman" w:cs="Times New Roman"/>
          <w:b/>
          <w:bCs/>
        </w:rPr>
      </w:pPr>
    </w:p>
    <w:p w14:paraId="0C24F6C7" w14:textId="77777777" w:rsidR="00BB4B12" w:rsidRPr="00D8504F" w:rsidRDefault="00C30C6E" w:rsidP="00BB4B12">
      <w:pPr>
        <w:spacing w:line="480" w:lineRule="auto"/>
        <w:jc w:val="both"/>
        <w:rPr>
          <w:rStyle w:val="Heading1Char"/>
          <w:rFonts w:ascii="Times New Roman" w:hAnsi="Times New Roman" w:cs="Times New Roman"/>
          <w:b/>
          <w:bCs/>
          <w:color w:val="auto"/>
          <w:sz w:val="24"/>
          <w:szCs w:val="24"/>
        </w:rPr>
      </w:pPr>
      <w:bookmarkStart w:id="3" w:name="_Toc212123515"/>
      <w:r w:rsidRPr="00D8504F">
        <w:rPr>
          <w:rStyle w:val="Heading1Char"/>
          <w:rFonts w:ascii="Times New Roman" w:hAnsi="Times New Roman" w:cs="Times New Roman"/>
          <w:b/>
          <w:bCs/>
          <w:color w:val="auto"/>
          <w:sz w:val="24"/>
          <w:szCs w:val="24"/>
        </w:rPr>
        <w:lastRenderedPageBreak/>
        <w:t>Overview of the Prevent Strategy and Police Role</w:t>
      </w:r>
      <w:bookmarkEnd w:id="3"/>
    </w:p>
    <w:p w14:paraId="1669A904" w14:textId="3010B60E" w:rsidR="00A11265" w:rsidRPr="00D8504F" w:rsidRDefault="00A11265" w:rsidP="00BB4B12">
      <w:pPr>
        <w:spacing w:line="480" w:lineRule="auto"/>
        <w:jc w:val="both"/>
        <w:rPr>
          <w:rFonts w:ascii="Times New Roman" w:eastAsiaTheme="majorEastAsia" w:hAnsi="Times New Roman" w:cs="Times New Roman"/>
          <w:b/>
          <w:bCs/>
        </w:rPr>
      </w:pPr>
      <w:r w:rsidRPr="00D8504F">
        <w:rPr>
          <w:rFonts w:ascii="Times New Roman" w:hAnsi="Times New Roman" w:cs="Times New Roman"/>
        </w:rPr>
        <w:t>Prevent strategy was unveiled as one of the reactions of the UK to the threat of terrorism and radicalisation. The government, in its Lessons for Prevent document, regards Prevent as having three goals, to address the ideological drivers of terrorism; to intervene early with people at risk of becoming terrorists; and to make disengagement of people already in the terrorism game possible (HM Government, 2023). The strategy is implemented through bilateral agency collaborations of policing, local government, education, health and civil society organisations.</w:t>
      </w:r>
    </w:p>
    <w:p w14:paraId="6E85B7B2" w14:textId="77777777" w:rsidR="00A11265"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The role of the police forces is specified. According to a summary of the national Counter Terrorism Policing UK (CTP), the police collaborate with other agencies to support and safeguard vulnerable individuals by radicalising them, evaluating the risk and referring them to the Channel programme when required (CTP, 2024). Such roles are consistent with larger preventative policing rationality: the police do not just respond to crime but rather find and intercept before extremist behaviours get out of hand (Police Foundation, 2024). This role of the officer in the policing literature thus becomes a part of a safeguarding sphere and needs cooperation, information exchange, and representation in at-risk areas (Innes et al., 2011; Lamb, 2014).</w:t>
      </w:r>
    </w:p>
    <w:p w14:paraId="1A0451D1" w14:textId="62E9D065" w:rsidR="00C30C6E"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In practice, e.g. police forces use specialist Prevent officers or Channel coordinators who evaluate referrals, must interface with education and health partners, and track progress. Intelligence and concerns gathered by local contacts are frequently incorporated by community policing teams, thus making policing closer to the Prevent delivery model (Community Policing and Preventing Extremism, 2015). It is this structural architecture which will allow police support of Prevent to be operationalised at the local authority and community level.</w:t>
      </w:r>
    </w:p>
    <w:p w14:paraId="6DC9D457" w14:textId="77777777" w:rsidR="00BB4B12" w:rsidRPr="00D8504F" w:rsidRDefault="00BB4B12" w:rsidP="00BB4B12">
      <w:pPr>
        <w:spacing w:line="480" w:lineRule="auto"/>
        <w:jc w:val="both"/>
        <w:rPr>
          <w:rFonts w:ascii="Times New Roman" w:hAnsi="Times New Roman" w:cs="Times New Roman"/>
        </w:rPr>
      </w:pPr>
    </w:p>
    <w:p w14:paraId="291363DE" w14:textId="6901E63A" w:rsidR="00A11265" w:rsidRPr="00D8504F" w:rsidRDefault="00C30C6E" w:rsidP="00BB4B12">
      <w:pPr>
        <w:spacing w:line="480" w:lineRule="auto"/>
        <w:rPr>
          <w:rFonts w:ascii="Times New Roman" w:eastAsiaTheme="majorEastAsia" w:hAnsi="Times New Roman" w:cs="Times New Roman"/>
          <w:b/>
          <w:bCs/>
        </w:rPr>
      </w:pPr>
      <w:bookmarkStart w:id="4" w:name="_Toc212123516"/>
      <w:r w:rsidRPr="00D8504F">
        <w:rPr>
          <w:rStyle w:val="Heading1Char"/>
          <w:rFonts w:ascii="Times New Roman" w:hAnsi="Times New Roman" w:cs="Times New Roman"/>
          <w:b/>
          <w:bCs/>
          <w:color w:val="auto"/>
          <w:sz w:val="24"/>
          <w:szCs w:val="24"/>
        </w:rPr>
        <w:lastRenderedPageBreak/>
        <w:t>Successes and Positive Outcomes</w:t>
      </w:r>
      <w:bookmarkEnd w:id="4"/>
      <w:r w:rsidRPr="00D8504F">
        <w:rPr>
          <w:rFonts w:ascii="Times New Roman" w:hAnsi="Times New Roman" w:cs="Times New Roman"/>
        </w:rPr>
        <w:br/>
        <w:t xml:space="preserve">There is evidence that police engagement in Prevent has yielded positive outcomes. </w:t>
      </w:r>
      <w:r w:rsidR="00A11265" w:rsidRPr="00D8504F">
        <w:rPr>
          <w:rFonts w:ascii="Times New Roman" w:hAnsi="Times New Roman" w:cs="Times New Roman"/>
        </w:rPr>
        <w:t>Enhanced multi-agency partnership structures are one of the successes. Prevent panels or regional boards are aided by police officers who enhance coordination among agencies (RUSI, 2016</w:t>
      </w:r>
      <w:r w:rsidR="003E200B" w:rsidRPr="00D8504F">
        <w:rPr>
          <w:rFonts w:ascii="Times New Roman" w:hAnsi="Times New Roman" w:cs="Times New Roman"/>
        </w:rPr>
        <w:t>).</w:t>
      </w:r>
      <w:r w:rsidR="00A11265" w:rsidRPr="00D8504F">
        <w:rPr>
          <w:rFonts w:ascii="Times New Roman" w:hAnsi="Times New Roman" w:cs="Times New Roman"/>
        </w:rPr>
        <w:t xml:space="preserve"> Through such partnerships, the triaging of referrals and the formulation of support plans may be achieved. Second, the Channel programme has enabled the support of thousands of people: CTP (2024) states that more than 5,000 people are already assisted since the establishment of the statutory Prevent duty in 2015. This means that there is a working pipeline of intervention by police.</w:t>
      </w:r>
    </w:p>
    <w:p w14:paraId="67EB0DFE" w14:textId="49E77169" w:rsidR="00A11265"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 xml:space="preserve">Thirdly, localised preventive work has been made possible through neighbourhood and community policing programs. In a case study of neighbourhood policing teams, Wray (2020) discovered that local engagement was useful in identifying cases of early radicalisation of youths, which connected community intelligence to Prevent referrals. Through such </w:t>
      </w:r>
      <w:r w:rsidR="00084624" w:rsidRPr="00D8504F">
        <w:rPr>
          <w:rFonts w:ascii="Times New Roman" w:hAnsi="Times New Roman" w:cs="Times New Roman"/>
        </w:rPr>
        <w:t>endeavours</w:t>
      </w:r>
      <w:r w:rsidRPr="00D8504F">
        <w:rPr>
          <w:rFonts w:ascii="Times New Roman" w:hAnsi="Times New Roman" w:cs="Times New Roman"/>
        </w:rPr>
        <w:t>, there is evidence of how policing can be responsive to preventive activities instead of being solely reactive in fighting crime</w:t>
      </w:r>
      <w:r w:rsidR="00FD0C78" w:rsidRPr="00D8504F">
        <w:rPr>
          <w:rFonts w:ascii="Times New Roman" w:hAnsi="Times New Roman" w:cs="Times New Roman"/>
        </w:rPr>
        <w:t xml:space="preserve"> (Awan and Blakemore, 2013).</w:t>
      </w:r>
    </w:p>
    <w:p w14:paraId="3F84BB04" w14:textId="7A092017" w:rsidR="00A11265"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In addition, awareness and training programmes on radicalisation indicators and referral of police officers and partner agencies have enhanced knowledge of the same. This added capacity helps the police become a gateway to Prevent support as opposed to being an enforcement body</w:t>
      </w:r>
      <w:r w:rsidR="003E200B" w:rsidRPr="00D8504F">
        <w:rPr>
          <w:rFonts w:ascii="Times New Roman" w:hAnsi="Times New Roman" w:cs="Times New Roman"/>
        </w:rPr>
        <w:t xml:space="preserve"> (Donkin, 2014).</w:t>
      </w:r>
    </w:p>
    <w:p w14:paraId="32C3788C" w14:textId="620757F3" w:rsidR="00C30C6E"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Summing up, police support of Prevent has reached the stage of being integrated into the safeguarding ecosystem, with operating referral systems and actual numbers of interventions. These results prove that the police have the potential to achieve the early-intervention objectives of Prevent and play an important role in counter-terrorism strategy.</w:t>
      </w:r>
    </w:p>
    <w:p w14:paraId="4A550643" w14:textId="77777777" w:rsidR="00BB4B12" w:rsidRPr="00D8504F" w:rsidRDefault="00BB4B12" w:rsidP="00BB4B12">
      <w:pPr>
        <w:spacing w:line="480" w:lineRule="auto"/>
        <w:jc w:val="both"/>
        <w:rPr>
          <w:rFonts w:ascii="Times New Roman" w:hAnsi="Times New Roman" w:cs="Times New Roman"/>
        </w:rPr>
      </w:pPr>
    </w:p>
    <w:p w14:paraId="5E3C4B4E" w14:textId="77777777" w:rsidR="00BB4B12" w:rsidRPr="00D8504F" w:rsidRDefault="00C30C6E" w:rsidP="00BB4B12">
      <w:pPr>
        <w:spacing w:line="480" w:lineRule="auto"/>
        <w:rPr>
          <w:rStyle w:val="Heading1Char"/>
          <w:rFonts w:ascii="Times New Roman" w:hAnsi="Times New Roman" w:cs="Times New Roman"/>
          <w:b/>
          <w:bCs/>
          <w:color w:val="auto"/>
          <w:sz w:val="24"/>
          <w:szCs w:val="24"/>
        </w:rPr>
      </w:pPr>
      <w:bookmarkStart w:id="5" w:name="_Toc212123517"/>
      <w:r w:rsidRPr="00D8504F">
        <w:rPr>
          <w:rStyle w:val="Heading1Char"/>
          <w:rFonts w:ascii="Times New Roman" w:hAnsi="Times New Roman" w:cs="Times New Roman"/>
          <w:b/>
          <w:bCs/>
          <w:color w:val="auto"/>
          <w:sz w:val="24"/>
          <w:szCs w:val="24"/>
        </w:rPr>
        <w:t>Key Challenges in Implementation</w:t>
      </w:r>
      <w:bookmarkEnd w:id="5"/>
    </w:p>
    <w:p w14:paraId="724DF3D2" w14:textId="78B2CEF5" w:rsidR="00BB4B12"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Although successful, the literature finds that many critical challenges face the implementation of Prevent using the police. These sub-themes are: the perception and trust of the people; training and resources; the trade-off between safeguarding and security; and changing threat environments.</w:t>
      </w:r>
    </w:p>
    <w:p w14:paraId="2A1174C9" w14:textId="77777777" w:rsidR="00BB4B12" w:rsidRPr="00D8504F" w:rsidRDefault="00C30C6E" w:rsidP="00BB4B12">
      <w:pPr>
        <w:spacing w:line="480" w:lineRule="auto"/>
        <w:jc w:val="both"/>
        <w:rPr>
          <w:rStyle w:val="Heading1Char"/>
          <w:rFonts w:ascii="Times New Roman" w:hAnsi="Times New Roman" w:cs="Times New Roman"/>
          <w:b/>
          <w:bCs/>
          <w:color w:val="auto"/>
          <w:sz w:val="24"/>
          <w:szCs w:val="24"/>
        </w:rPr>
      </w:pPr>
      <w:bookmarkStart w:id="6" w:name="_Toc212123518"/>
      <w:r w:rsidRPr="00D8504F">
        <w:rPr>
          <w:rStyle w:val="Heading1Char"/>
          <w:rFonts w:ascii="Times New Roman" w:hAnsi="Times New Roman" w:cs="Times New Roman"/>
          <w:b/>
          <w:bCs/>
          <w:color w:val="auto"/>
          <w:sz w:val="24"/>
          <w:szCs w:val="24"/>
        </w:rPr>
        <w:t>Public Perception and Trust Issues</w:t>
      </w:r>
      <w:bookmarkEnd w:id="6"/>
    </w:p>
    <w:p w14:paraId="10B0153C" w14:textId="0515B397" w:rsidR="00A11265"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 xml:space="preserve">One criticism that has been made repeatedly is that Prevent is viewed negatively by certain communities, particularly the Muslim communities. According to Awan (2016), Prevent intelligence has created a suspect community as it implicitly links Muslims to the threat of being extremists. Furthermore, Lamb (2014) investigates the perceived </w:t>
      </w:r>
      <w:proofErr w:type="spellStart"/>
      <w:r w:rsidRPr="00D8504F">
        <w:rPr>
          <w:rFonts w:ascii="Times New Roman" w:hAnsi="Times New Roman" w:cs="Times New Roman"/>
        </w:rPr>
        <w:t>genderization</w:t>
      </w:r>
      <w:proofErr w:type="spellEnd"/>
      <w:r w:rsidRPr="00D8504F">
        <w:rPr>
          <w:rFonts w:ascii="Times New Roman" w:hAnsi="Times New Roman" w:cs="Times New Roman"/>
        </w:rPr>
        <w:t xml:space="preserve"> and somehow depoliticization of the Prevent role of police officers that make it difficult to engage them in regular policing tasks. The lack of trust kills credibility: where communities believe that the police are spying on them instead of acting in their </w:t>
      </w:r>
      <w:r w:rsidR="00084624" w:rsidRPr="00D8504F">
        <w:rPr>
          <w:rFonts w:ascii="Times New Roman" w:hAnsi="Times New Roman" w:cs="Times New Roman"/>
        </w:rPr>
        <w:t>favour</w:t>
      </w:r>
      <w:r w:rsidRPr="00D8504F">
        <w:rPr>
          <w:rFonts w:ascii="Times New Roman" w:hAnsi="Times New Roman" w:cs="Times New Roman"/>
        </w:rPr>
        <w:t>, co-operation fails. In one such instance, Dresser (2019) found that, due to the unwillingness of the community to interact with police-led Prevent activities, partnerships were impaired.</w:t>
      </w:r>
    </w:p>
    <w:p w14:paraId="2D2655C8" w14:textId="65EDE9BE" w:rsidR="00C30C6E"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The absence of clear information aggravates the situation. A recent report disclosed that law enforcement agencies did not document race or ethnicity when referring almost two out of three individuals to Prevent between 2015 and 2023, which raises the issue of discrimination (The Guardian, 2024). These data and transparency deficiencies undermine community trust and reduce the appraisal of the strategy. Therefore, the legitimacy deficits of the police support of Prevent present a weakness that decreases the local-level efficacy</w:t>
      </w:r>
      <w:r w:rsidR="003E200B" w:rsidRPr="00D8504F">
        <w:rPr>
          <w:rFonts w:ascii="Times New Roman" w:hAnsi="Times New Roman" w:cs="Times New Roman"/>
        </w:rPr>
        <w:t xml:space="preserve"> (Jarvis, Macdonald and Whiting, 2024).</w:t>
      </w:r>
    </w:p>
    <w:p w14:paraId="7A81B7F2" w14:textId="77777777" w:rsidR="00BB4B12" w:rsidRPr="00D8504F" w:rsidRDefault="00BB4B12" w:rsidP="00BB4B12">
      <w:pPr>
        <w:spacing w:line="480" w:lineRule="auto"/>
        <w:jc w:val="both"/>
        <w:rPr>
          <w:rFonts w:ascii="Times New Roman" w:hAnsi="Times New Roman" w:cs="Times New Roman"/>
        </w:rPr>
      </w:pPr>
    </w:p>
    <w:p w14:paraId="2775A649" w14:textId="77777777" w:rsidR="00BB4B12" w:rsidRPr="00D8504F" w:rsidRDefault="00C30C6E" w:rsidP="00BB4B12">
      <w:pPr>
        <w:spacing w:line="480" w:lineRule="auto"/>
        <w:rPr>
          <w:rStyle w:val="Heading1Char"/>
          <w:rFonts w:ascii="Times New Roman" w:hAnsi="Times New Roman" w:cs="Times New Roman"/>
          <w:b/>
          <w:bCs/>
          <w:color w:val="auto"/>
          <w:sz w:val="24"/>
          <w:szCs w:val="24"/>
        </w:rPr>
      </w:pPr>
      <w:bookmarkStart w:id="7" w:name="_Toc212123519"/>
      <w:r w:rsidRPr="00D8504F">
        <w:rPr>
          <w:rStyle w:val="Heading1Char"/>
          <w:rFonts w:ascii="Times New Roman" w:hAnsi="Times New Roman" w:cs="Times New Roman"/>
          <w:b/>
          <w:bCs/>
          <w:color w:val="auto"/>
          <w:sz w:val="24"/>
          <w:szCs w:val="24"/>
        </w:rPr>
        <w:lastRenderedPageBreak/>
        <w:t>Training, Resources, and Consistency</w:t>
      </w:r>
      <w:bookmarkEnd w:id="7"/>
    </w:p>
    <w:p w14:paraId="32B5A03D" w14:textId="5464A0E8" w:rsidR="00C30C6E" w:rsidRPr="00D8504F" w:rsidRDefault="00A11265" w:rsidP="00BB4B12">
      <w:pPr>
        <w:spacing w:line="480" w:lineRule="auto"/>
        <w:jc w:val="both"/>
        <w:rPr>
          <w:rFonts w:ascii="Times New Roman" w:hAnsi="Times New Roman" w:cs="Times New Roman"/>
        </w:rPr>
      </w:pPr>
      <w:r w:rsidRPr="00D8504F">
        <w:rPr>
          <w:rFonts w:ascii="Times New Roman" w:hAnsi="Times New Roman" w:cs="Times New Roman"/>
        </w:rPr>
        <w:t>Prevent needs expert understanding of radicalisation channels, protective expertise and interagency co-ordination. Nonetheless, HMICFRS (2022) have observed disproportionate training and inconsistent usage between forces. Other officers said they were not clear on their role in Prevent, but some said they were overworked and undercapacity. There is also the possibility of competition between Prevent tasks and other tasks in policing due to budget limitations, as well as austerity policies. Such variation of resource and capability decreases the capacity of police to provide Prevent in a similar manner across the nation</w:t>
      </w:r>
      <w:r w:rsidR="003E200B" w:rsidRPr="00D8504F">
        <w:rPr>
          <w:rFonts w:ascii="Times New Roman" w:hAnsi="Times New Roman" w:cs="Times New Roman"/>
        </w:rPr>
        <w:t xml:space="preserve"> (Spalek, 2012).</w:t>
      </w:r>
    </w:p>
    <w:p w14:paraId="38F0EF88" w14:textId="77777777" w:rsidR="00BB4B12" w:rsidRPr="00D8504F" w:rsidRDefault="00C30C6E" w:rsidP="00BB4B12">
      <w:pPr>
        <w:spacing w:line="480" w:lineRule="auto"/>
        <w:jc w:val="both"/>
        <w:rPr>
          <w:rStyle w:val="Heading1Char"/>
          <w:rFonts w:ascii="Times New Roman" w:hAnsi="Times New Roman" w:cs="Times New Roman"/>
          <w:b/>
          <w:bCs/>
          <w:color w:val="auto"/>
          <w:sz w:val="24"/>
          <w:szCs w:val="24"/>
        </w:rPr>
      </w:pPr>
      <w:bookmarkStart w:id="8" w:name="_Toc212123520"/>
      <w:r w:rsidRPr="00D8504F">
        <w:rPr>
          <w:rStyle w:val="Heading1Char"/>
          <w:rFonts w:ascii="Times New Roman" w:hAnsi="Times New Roman" w:cs="Times New Roman"/>
          <w:b/>
          <w:bCs/>
          <w:color w:val="auto"/>
          <w:sz w:val="24"/>
          <w:szCs w:val="24"/>
        </w:rPr>
        <w:t>Balancing Security and Safeguarding</w:t>
      </w:r>
      <w:bookmarkEnd w:id="8"/>
    </w:p>
    <w:p w14:paraId="7CD1220B" w14:textId="55C8AA4D" w:rsidR="00C30C6E" w:rsidRPr="00D8504F" w:rsidRDefault="007305E6" w:rsidP="00BB4B12">
      <w:pPr>
        <w:spacing w:line="480" w:lineRule="auto"/>
        <w:jc w:val="both"/>
        <w:rPr>
          <w:rFonts w:ascii="Times New Roman" w:hAnsi="Times New Roman" w:cs="Times New Roman"/>
        </w:rPr>
      </w:pPr>
      <w:r w:rsidRPr="00D8504F">
        <w:rPr>
          <w:rFonts w:ascii="Times New Roman" w:hAnsi="Times New Roman" w:cs="Times New Roman"/>
        </w:rPr>
        <w:t xml:space="preserve">Another challenge is the conflict between the </w:t>
      </w:r>
      <w:proofErr w:type="spellStart"/>
      <w:r w:rsidRPr="00D8504F">
        <w:rPr>
          <w:rFonts w:ascii="Times New Roman" w:hAnsi="Times New Roman" w:cs="Times New Roman"/>
        </w:rPr>
        <w:t>time-honored</w:t>
      </w:r>
      <w:proofErr w:type="spellEnd"/>
      <w:r w:rsidRPr="00D8504F">
        <w:rPr>
          <w:rFonts w:ascii="Times New Roman" w:hAnsi="Times New Roman" w:cs="Times New Roman"/>
        </w:rPr>
        <w:t xml:space="preserve"> counter-terrorism requirements and the protection spirit of Prevent. The researchers claim that the Prevent policing position has integrated the criminal justice and social protection aspects (RUSI, 2016). This is a problematic dual role: police participation can cause, according to some of the stakeholders, the criminalisation of vulnerability, instead of providing it (Al Jazeera, 2018). The question arises, is the police a facilitating helping or a forcing suspicious position? This uncertainty makes the operational decisions difficult and may ruin trust when members of a community see the police as agents of security and not agents of assistance. This duality has to be handled by the policymakers but it is a fact that in reality the literature records challenges in balancing the two</w:t>
      </w:r>
      <w:r w:rsidR="003E200B" w:rsidRPr="00D8504F">
        <w:rPr>
          <w:rFonts w:ascii="Times New Roman" w:hAnsi="Times New Roman" w:cs="Times New Roman"/>
        </w:rPr>
        <w:t xml:space="preserve"> (Staniforth, 2014).</w:t>
      </w:r>
    </w:p>
    <w:p w14:paraId="30AFA8EC" w14:textId="77777777" w:rsidR="00BB4B12" w:rsidRPr="00D8504F" w:rsidRDefault="00C30C6E" w:rsidP="00BB4B12">
      <w:pPr>
        <w:spacing w:line="480" w:lineRule="auto"/>
        <w:jc w:val="both"/>
        <w:rPr>
          <w:rStyle w:val="Heading1Char"/>
          <w:rFonts w:ascii="Times New Roman" w:hAnsi="Times New Roman" w:cs="Times New Roman"/>
          <w:b/>
          <w:bCs/>
          <w:color w:val="auto"/>
          <w:sz w:val="24"/>
          <w:szCs w:val="24"/>
        </w:rPr>
      </w:pPr>
      <w:bookmarkStart w:id="9" w:name="_Toc212123521"/>
      <w:r w:rsidRPr="00D8504F">
        <w:rPr>
          <w:rStyle w:val="Heading1Char"/>
          <w:rFonts w:ascii="Times New Roman" w:hAnsi="Times New Roman" w:cs="Times New Roman"/>
          <w:b/>
          <w:bCs/>
          <w:color w:val="auto"/>
          <w:sz w:val="24"/>
          <w:szCs w:val="24"/>
        </w:rPr>
        <w:t>Evolving Threats and Policy Reforms</w:t>
      </w:r>
      <w:bookmarkEnd w:id="9"/>
    </w:p>
    <w:p w14:paraId="7E13F0AF" w14:textId="52AED248" w:rsidR="00C30C6E" w:rsidRPr="00D8504F" w:rsidRDefault="00C30C6E" w:rsidP="00BB4B12">
      <w:pPr>
        <w:spacing w:line="480" w:lineRule="auto"/>
        <w:jc w:val="both"/>
        <w:rPr>
          <w:rFonts w:ascii="Times New Roman" w:hAnsi="Times New Roman" w:cs="Times New Roman"/>
        </w:rPr>
      </w:pPr>
      <w:r w:rsidRPr="00D8504F">
        <w:rPr>
          <w:rFonts w:ascii="Times New Roman" w:hAnsi="Times New Roman" w:cs="Times New Roman"/>
        </w:rPr>
        <w:t xml:space="preserve">The threat landscape for radicalisation has changed rapidly: online recruitment, far-right extremism, and mixed-ideology radicalisers challenge the traditional frameworks upon which Prevent was built. </w:t>
      </w:r>
      <w:r w:rsidR="007305E6" w:rsidRPr="00D8504F">
        <w:rPr>
          <w:rFonts w:ascii="Times New Roman" w:hAnsi="Times New Roman" w:cs="Times New Roman"/>
        </w:rPr>
        <w:t xml:space="preserve">The independent review of Prevent in 2023 indicated the necessity to adjust to </w:t>
      </w:r>
      <w:r w:rsidR="007305E6" w:rsidRPr="00D8504F">
        <w:rPr>
          <w:rFonts w:ascii="Times New Roman" w:hAnsi="Times New Roman" w:cs="Times New Roman"/>
        </w:rPr>
        <w:lastRenderedPageBreak/>
        <w:t>such changes (HM Government, 2023). Now the police forces need to integrate digital intelligence, address younger people who are influenced through social media, and have to work with emerging issues, like incel-style violence or extreme misogynism. A lot of forces continue to play catch up</w:t>
      </w:r>
      <w:r w:rsidR="003E200B" w:rsidRPr="00D8504F">
        <w:rPr>
          <w:rFonts w:ascii="Times New Roman" w:hAnsi="Times New Roman" w:cs="Times New Roman"/>
        </w:rPr>
        <w:t xml:space="preserve"> (Kaleem, 2022). </w:t>
      </w:r>
      <w:r w:rsidR="007305E6" w:rsidRPr="00D8504F">
        <w:rPr>
          <w:rFonts w:ascii="Times New Roman" w:hAnsi="Times New Roman" w:cs="Times New Roman"/>
        </w:rPr>
        <w:t>Enforcement of new instructions has been uneven and the quick rate of change imposes further pressure on the police. As Dresser (2019) emphasized, the existing factors that hinder collaboration and intervention in practice are understudied, which can allegedly indicate that the police forces are not kept pace with policy hopes.</w:t>
      </w:r>
    </w:p>
    <w:p w14:paraId="681954CD" w14:textId="1F5C6100" w:rsidR="007305E6" w:rsidRPr="00D8504F" w:rsidRDefault="00C30C6E" w:rsidP="00BB4B12">
      <w:pPr>
        <w:spacing w:line="480" w:lineRule="auto"/>
        <w:rPr>
          <w:rFonts w:ascii="Times New Roman" w:eastAsiaTheme="majorEastAsia" w:hAnsi="Times New Roman" w:cs="Times New Roman"/>
          <w:b/>
          <w:bCs/>
        </w:rPr>
      </w:pPr>
      <w:bookmarkStart w:id="10" w:name="_Toc212123522"/>
      <w:r w:rsidRPr="00D8504F">
        <w:rPr>
          <w:rStyle w:val="Heading1Char"/>
          <w:rFonts w:ascii="Times New Roman" w:hAnsi="Times New Roman" w:cs="Times New Roman"/>
          <w:b/>
          <w:bCs/>
          <w:color w:val="auto"/>
          <w:sz w:val="24"/>
          <w:szCs w:val="24"/>
        </w:rPr>
        <w:t>Critical Analysis and Synthesis</w:t>
      </w:r>
      <w:bookmarkEnd w:id="10"/>
      <w:r w:rsidRPr="00D8504F">
        <w:rPr>
          <w:rStyle w:val="Heading1Char"/>
          <w:rFonts w:ascii="Times New Roman" w:hAnsi="Times New Roman" w:cs="Times New Roman"/>
          <w:b/>
          <w:bCs/>
          <w:color w:val="auto"/>
          <w:sz w:val="24"/>
          <w:szCs w:val="24"/>
        </w:rPr>
        <w:br/>
      </w:r>
      <w:r w:rsidR="007305E6" w:rsidRPr="00D8504F">
        <w:rPr>
          <w:rFonts w:ascii="Times New Roman" w:hAnsi="Times New Roman" w:cs="Times New Roman"/>
        </w:rPr>
        <w:t>Based on the evidence, the role of the police forces in the UK in supporting Prevent is crucial and of operation. Their involvement in the referral activities, community relations and protection networks indicate conformity to strategy objectives. Nevertheless, in the literature, there are also lengthy and significant limitations. The disconnect between policy will and practice on the ground is apparent: the training is sporadic, the funding patchy and the legitimacy in communities is still shaky. Police-led Prevent efforts may thus be successful only to a limited degree.</w:t>
      </w:r>
    </w:p>
    <w:p w14:paraId="2ED7223A" w14:textId="77777777" w:rsidR="007305E6" w:rsidRPr="00D8504F" w:rsidRDefault="007305E6" w:rsidP="00BB4B12">
      <w:pPr>
        <w:spacing w:line="480" w:lineRule="auto"/>
        <w:jc w:val="both"/>
        <w:rPr>
          <w:rFonts w:ascii="Times New Roman" w:hAnsi="Times New Roman" w:cs="Times New Roman"/>
        </w:rPr>
      </w:pPr>
      <w:r w:rsidRPr="00D8504F">
        <w:rPr>
          <w:rFonts w:ascii="Times New Roman" w:hAnsi="Times New Roman" w:cs="Times New Roman"/>
        </w:rPr>
        <w:t>Further, the role of police as protectors and security providers puts them into an awkward situation. In a community where the policing aspect takes the lead, there is low trust of the community and in a community where the safeguarding aspect is inadequately re-invested, the early-intervention approach fails. According to the literature, to ensure that Prevent works best, the police have to be assisted with proper training, standard frameworks, and strong transparency to ensure legitimacy. Moreover, changing the pace to adapt to emerging threats should be quick and responsive to localities.</w:t>
      </w:r>
    </w:p>
    <w:p w14:paraId="5E0570F8" w14:textId="0E48D82D" w:rsidR="00C30C6E" w:rsidRPr="00D8504F" w:rsidRDefault="007305E6" w:rsidP="00BB4B12">
      <w:pPr>
        <w:spacing w:line="480" w:lineRule="auto"/>
        <w:jc w:val="both"/>
        <w:rPr>
          <w:rFonts w:ascii="Times New Roman" w:hAnsi="Times New Roman" w:cs="Times New Roman"/>
        </w:rPr>
      </w:pPr>
      <w:r w:rsidRPr="00D8504F">
        <w:rPr>
          <w:rFonts w:ascii="Times New Roman" w:hAnsi="Times New Roman" w:cs="Times New Roman"/>
        </w:rPr>
        <w:lastRenderedPageBreak/>
        <w:t>According to the literature in many regions, the system is a two-speed one: some police forces are vigorous in their Prevent provision, whereas the others are tetrahedron in their structural and cultural restrictiveness. In this way, the target of a well-functioning national Prevent infrastructure will just remain a dream. The future of police support of Prevent will be based on sealing these implementational gaps, enhancing data and assessment, and achieving genuine community collaboration.</w:t>
      </w:r>
    </w:p>
    <w:p w14:paraId="78B6356F" w14:textId="4D21C88B" w:rsidR="00C21CE5" w:rsidRPr="00D8504F" w:rsidRDefault="00317ECE" w:rsidP="00BB4B12">
      <w:pPr>
        <w:spacing w:line="480" w:lineRule="auto"/>
        <w:jc w:val="both"/>
        <w:rPr>
          <w:rFonts w:ascii="Times New Roman" w:hAnsi="Times New Roman" w:cs="Times New Roman"/>
        </w:rPr>
      </w:pPr>
      <w:r w:rsidRPr="00D8504F">
        <w:rPr>
          <w:rFonts w:ascii="Times New Roman" w:hAnsi="Times New Roman" w:cs="Times New Roman"/>
        </w:rPr>
        <w:t>Moreover</w:t>
      </w:r>
      <w:r w:rsidR="00C21CE5" w:rsidRPr="00D8504F">
        <w:rPr>
          <w:rFonts w:ascii="Times New Roman" w:hAnsi="Times New Roman" w:cs="Times New Roman"/>
        </w:rPr>
        <w:t>, the studies reviewed indicate that a strong collaboration between police and other partners is very crucial for the delivery of Prevent, which includes schools, community groups, and local authorities. Where such partnerships are in place with clarity of communication and agreement on objectives, outcomes tend to be better and more sustainable. On the other hand, poor coordination often leads to confusion, mistrust, and wasted effort. The effectiveness of Prevent is therefore dependent on both police capability and a coordinated approach that balances security goals with community trust.</w:t>
      </w:r>
    </w:p>
    <w:p w14:paraId="2FFB6BC5" w14:textId="0945A58F" w:rsidR="00BB4B12" w:rsidRPr="00D8504F" w:rsidRDefault="00C30C6E" w:rsidP="00BB4B12">
      <w:pPr>
        <w:spacing w:line="480" w:lineRule="auto"/>
        <w:jc w:val="both"/>
        <w:rPr>
          <w:rFonts w:ascii="Times New Roman" w:hAnsi="Times New Roman" w:cs="Times New Roman"/>
        </w:rPr>
      </w:pPr>
      <w:bookmarkStart w:id="11" w:name="_Toc212123523"/>
      <w:r w:rsidRPr="00D8504F">
        <w:rPr>
          <w:rStyle w:val="Heading1Char"/>
          <w:rFonts w:ascii="Times New Roman" w:hAnsi="Times New Roman" w:cs="Times New Roman"/>
          <w:b/>
          <w:bCs/>
          <w:color w:val="auto"/>
          <w:sz w:val="24"/>
          <w:szCs w:val="24"/>
        </w:rPr>
        <w:t>Conclusion</w:t>
      </w:r>
      <w:bookmarkEnd w:id="11"/>
      <w:r w:rsidRPr="00D8504F">
        <w:rPr>
          <w:rStyle w:val="Heading1Char"/>
          <w:rFonts w:ascii="Times New Roman" w:hAnsi="Times New Roman" w:cs="Times New Roman"/>
          <w:b/>
          <w:bCs/>
          <w:color w:val="auto"/>
          <w:sz w:val="24"/>
          <w:szCs w:val="24"/>
        </w:rPr>
        <w:br/>
      </w:r>
      <w:r w:rsidRPr="00D8504F">
        <w:rPr>
          <w:rFonts w:ascii="Times New Roman" w:hAnsi="Times New Roman" w:cs="Times New Roman"/>
        </w:rPr>
        <w:t xml:space="preserve">The Prevent strand of CONTEST assigns UK police forces a central preventive and safeguarding role. Evidence shows that policing agencies have succeeded in integrating into multi-agency referral frameworks, contributing to early-intervention efforts and safeguarding activities. Nevertheless, significant implementation challenges remain. Public trust issues, variable training and resources, the policing-safeguarding tension and an evolving threat landscape all constrain full effectiveness. For policing support of Prevent to realise its potential, there must be clearer role clarity, stronger community relationships and continued adaptation to new radicalisation dynamics. Ultimately, the success of Prevent depends not just on policy or policing structures, but </w:t>
      </w:r>
      <w:r w:rsidRPr="00D8504F">
        <w:rPr>
          <w:rFonts w:ascii="Times New Roman" w:hAnsi="Times New Roman" w:cs="Times New Roman"/>
        </w:rPr>
        <w:lastRenderedPageBreak/>
        <w:t>on the legitimacy of police presence in communities and the capacity to act swiftly and collaboratively in a changing security environment.</w:t>
      </w:r>
    </w:p>
    <w:p w14:paraId="3BDD3012" w14:textId="77777777" w:rsidR="001C0CE0" w:rsidRPr="00D8504F" w:rsidRDefault="001C0CE0" w:rsidP="00BB4B12">
      <w:pPr>
        <w:spacing w:line="480" w:lineRule="auto"/>
        <w:jc w:val="both"/>
        <w:rPr>
          <w:rFonts w:ascii="Times New Roman" w:hAnsi="Times New Roman" w:cs="Times New Roman"/>
        </w:rPr>
      </w:pPr>
    </w:p>
    <w:p w14:paraId="5B30EC15" w14:textId="77777777" w:rsidR="001C0CE0" w:rsidRPr="00D8504F" w:rsidRDefault="001C0CE0" w:rsidP="00BB4B12">
      <w:pPr>
        <w:spacing w:line="480" w:lineRule="auto"/>
        <w:jc w:val="both"/>
        <w:rPr>
          <w:rFonts w:ascii="Times New Roman" w:hAnsi="Times New Roman" w:cs="Times New Roman"/>
        </w:rPr>
      </w:pPr>
    </w:p>
    <w:p w14:paraId="71EB3505" w14:textId="77777777" w:rsidR="001C0CE0" w:rsidRPr="00D8504F" w:rsidRDefault="001C0CE0" w:rsidP="00BB4B12">
      <w:pPr>
        <w:spacing w:line="480" w:lineRule="auto"/>
        <w:jc w:val="both"/>
        <w:rPr>
          <w:rFonts w:ascii="Times New Roman" w:hAnsi="Times New Roman" w:cs="Times New Roman"/>
        </w:rPr>
      </w:pPr>
    </w:p>
    <w:p w14:paraId="4F6C01A9" w14:textId="77777777" w:rsidR="001C0CE0" w:rsidRPr="00D8504F" w:rsidRDefault="001C0CE0" w:rsidP="00BB4B12">
      <w:pPr>
        <w:spacing w:line="480" w:lineRule="auto"/>
        <w:jc w:val="both"/>
        <w:rPr>
          <w:rFonts w:ascii="Times New Roman" w:hAnsi="Times New Roman" w:cs="Times New Roman"/>
        </w:rPr>
      </w:pPr>
    </w:p>
    <w:p w14:paraId="47B1B859" w14:textId="77777777" w:rsidR="001C0CE0" w:rsidRPr="00D8504F" w:rsidRDefault="001C0CE0" w:rsidP="00BB4B12">
      <w:pPr>
        <w:spacing w:line="480" w:lineRule="auto"/>
        <w:jc w:val="both"/>
        <w:rPr>
          <w:rFonts w:ascii="Times New Roman" w:hAnsi="Times New Roman" w:cs="Times New Roman"/>
        </w:rPr>
      </w:pPr>
    </w:p>
    <w:p w14:paraId="1F2517C1" w14:textId="77777777" w:rsidR="001C0CE0" w:rsidRPr="00D8504F" w:rsidRDefault="001C0CE0" w:rsidP="00BB4B12">
      <w:pPr>
        <w:spacing w:line="480" w:lineRule="auto"/>
        <w:jc w:val="both"/>
        <w:rPr>
          <w:rFonts w:ascii="Times New Roman" w:hAnsi="Times New Roman" w:cs="Times New Roman"/>
        </w:rPr>
      </w:pPr>
    </w:p>
    <w:p w14:paraId="25CF201C" w14:textId="77777777" w:rsidR="001C0CE0" w:rsidRPr="00D8504F" w:rsidRDefault="001C0CE0" w:rsidP="00BB4B12">
      <w:pPr>
        <w:spacing w:line="480" w:lineRule="auto"/>
        <w:jc w:val="both"/>
        <w:rPr>
          <w:rFonts w:ascii="Times New Roman" w:hAnsi="Times New Roman" w:cs="Times New Roman"/>
        </w:rPr>
      </w:pPr>
    </w:p>
    <w:p w14:paraId="3534C1B4" w14:textId="77777777" w:rsidR="001C0CE0" w:rsidRPr="00D8504F" w:rsidRDefault="001C0CE0" w:rsidP="00BB4B12">
      <w:pPr>
        <w:spacing w:line="480" w:lineRule="auto"/>
        <w:jc w:val="both"/>
        <w:rPr>
          <w:rFonts w:ascii="Times New Roman" w:hAnsi="Times New Roman" w:cs="Times New Roman"/>
        </w:rPr>
      </w:pPr>
    </w:p>
    <w:p w14:paraId="4D9A842B" w14:textId="77777777" w:rsidR="001C0CE0" w:rsidRPr="00D8504F" w:rsidRDefault="001C0CE0" w:rsidP="00BB4B12">
      <w:pPr>
        <w:spacing w:line="480" w:lineRule="auto"/>
        <w:jc w:val="both"/>
        <w:rPr>
          <w:rFonts w:ascii="Times New Roman" w:hAnsi="Times New Roman" w:cs="Times New Roman"/>
        </w:rPr>
      </w:pPr>
    </w:p>
    <w:p w14:paraId="6C8182BC" w14:textId="77777777" w:rsidR="001C0CE0" w:rsidRPr="00D8504F" w:rsidRDefault="001C0CE0" w:rsidP="00BB4B12">
      <w:pPr>
        <w:spacing w:line="480" w:lineRule="auto"/>
        <w:jc w:val="both"/>
        <w:rPr>
          <w:rFonts w:ascii="Times New Roman" w:hAnsi="Times New Roman" w:cs="Times New Roman"/>
        </w:rPr>
      </w:pPr>
    </w:p>
    <w:p w14:paraId="37B6A885" w14:textId="77777777" w:rsidR="001C0CE0" w:rsidRPr="00D8504F" w:rsidRDefault="001C0CE0" w:rsidP="00BB4B12">
      <w:pPr>
        <w:spacing w:line="480" w:lineRule="auto"/>
        <w:jc w:val="both"/>
        <w:rPr>
          <w:rFonts w:ascii="Times New Roman" w:hAnsi="Times New Roman" w:cs="Times New Roman"/>
        </w:rPr>
      </w:pPr>
    </w:p>
    <w:p w14:paraId="0C7ABAFC" w14:textId="77777777" w:rsidR="001C0CE0" w:rsidRPr="00D8504F" w:rsidRDefault="001C0CE0" w:rsidP="00BB4B12">
      <w:pPr>
        <w:spacing w:line="480" w:lineRule="auto"/>
        <w:jc w:val="both"/>
        <w:rPr>
          <w:rFonts w:ascii="Times New Roman" w:hAnsi="Times New Roman" w:cs="Times New Roman"/>
        </w:rPr>
      </w:pPr>
    </w:p>
    <w:p w14:paraId="2D688006" w14:textId="77777777" w:rsidR="001C0CE0" w:rsidRPr="00D8504F" w:rsidRDefault="001C0CE0" w:rsidP="00BB4B12">
      <w:pPr>
        <w:spacing w:line="480" w:lineRule="auto"/>
        <w:jc w:val="both"/>
        <w:rPr>
          <w:rFonts w:ascii="Times New Roman" w:hAnsi="Times New Roman" w:cs="Times New Roman"/>
        </w:rPr>
      </w:pPr>
    </w:p>
    <w:p w14:paraId="746377B3" w14:textId="77777777" w:rsidR="001C0CE0" w:rsidRPr="00D8504F" w:rsidRDefault="001C0CE0" w:rsidP="00BB4B12">
      <w:pPr>
        <w:spacing w:line="480" w:lineRule="auto"/>
        <w:jc w:val="both"/>
        <w:rPr>
          <w:rFonts w:ascii="Times New Roman" w:hAnsi="Times New Roman" w:cs="Times New Roman"/>
        </w:rPr>
      </w:pPr>
    </w:p>
    <w:p w14:paraId="6724CFD2" w14:textId="77777777" w:rsidR="001C0CE0" w:rsidRPr="00D8504F" w:rsidRDefault="001C0CE0" w:rsidP="00BB4B12">
      <w:pPr>
        <w:spacing w:line="480" w:lineRule="auto"/>
        <w:jc w:val="both"/>
        <w:rPr>
          <w:rFonts w:ascii="Times New Roman" w:hAnsi="Times New Roman" w:cs="Times New Roman"/>
        </w:rPr>
      </w:pPr>
    </w:p>
    <w:p w14:paraId="24F652B8" w14:textId="373821CA" w:rsidR="00A43081" w:rsidRPr="00D8504F" w:rsidRDefault="00C30C6E" w:rsidP="00343AF2">
      <w:pPr>
        <w:pStyle w:val="Heading1"/>
        <w:spacing w:line="480" w:lineRule="auto"/>
        <w:rPr>
          <w:rFonts w:ascii="Times New Roman" w:hAnsi="Times New Roman" w:cs="Times New Roman"/>
          <w:b/>
          <w:bCs/>
          <w:color w:val="auto"/>
          <w:sz w:val="24"/>
          <w:szCs w:val="24"/>
        </w:rPr>
      </w:pPr>
      <w:bookmarkStart w:id="12" w:name="_Toc212123524"/>
      <w:r w:rsidRPr="00D8504F">
        <w:rPr>
          <w:rFonts w:ascii="Times New Roman" w:hAnsi="Times New Roman" w:cs="Times New Roman"/>
          <w:b/>
          <w:bCs/>
          <w:color w:val="auto"/>
          <w:sz w:val="24"/>
          <w:szCs w:val="24"/>
        </w:rPr>
        <w:lastRenderedPageBreak/>
        <w:t>Reference List</w:t>
      </w:r>
      <w:bookmarkEnd w:id="12"/>
    </w:p>
    <w:bookmarkEnd w:id="0"/>
    <w:p w14:paraId="67954367"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Awan, I. (2016) ‘Islamophobia, policy and Prevent: Implications for British Muslims’, </w:t>
      </w:r>
      <w:r w:rsidRPr="00D8504F">
        <w:rPr>
          <w:rFonts w:ascii="Times New Roman" w:hAnsi="Times New Roman" w:cs="Times New Roman"/>
          <w:i/>
          <w:iCs/>
        </w:rPr>
        <w:t>Politics &amp; Policy</w:t>
      </w:r>
      <w:r w:rsidRPr="00D8504F">
        <w:rPr>
          <w:rFonts w:ascii="Times New Roman" w:hAnsi="Times New Roman" w:cs="Times New Roman"/>
        </w:rPr>
        <w:t>, 44(2), pp. 233–256.</w:t>
      </w:r>
    </w:p>
    <w:p w14:paraId="6447BCCE"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Awan, I. and Blakemore, B. (eds) (2013) </w:t>
      </w:r>
      <w:r w:rsidRPr="00D8504F">
        <w:rPr>
          <w:rFonts w:ascii="Times New Roman" w:hAnsi="Times New Roman" w:cs="Times New Roman"/>
          <w:i/>
          <w:iCs/>
        </w:rPr>
        <w:t>Extremism, counter-terrorism and policing</w:t>
      </w:r>
      <w:r w:rsidRPr="00D8504F">
        <w:rPr>
          <w:rFonts w:ascii="Times New Roman" w:hAnsi="Times New Roman" w:cs="Times New Roman"/>
        </w:rPr>
        <w:t>. Abingdon: Routledge.</w:t>
      </w:r>
    </w:p>
    <w:p w14:paraId="2F230460"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‘Community policing and preventing extremism’ (2015) London: Henry Jackson Society.</w:t>
      </w:r>
    </w:p>
    <w:p w14:paraId="6D6BB309"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Counter-Terrorism Policing UK (2024) ‘Prevent: What we do’. Available at: </w:t>
      </w:r>
      <w:hyperlink r:id="rId9" w:tgtFrame="_new" w:history="1">
        <w:r w:rsidRPr="00D8504F">
          <w:rPr>
            <w:rStyle w:val="Hyperlink"/>
            <w:rFonts w:ascii="Times New Roman" w:hAnsi="Times New Roman" w:cs="Times New Roman"/>
          </w:rPr>
          <w:t>https://www.counterterrorism.police.uk/what-we-do/prevent/</w:t>
        </w:r>
      </w:hyperlink>
      <w:r w:rsidRPr="00D8504F">
        <w:rPr>
          <w:rFonts w:ascii="Times New Roman" w:hAnsi="Times New Roman" w:cs="Times New Roman"/>
        </w:rPr>
        <w:t xml:space="preserve"> (Accessed: 22 October 2025).</w:t>
      </w:r>
    </w:p>
    <w:p w14:paraId="57C04A24"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Dresser, P. (2019) ‘Prevent policing in practice – the need for evidence-based research’, </w:t>
      </w:r>
      <w:r w:rsidRPr="00D8504F">
        <w:rPr>
          <w:rFonts w:ascii="Times New Roman" w:hAnsi="Times New Roman" w:cs="Times New Roman"/>
          <w:i/>
          <w:iCs/>
        </w:rPr>
        <w:t>Policing: A Journal of Policy and Practice</w:t>
      </w:r>
      <w:r w:rsidRPr="00D8504F">
        <w:rPr>
          <w:rFonts w:ascii="Times New Roman" w:hAnsi="Times New Roman" w:cs="Times New Roman"/>
        </w:rPr>
        <w:t>, 15(2), pp. 716–726.</w:t>
      </w:r>
    </w:p>
    <w:p w14:paraId="06E93A3F"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Donkin, S. (2014) </w:t>
      </w:r>
      <w:r w:rsidRPr="00D8504F">
        <w:rPr>
          <w:rFonts w:ascii="Times New Roman" w:hAnsi="Times New Roman" w:cs="Times New Roman"/>
          <w:i/>
          <w:iCs/>
        </w:rPr>
        <w:t>Preventing terrorism and controlling risk: A comparative analysis of control orders in the UK and Australia</w:t>
      </w:r>
      <w:r w:rsidRPr="00D8504F">
        <w:rPr>
          <w:rFonts w:ascii="Times New Roman" w:hAnsi="Times New Roman" w:cs="Times New Roman"/>
        </w:rPr>
        <w:t>. New York: Springer.</w:t>
      </w:r>
    </w:p>
    <w:p w14:paraId="3C6C3D55"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HM Government (2023) </w:t>
      </w:r>
      <w:r w:rsidRPr="00D8504F">
        <w:rPr>
          <w:rFonts w:ascii="Times New Roman" w:hAnsi="Times New Roman" w:cs="Times New Roman"/>
          <w:i/>
          <w:iCs/>
        </w:rPr>
        <w:t>Lessons for Prevent</w:t>
      </w:r>
      <w:r w:rsidRPr="00D8504F">
        <w:rPr>
          <w:rFonts w:ascii="Times New Roman" w:hAnsi="Times New Roman" w:cs="Times New Roman"/>
        </w:rPr>
        <w:t>. London: HMSO.</w:t>
      </w:r>
    </w:p>
    <w:p w14:paraId="1F79B36F"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Heath-Kelly, C. (2017) ‘The geography of pre-criminal space: Epidemiological imaginations of radicalisation risk in the UK Prevent strategy, 2007–2017’, </w:t>
      </w:r>
      <w:r w:rsidRPr="00D8504F">
        <w:rPr>
          <w:rFonts w:ascii="Times New Roman" w:hAnsi="Times New Roman" w:cs="Times New Roman"/>
          <w:i/>
          <w:iCs/>
        </w:rPr>
        <w:t>Critical Studies on Terrorism</w:t>
      </w:r>
      <w:r w:rsidRPr="00D8504F">
        <w:rPr>
          <w:rFonts w:ascii="Times New Roman" w:hAnsi="Times New Roman" w:cs="Times New Roman"/>
        </w:rPr>
        <w:t>, 10(2), pp. 297–319.</w:t>
      </w:r>
    </w:p>
    <w:p w14:paraId="1AE55CBA"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Innes, M., Roberts, C. and Innes, H. (2011) </w:t>
      </w:r>
      <w:r w:rsidRPr="00D8504F">
        <w:rPr>
          <w:rFonts w:ascii="Times New Roman" w:hAnsi="Times New Roman" w:cs="Times New Roman"/>
          <w:i/>
          <w:iCs/>
        </w:rPr>
        <w:t>Assessing the effects of Prevent policing</w:t>
      </w:r>
      <w:r w:rsidRPr="00D8504F">
        <w:rPr>
          <w:rFonts w:ascii="Times New Roman" w:hAnsi="Times New Roman" w:cs="Times New Roman"/>
        </w:rPr>
        <w:t>. Cardiff: Universities’ Police Science Institute.</w:t>
      </w:r>
    </w:p>
    <w:p w14:paraId="6C231645"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Innes, M., Roberts, C. and Lowe, T. (2024) ‘A disruptive influence? “Prevent-</w:t>
      </w:r>
      <w:proofErr w:type="spellStart"/>
      <w:r w:rsidRPr="00D8504F">
        <w:rPr>
          <w:rFonts w:ascii="Times New Roman" w:hAnsi="Times New Roman" w:cs="Times New Roman"/>
        </w:rPr>
        <w:t>ing</w:t>
      </w:r>
      <w:proofErr w:type="spellEnd"/>
      <w:r w:rsidRPr="00D8504F">
        <w:rPr>
          <w:rFonts w:ascii="Times New Roman" w:hAnsi="Times New Roman" w:cs="Times New Roman"/>
        </w:rPr>
        <w:t xml:space="preserve">” problems and countering violent extremism policy in practice’, </w:t>
      </w:r>
      <w:r w:rsidRPr="00D8504F">
        <w:rPr>
          <w:rFonts w:ascii="Times New Roman" w:hAnsi="Times New Roman" w:cs="Times New Roman"/>
          <w:i/>
          <w:iCs/>
        </w:rPr>
        <w:t>Law &amp; Society Review</w:t>
      </w:r>
      <w:r w:rsidRPr="00D8504F">
        <w:rPr>
          <w:rFonts w:ascii="Times New Roman" w:hAnsi="Times New Roman" w:cs="Times New Roman"/>
        </w:rPr>
        <w:t xml:space="preserve">. Available at: </w:t>
      </w:r>
      <w:hyperlink r:id="rId10" w:tgtFrame="_new" w:history="1">
        <w:r w:rsidRPr="00D8504F">
          <w:rPr>
            <w:rStyle w:val="Hyperlink"/>
            <w:rFonts w:ascii="Times New Roman" w:hAnsi="Times New Roman" w:cs="Times New Roman"/>
          </w:rPr>
          <w:t>https://www.cambridge.org/core/journals/law-and-society-review</w:t>
        </w:r>
      </w:hyperlink>
      <w:r w:rsidRPr="00D8504F">
        <w:rPr>
          <w:rFonts w:ascii="Times New Roman" w:hAnsi="Times New Roman" w:cs="Times New Roman"/>
        </w:rPr>
        <w:t xml:space="preserve"> (Accessed: 22 October 2025).</w:t>
      </w:r>
    </w:p>
    <w:p w14:paraId="191A58F1"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Jarvis, T., Macdonald, R. and Whiting, K. (2024) </w:t>
      </w:r>
      <w:r w:rsidRPr="00D8504F">
        <w:rPr>
          <w:rFonts w:ascii="Times New Roman" w:hAnsi="Times New Roman" w:cs="Times New Roman"/>
          <w:i/>
          <w:iCs/>
        </w:rPr>
        <w:t>Radicalisation, counter-radicalisation and Prevent</w:t>
      </w:r>
      <w:r w:rsidRPr="00D8504F">
        <w:rPr>
          <w:rFonts w:ascii="Times New Roman" w:hAnsi="Times New Roman" w:cs="Times New Roman"/>
        </w:rPr>
        <w:t>. Manchester: Manchester University Press.</w:t>
      </w:r>
    </w:p>
    <w:p w14:paraId="22D2E367"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Kaleem, A. (2022) ‘The hegemony of Prevent: Turning counter-terrorism policing into common sense’, </w:t>
      </w:r>
      <w:r w:rsidRPr="00D8504F">
        <w:rPr>
          <w:rFonts w:ascii="Times New Roman" w:hAnsi="Times New Roman" w:cs="Times New Roman"/>
          <w:i/>
          <w:iCs/>
        </w:rPr>
        <w:t>Critical Social Policy</w:t>
      </w:r>
      <w:r w:rsidRPr="00D8504F">
        <w:rPr>
          <w:rFonts w:ascii="Times New Roman" w:hAnsi="Times New Roman" w:cs="Times New Roman"/>
        </w:rPr>
        <w:t>, 42(3), pp. 472–489.</w:t>
      </w:r>
    </w:p>
    <w:p w14:paraId="0F6AB5B2"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Lamb, J.B. (2014) ‘Gendered counter-terrorism? The potential impact of police officer perceptions of Prevent policing’, </w:t>
      </w:r>
      <w:proofErr w:type="spellStart"/>
      <w:r w:rsidRPr="00D8504F">
        <w:rPr>
          <w:rFonts w:ascii="Times New Roman" w:hAnsi="Times New Roman" w:cs="Times New Roman"/>
          <w:i/>
          <w:iCs/>
        </w:rPr>
        <w:t>Behavioral</w:t>
      </w:r>
      <w:proofErr w:type="spellEnd"/>
      <w:r w:rsidRPr="00D8504F">
        <w:rPr>
          <w:rFonts w:ascii="Times New Roman" w:hAnsi="Times New Roman" w:cs="Times New Roman"/>
          <w:i/>
          <w:iCs/>
        </w:rPr>
        <w:t xml:space="preserve"> Sciences of Terrorism and Political Aggression</w:t>
      </w:r>
      <w:r w:rsidRPr="00D8504F">
        <w:rPr>
          <w:rFonts w:ascii="Times New Roman" w:hAnsi="Times New Roman" w:cs="Times New Roman"/>
        </w:rPr>
        <w:t>, 6(3), pp. 183–194.</w:t>
      </w:r>
    </w:p>
    <w:p w14:paraId="0BC927E3"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Police Foundation (2024) </w:t>
      </w:r>
      <w:r w:rsidRPr="00D8504F">
        <w:rPr>
          <w:rFonts w:ascii="Times New Roman" w:hAnsi="Times New Roman" w:cs="Times New Roman"/>
          <w:i/>
          <w:iCs/>
        </w:rPr>
        <w:t>What is the preventative role of the police?</w:t>
      </w:r>
      <w:r w:rsidRPr="00D8504F">
        <w:rPr>
          <w:rFonts w:ascii="Times New Roman" w:hAnsi="Times New Roman" w:cs="Times New Roman"/>
        </w:rPr>
        <w:t xml:space="preserve"> London: The Police Foundation.</w:t>
      </w:r>
    </w:p>
    <w:p w14:paraId="3F0BE81C"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Royal United Services Institute (RUSI) (2016) </w:t>
      </w:r>
      <w:r w:rsidRPr="00D8504F">
        <w:rPr>
          <w:rFonts w:ascii="Times New Roman" w:hAnsi="Times New Roman" w:cs="Times New Roman"/>
          <w:i/>
          <w:iCs/>
        </w:rPr>
        <w:t>Preventing violent extremism: Responsibilities and failures in the police and probation services</w:t>
      </w:r>
      <w:r w:rsidRPr="00D8504F">
        <w:rPr>
          <w:rFonts w:ascii="Times New Roman" w:hAnsi="Times New Roman" w:cs="Times New Roman"/>
        </w:rPr>
        <w:t>. London: RUSI.</w:t>
      </w:r>
    </w:p>
    <w:p w14:paraId="46D4604D"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Spalek, B. (ed.) (2012) </w:t>
      </w:r>
      <w:r w:rsidRPr="00D8504F">
        <w:rPr>
          <w:rFonts w:ascii="Times New Roman" w:hAnsi="Times New Roman" w:cs="Times New Roman"/>
          <w:i/>
          <w:iCs/>
        </w:rPr>
        <w:t>Counter-terrorism: Community-based approaches to preventing terror crime</w:t>
      </w:r>
      <w:r w:rsidRPr="00D8504F">
        <w:rPr>
          <w:rFonts w:ascii="Times New Roman" w:hAnsi="Times New Roman" w:cs="Times New Roman"/>
        </w:rPr>
        <w:t>. London: Palgrave Macmillan.</w:t>
      </w:r>
    </w:p>
    <w:p w14:paraId="5C7F338D"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Spalek, B. (2013) </w:t>
      </w:r>
      <w:r w:rsidRPr="00D8504F">
        <w:rPr>
          <w:rFonts w:ascii="Times New Roman" w:hAnsi="Times New Roman" w:cs="Times New Roman"/>
          <w:i/>
          <w:iCs/>
        </w:rPr>
        <w:t>Terror crime prevention with communities</w:t>
      </w:r>
      <w:r w:rsidRPr="00D8504F">
        <w:rPr>
          <w:rFonts w:ascii="Times New Roman" w:hAnsi="Times New Roman" w:cs="Times New Roman"/>
        </w:rPr>
        <w:t>. London: Bloomsbury.</w:t>
      </w:r>
    </w:p>
    <w:p w14:paraId="16E9904D"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Staniforth, A. (2014) </w:t>
      </w:r>
      <w:r w:rsidRPr="00D8504F">
        <w:rPr>
          <w:rFonts w:ascii="Times New Roman" w:hAnsi="Times New Roman" w:cs="Times New Roman"/>
          <w:i/>
          <w:iCs/>
        </w:rPr>
        <w:t>Preventing terrorism and violent extremism</w:t>
      </w:r>
      <w:r w:rsidRPr="00D8504F">
        <w:rPr>
          <w:rFonts w:ascii="Times New Roman" w:hAnsi="Times New Roman" w:cs="Times New Roman"/>
        </w:rPr>
        <w:t>. London: John Wiley &amp; Sons.</w:t>
      </w:r>
    </w:p>
    <w:p w14:paraId="195198EA" w14:textId="77777777" w:rsidR="00D3087B" w:rsidRPr="00D8504F" w:rsidRDefault="00D3087B" w:rsidP="00D3087B">
      <w:pPr>
        <w:spacing w:line="480" w:lineRule="auto"/>
        <w:ind w:left="720" w:hanging="720"/>
        <w:rPr>
          <w:rFonts w:ascii="Times New Roman" w:hAnsi="Times New Roman" w:cs="Times New Roman"/>
        </w:rPr>
      </w:pPr>
      <w:r w:rsidRPr="00D8504F">
        <w:rPr>
          <w:rFonts w:ascii="Times New Roman" w:hAnsi="Times New Roman" w:cs="Times New Roman"/>
        </w:rPr>
        <w:t xml:space="preserve">HM Government (2022) </w:t>
      </w:r>
      <w:r w:rsidRPr="00D8504F">
        <w:rPr>
          <w:rFonts w:ascii="Times New Roman" w:hAnsi="Times New Roman" w:cs="Times New Roman"/>
          <w:i/>
          <w:iCs/>
        </w:rPr>
        <w:t>Prevent strategy</w:t>
      </w:r>
      <w:r w:rsidRPr="00D8504F">
        <w:rPr>
          <w:rFonts w:ascii="Times New Roman" w:hAnsi="Times New Roman" w:cs="Times New Roman"/>
        </w:rPr>
        <w:t>. London: Agenda Publishing.</w:t>
      </w:r>
    </w:p>
    <w:p w14:paraId="76E869D8" w14:textId="0CE43AE7" w:rsidR="00155ABD" w:rsidRPr="00D3087B" w:rsidRDefault="00D3087B" w:rsidP="00D3087B">
      <w:pPr>
        <w:spacing w:line="480" w:lineRule="auto"/>
        <w:ind w:left="720" w:hanging="720"/>
        <w:rPr>
          <w:rFonts w:ascii="Times New Roman" w:hAnsi="Times New Roman" w:cs="Times New Roman"/>
          <w:lang w:val="ro-RO"/>
        </w:rPr>
      </w:pPr>
      <w:r w:rsidRPr="00D8504F">
        <w:rPr>
          <w:rFonts w:ascii="Times New Roman" w:hAnsi="Times New Roman" w:cs="Times New Roman"/>
        </w:rPr>
        <w:t xml:space="preserve">Wray, L. (2020) </w:t>
      </w:r>
      <w:r w:rsidRPr="00D8504F">
        <w:rPr>
          <w:rFonts w:ascii="Times New Roman" w:hAnsi="Times New Roman" w:cs="Times New Roman"/>
          <w:i/>
          <w:iCs/>
        </w:rPr>
        <w:t>The role of neighbourhood policing in preventing extremism</w:t>
      </w:r>
      <w:r w:rsidRPr="00D8504F">
        <w:rPr>
          <w:rFonts w:ascii="Times New Roman" w:hAnsi="Times New Roman" w:cs="Times New Roman"/>
        </w:rPr>
        <w:t>. Doctoral thesis. University of Huddersfield.</w:t>
      </w:r>
    </w:p>
    <w:sectPr w:rsidR="00155ABD" w:rsidRPr="00D3087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B1B8B" w14:textId="77777777" w:rsidR="000922D1" w:rsidRPr="00D8504F" w:rsidRDefault="000922D1" w:rsidP="000B4F5B">
      <w:pPr>
        <w:spacing w:after="0" w:line="240" w:lineRule="auto"/>
      </w:pPr>
      <w:r w:rsidRPr="00D8504F">
        <w:separator/>
      </w:r>
    </w:p>
  </w:endnote>
  <w:endnote w:type="continuationSeparator" w:id="0">
    <w:p w14:paraId="30FCBC9B" w14:textId="77777777" w:rsidR="000922D1" w:rsidRPr="00D8504F" w:rsidRDefault="000922D1" w:rsidP="000B4F5B">
      <w:pPr>
        <w:spacing w:after="0" w:line="240" w:lineRule="auto"/>
      </w:pPr>
      <w:r w:rsidRPr="00D850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305C2" w14:textId="77777777" w:rsidR="000922D1" w:rsidRPr="00D8504F" w:rsidRDefault="000922D1" w:rsidP="000B4F5B">
      <w:pPr>
        <w:spacing w:after="0" w:line="240" w:lineRule="auto"/>
      </w:pPr>
      <w:r w:rsidRPr="00D8504F">
        <w:separator/>
      </w:r>
    </w:p>
  </w:footnote>
  <w:footnote w:type="continuationSeparator" w:id="0">
    <w:p w14:paraId="36D5C7A7" w14:textId="77777777" w:rsidR="000922D1" w:rsidRPr="00D8504F" w:rsidRDefault="000922D1" w:rsidP="000B4F5B">
      <w:pPr>
        <w:spacing w:after="0" w:line="240" w:lineRule="auto"/>
      </w:pPr>
      <w:r w:rsidRPr="00D8504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9824688"/>
      <w:docPartObj>
        <w:docPartGallery w:val="Page Numbers (Top of Page)"/>
        <w:docPartUnique/>
      </w:docPartObj>
    </w:sdtPr>
    <w:sdtContent>
      <w:p w14:paraId="46800A1D" w14:textId="55685BC7" w:rsidR="000B4F5B" w:rsidRPr="00D8504F" w:rsidRDefault="000B4F5B">
        <w:pPr>
          <w:pStyle w:val="Header"/>
          <w:jc w:val="right"/>
        </w:pPr>
        <w:r w:rsidRPr="00D8504F">
          <w:fldChar w:fldCharType="begin"/>
        </w:r>
        <w:r w:rsidRPr="00D8504F">
          <w:instrText xml:space="preserve"> PAGE   \* MERGEFORMAT </w:instrText>
        </w:r>
        <w:r w:rsidRPr="00D8504F">
          <w:fldChar w:fldCharType="separate"/>
        </w:r>
        <w:r w:rsidRPr="00D8504F">
          <w:t>2</w:t>
        </w:r>
        <w:r w:rsidRPr="00D8504F">
          <w:fldChar w:fldCharType="end"/>
        </w:r>
      </w:p>
    </w:sdtContent>
  </w:sdt>
  <w:p w14:paraId="46984063" w14:textId="77777777" w:rsidR="000B4F5B" w:rsidRPr="00D8504F" w:rsidRDefault="000B4F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B5018"/>
    <w:multiLevelType w:val="multilevel"/>
    <w:tmpl w:val="BE044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13696A"/>
    <w:multiLevelType w:val="multilevel"/>
    <w:tmpl w:val="B112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61077"/>
    <w:multiLevelType w:val="multilevel"/>
    <w:tmpl w:val="AF48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942A0"/>
    <w:multiLevelType w:val="multilevel"/>
    <w:tmpl w:val="8604DD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0002D"/>
    <w:multiLevelType w:val="multilevel"/>
    <w:tmpl w:val="B2F4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8A74E6"/>
    <w:multiLevelType w:val="multilevel"/>
    <w:tmpl w:val="FE9C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E5922"/>
    <w:multiLevelType w:val="multilevel"/>
    <w:tmpl w:val="55DC2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6714D3"/>
    <w:multiLevelType w:val="multilevel"/>
    <w:tmpl w:val="351C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5071BA"/>
    <w:multiLevelType w:val="multilevel"/>
    <w:tmpl w:val="8166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711109"/>
    <w:multiLevelType w:val="multilevel"/>
    <w:tmpl w:val="56EC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5D1473"/>
    <w:multiLevelType w:val="multilevel"/>
    <w:tmpl w:val="7E70E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C550C4"/>
    <w:multiLevelType w:val="multilevel"/>
    <w:tmpl w:val="6AB2C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8549798">
    <w:abstractNumId w:val="8"/>
  </w:num>
  <w:num w:numId="2" w16cid:durableId="1382828202">
    <w:abstractNumId w:val="4"/>
  </w:num>
  <w:num w:numId="3" w16cid:durableId="1639258510">
    <w:abstractNumId w:val="5"/>
  </w:num>
  <w:num w:numId="4" w16cid:durableId="1492982167">
    <w:abstractNumId w:val="2"/>
  </w:num>
  <w:num w:numId="5" w16cid:durableId="843470607">
    <w:abstractNumId w:val="10"/>
  </w:num>
  <w:num w:numId="6" w16cid:durableId="1308045979">
    <w:abstractNumId w:val="9"/>
  </w:num>
  <w:num w:numId="7" w16cid:durableId="117798630">
    <w:abstractNumId w:val="11"/>
  </w:num>
  <w:num w:numId="8" w16cid:durableId="195168039">
    <w:abstractNumId w:val="7"/>
  </w:num>
  <w:num w:numId="9" w16cid:durableId="28260083">
    <w:abstractNumId w:val="0"/>
  </w:num>
  <w:num w:numId="10" w16cid:durableId="2003461034">
    <w:abstractNumId w:val="3"/>
  </w:num>
  <w:num w:numId="11" w16cid:durableId="1644121120">
    <w:abstractNumId w:val="1"/>
  </w:num>
  <w:num w:numId="12" w16cid:durableId="19602545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B75"/>
    <w:rsid w:val="00035988"/>
    <w:rsid w:val="00084624"/>
    <w:rsid w:val="000922D1"/>
    <w:rsid w:val="000B4F5B"/>
    <w:rsid w:val="000D23CE"/>
    <w:rsid w:val="00122832"/>
    <w:rsid w:val="00155ABD"/>
    <w:rsid w:val="001C0CE0"/>
    <w:rsid w:val="001F0254"/>
    <w:rsid w:val="002633F5"/>
    <w:rsid w:val="002862F0"/>
    <w:rsid w:val="002C6103"/>
    <w:rsid w:val="002F6B7E"/>
    <w:rsid w:val="00307B75"/>
    <w:rsid w:val="00317ECE"/>
    <w:rsid w:val="0033659A"/>
    <w:rsid w:val="00343AF2"/>
    <w:rsid w:val="003B686C"/>
    <w:rsid w:val="003C6175"/>
    <w:rsid w:val="003E200B"/>
    <w:rsid w:val="0040581B"/>
    <w:rsid w:val="00475366"/>
    <w:rsid w:val="004D635F"/>
    <w:rsid w:val="005246AB"/>
    <w:rsid w:val="00556254"/>
    <w:rsid w:val="006067DE"/>
    <w:rsid w:val="00641527"/>
    <w:rsid w:val="00645B42"/>
    <w:rsid w:val="0068001B"/>
    <w:rsid w:val="00692E32"/>
    <w:rsid w:val="006E3476"/>
    <w:rsid w:val="007305E6"/>
    <w:rsid w:val="007D68F3"/>
    <w:rsid w:val="008037CF"/>
    <w:rsid w:val="00816B4F"/>
    <w:rsid w:val="00A11265"/>
    <w:rsid w:val="00A43081"/>
    <w:rsid w:val="00A77AB3"/>
    <w:rsid w:val="00B42BDD"/>
    <w:rsid w:val="00BB4B12"/>
    <w:rsid w:val="00BF4A7E"/>
    <w:rsid w:val="00BF58CF"/>
    <w:rsid w:val="00C03BAF"/>
    <w:rsid w:val="00C21CE5"/>
    <w:rsid w:val="00C30C6E"/>
    <w:rsid w:val="00D3087B"/>
    <w:rsid w:val="00D34EA1"/>
    <w:rsid w:val="00D8504F"/>
    <w:rsid w:val="00DB60FB"/>
    <w:rsid w:val="00E100AD"/>
    <w:rsid w:val="00E540EA"/>
    <w:rsid w:val="00E61DB1"/>
    <w:rsid w:val="00EC63E6"/>
    <w:rsid w:val="00F04448"/>
    <w:rsid w:val="00F158B2"/>
    <w:rsid w:val="00F81818"/>
    <w:rsid w:val="00FD0C78"/>
    <w:rsid w:val="00FD5AAB"/>
    <w:rsid w:val="00FE1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3D024"/>
  <w15:chartTrackingRefBased/>
  <w15:docId w15:val="{CB0E39A7-292D-4DAF-B048-3F7D8A15F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07B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07B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07B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7B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7B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7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B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07B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07B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7B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7B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7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B75"/>
    <w:rPr>
      <w:rFonts w:eastAsiaTheme="majorEastAsia" w:cstheme="majorBidi"/>
      <w:color w:val="272727" w:themeColor="text1" w:themeTint="D8"/>
    </w:rPr>
  </w:style>
  <w:style w:type="paragraph" w:styleId="Title">
    <w:name w:val="Title"/>
    <w:basedOn w:val="Normal"/>
    <w:next w:val="Normal"/>
    <w:link w:val="TitleChar"/>
    <w:uiPriority w:val="10"/>
    <w:qFormat/>
    <w:rsid w:val="00307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B75"/>
    <w:pPr>
      <w:spacing w:before="160"/>
      <w:jc w:val="center"/>
    </w:pPr>
    <w:rPr>
      <w:i/>
      <w:iCs/>
      <w:color w:val="404040" w:themeColor="text1" w:themeTint="BF"/>
    </w:rPr>
  </w:style>
  <w:style w:type="character" w:customStyle="1" w:styleId="QuoteChar">
    <w:name w:val="Quote Char"/>
    <w:basedOn w:val="DefaultParagraphFont"/>
    <w:link w:val="Quote"/>
    <w:uiPriority w:val="29"/>
    <w:rsid w:val="00307B75"/>
    <w:rPr>
      <w:i/>
      <w:iCs/>
      <w:color w:val="404040" w:themeColor="text1" w:themeTint="BF"/>
    </w:rPr>
  </w:style>
  <w:style w:type="paragraph" w:styleId="ListParagraph">
    <w:name w:val="List Paragraph"/>
    <w:basedOn w:val="Normal"/>
    <w:uiPriority w:val="34"/>
    <w:qFormat/>
    <w:rsid w:val="00307B75"/>
    <w:pPr>
      <w:ind w:left="720"/>
      <w:contextualSpacing/>
    </w:pPr>
  </w:style>
  <w:style w:type="character" w:styleId="IntenseEmphasis">
    <w:name w:val="Intense Emphasis"/>
    <w:basedOn w:val="DefaultParagraphFont"/>
    <w:uiPriority w:val="21"/>
    <w:qFormat/>
    <w:rsid w:val="00307B75"/>
    <w:rPr>
      <w:i/>
      <w:iCs/>
      <w:color w:val="2F5496" w:themeColor="accent1" w:themeShade="BF"/>
    </w:rPr>
  </w:style>
  <w:style w:type="paragraph" w:styleId="IntenseQuote">
    <w:name w:val="Intense Quote"/>
    <w:basedOn w:val="Normal"/>
    <w:next w:val="Normal"/>
    <w:link w:val="IntenseQuoteChar"/>
    <w:uiPriority w:val="30"/>
    <w:qFormat/>
    <w:rsid w:val="00307B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7B75"/>
    <w:rPr>
      <w:i/>
      <w:iCs/>
      <w:color w:val="2F5496" w:themeColor="accent1" w:themeShade="BF"/>
    </w:rPr>
  </w:style>
  <w:style w:type="character" w:styleId="IntenseReference">
    <w:name w:val="Intense Reference"/>
    <w:basedOn w:val="DefaultParagraphFont"/>
    <w:uiPriority w:val="32"/>
    <w:qFormat/>
    <w:rsid w:val="00307B75"/>
    <w:rPr>
      <w:b/>
      <w:bCs/>
      <w:smallCaps/>
      <w:color w:val="2F5496" w:themeColor="accent1" w:themeShade="BF"/>
      <w:spacing w:val="5"/>
    </w:rPr>
  </w:style>
  <w:style w:type="character" w:styleId="Hyperlink">
    <w:name w:val="Hyperlink"/>
    <w:basedOn w:val="DefaultParagraphFont"/>
    <w:uiPriority w:val="99"/>
    <w:unhideWhenUsed/>
    <w:rsid w:val="000B4F5B"/>
    <w:rPr>
      <w:color w:val="0563C1" w:themeColor="hyperlink"/>
      <w:u w:val="single"/>
    </w:rPr>
  </w:style>
  <w:style w:type="character" w:styleId="UnresolvedMention">
    <w:name w:val="Unresolved Mention"/>
    <w:basedOn w:val="DefaultParagraphFont"/>
    <w:uiPriority w:val="99"/>
    <w:semiHidden/>
    <w:unhideWhenUsed/>
    <w:rsid w:val="000B4F5B"/>
    <w:rPr>
      <w:color w:val="605E5C"/>
      <w:shd w:val="clear" w:color="auto" w:fill="E1DFDD"/>
    </w:rPr>
  </w:style>
  <w:style w:type="paragraph" w:styleId="Header">
    <w:name w:val="header"/>
    <w:basedOn w:val="Normal"/>
    <w:link w:val="HeaderChar"/>
    <w:uiPriority w:val="99"/>
    <w:unhideWhenUsed/>
    <w:rsid w:val="000B4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F5B"/>
  </w:style>
  <w:style w:type="paragraph" w:styleId="Footer">
    <w:name w:val="footer"/>
    <w:basedOn w:val="Normal"/>
    <w:link w:val="FooterChar"/>
    <w:uiPriority w:val="99"/>
    <w:unhideWhenUsed/>
    <w:rsid w:val="000B4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F5B"/>
  </w:style>
  <w:style w:type="table" w:styleId="TableGrid">
    <w:name w:val="Table Grid"/>
    <w:basedOn w:val="TableNormal"/>
    <w:uiPriority w:val="39"/>
    <w:rsid w:val="00DB60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659A"/>
    <w:rPr>
      <w:rFonts w:ascii="Times New Roman" w:hAnsi="Times New Roman" w:cs="Times New Roman"/>
    </w:rPr>
  </w:style>
  <w:style w:type="paragraph" w:styleId="TOC1">
    <w:name w:val="toc 1"/>
    <w:basedOn w:val="Normal"/>
    <w:next w:val="Normal"/>
    <w:autoRedefine/>
    <w:uiPriority w:val="39"/>
    <w:unhideWhenUsed/>
    <w:rsid w:val="00343AF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448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cambridge.org/core/journals/law-and-society-review" TargetMode="External"/><Relationship Id="rId4" Type="http://schemas.openxmlformats.org/officeDocument/2006/relationships/settings" Target="settings.xml"/><Relationship Id="rId9" Type="http://schemas.openxmlformats.org/officeDocument/2006/relationships/hyperlink" Target="https://www.counterterrorism.police.uk/what-we-do/pr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887EE-1826-4213-B2C6-6BDA1EAF1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Pages>
  <Words>2537</Words>
  <Characters>14720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Innovation Fountain</dc:creator>
  <cp:keywords/>
  <dc:description/>
  <cp:lastModifiedBy>GOGULASCOALA</cp:lastModifiedBy>
  <cp:revision>12</cp:revision>
  <dcterms:created xsi:type="dcterms:W3CDTF">2025-10-24T03:34:00Z</dcterms:created>
  <dcterms:modified xsi:type="dcterms:W3CDTF">2025-10-30T09:24:00Z</dcterms:modified>
</cp:coreProperties>
</file>