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97C" w:rsidRDefault="004E09CE">
      <w:pPr>
        <w:rPr>
          <w:sz w:val="24"/>
          <w:szCs w:val="24"/>
        </w:rPr>
      </w:pPr>
      <w:r w:rsidRPr="004E09CE">
        <w:rPr>
          <w:sz w:val="24"/>
          <w:szCs w:val="24"/>
        </w:rPr>
        <w:t xml:space="preserve">There is a belief among the British public that the law in relation to non-fatal offences against the person is no longer “fit for purpose” and is in need of reform. The main law used for non-fatal offences is the Offences </w:t>
      </w:r>
      <w:r>
        <w:rPr>
          <w:sz w:val="24"/>
          <w:szCs w:val="24"/>
        </w:rPr>
        <w:t>A</w:t>
      </w:r>
      <w:r w:rsidRPr="004E09CE">
        <w:rPr>
          <w:sz w:val="24"/>
          <w:szCs w:val="24"/>
        </w:rPr>
        <w:t>gainst the Person Act 1861</w:t>
      </w:r>
      <w:r>
        <w:rPr>
          <w:sz w:val="24"/>
          <w:szCs w:val="24"/>
        </w:rPr>
        <w:t xml:space="preserve"> (OAPA). There are some out there that disagree and think the </w:t>
      </w:r>
      <w:r w:rsidR="009F217F" w:rsidRPr="009F217F">
        <w:rPr>
          <w:sz w:val="24"/>
          <w:szCs w:val="24"/>
        </w:rPr>
        <w:t xml:space="preserve">Offences Against the Person </w:t>
      </w:r>
      <w:r w:rsidR="005A0B27">
        <w:rPr>
          <w:sz w:val="24"/>
          <w:szCs w:val="24"/>
        </w:rPr>
        <w:t>is satisfactory. T</w:t>
      </w:r>
      <w:r>
        <w:rPr>
          <w:sz w:val="24"/>
          <w:szCs w:val="24"/>
        </w:rPr>
        <w:t xml:space="preserve">his essay will set out to explain the current laws under the </w:t>
      </w:r>
      <w:r w:rsidR="009F217F" w:rsidRPr="009F217F">
        <w:rPr>
          <w:sz w:val="24"/>
          <w:szCs w:val="24"/>
        </w:rPr>
        <w:t xml:space="preserve">Offences Against the Person </w:t>
      </w:r>
      <w:r>
        <w:rPr>
          <w:sz w:val="24"/>
          <w:szCs w:val="24"/>
        </w:rPr>
        <w:t xml:space="preserve">in relation to assault, battery, malicious wounding, intending to or causing </w:t>
      </w:r>
      <w:r w:rsidR="009445D6">
        <w:rPr>
          <w:sz w:val="24"/>
          <w:szCs w:val="24"/>
        </w:rPr>
        <w:t>Actual Bodily Harm (</w:t>
      </w:r>
      <w:r w:rsidR="005D6C24">
        <w:rPr>
          <w:sz w:val="24"/>
          <w:szCs w:val="24"/>
        </w:rPr>
        <w:t>ABH</w:t>
      </w:r>
      <w:r w:rsidR="009445D6">
        <w:rPr>
          <w:sz w:val="24"/>
          <w:szCs w:val="24"/>
        </w:rPr>
        <w:t xml:space="preserve">), </w:t>
      </w:r>
      <w:r>
        <w:rPr>
          <w:sz w:val="24"/>
          <w:szCs w:val="24"/>
        </w:rPr>
        <w:t>Serious Bodily Harm (</w:t>
      </w:r>
      <w:r w:rsidR="00E85396">
        <w:rPr>
          <w:sz w:val="24"/>
          <w:szCs w:val="24"/>
        </w:rPr>
        <w:t>SBH)</w:t>
      </w:r>
      <w:r>
        <w:rPr>
          <w:sz w:val="24"/>
          <w:szCs w:val="24"/>
        </w:rPr>
        <w:t xml:space="preserve"> or Grievous Bodily Harm (GBH)</w:t>
      </w:r>
      <w:r w:rsidR="005A0B27">
        <w:rPr>
          <w:sz w:val="24"/>
          <w:szCs w:val="24"/>
        </w:rPr>
        <w:t xml:space="preserve">, whether or not the act is effective and whether or not the </w:t>
      </w:r>
      <w:r w:rsidR="009F217F" w:rsidRPr="009F217F">
        <w:rPr>
          <w:sz w:val="24"/>
          <w:szCs w:val="24"/>
        </w:rPr>
        <w:t xml:space="preserve">Offences Against the Person </w:t>
      </w:r>
      <w:r w:rsidR="005A0B27">
        <w:rPr>
          <w:sz w:val="24"/>
          <w:szCs w:val="24"/>
        </w:rPr>
        <w:t>is fit for purpose within modern society or whether it is in need of reform due to it being “outdated, unclear and structurally ineffective”.</w:t>
      </w:r>
    </w:p>
    <w:p w:rsidR="006054AF" w:rsidRDefault="005A0B27">
      <w:pPr>
        <w:rPr>
          <w:sz w:val="24"/>
          <w:szCs w:val="24"/>
        </w:rPr>
      </w:pPr>
      <w:r>
        <w:rPr>
          <w:sz w:val="24"/>
          <w:szCs w:val="24"/>
        </w:rPr>
        <w:t xml:space="preserve">First we need to set out what the </w:t>
      </w:r>
      <w:r w:rsidR="00A44433" w:rsidRPr="004E09CE">
        <w:rPr>
          <w:sz w:val="24"/>
          <w:szCs w:val="24"/>
        </w:rPr>
        <w:t xml:space="preserve">Offences </w:t>
      </w:r>
      <w:r w:rsidR="00A44433">
        <w:rPr>
          <w:sz w:val="24"/>
          <w:szCs w:val="24"/>
        </w:rPr>
        <w:t>A</w:t>
      </w:r>
      <w:r w:rsidR="00A44433" w:rsidRPr="004E09CE">
        <w:rPr>
          <w:sz w:val="24"/>
          <w:szCs w:val="24"/>
        </w:rPr>
        <w:t xml:space="preserve">gainst the Person </w:t>
      </w:r>
      <w:r>
        <w:rPr>
          <w:sz w:val="24"/>
          <w:szCs w:val="24"/>
        </w:rPr>
        <w:t>explains about non-fatal offences.</w:t>
      </w:r>
      <w:r w:rsidR="00EA3AA4">
        <w:rPr>
          <w:sz w:val="24"/>
          <w:szCs w:val="24"/>
        </w:rPr>
        <w:t xml:space="preserve"> The </w:t>
      </w:r>
      <w:r w:rsidR="002318BF">
        <w:rPr>
          <w:sz w:val="24"/>
          <w:szCs w:val="24"/>
        </w:rPr>
        <w:t xml:space="preserve">Offences </w:t>
      </w:r>
      <w:proofErr w:type="gramStart"/>
      <w:r w:rsidR="002318BF">
        <w:rPr>
          <w:sz w:val="24"/>
          <w:szCs w:val="24"/>
        </w:rPr>
        <w:t>Against</w:t>
      </w:r>
      <w:proofErr w:type="gramEnd"/>
      <w:r w:rsidR="002318BF">
        <w:rPr>
          <w:sz w:val="24"/>
          <w:szCs w:val="24"/>
        </w:rPr>
        <w:t xml:space="preserve"> the Person Act</w:t>
      </w:r>
      <w:r w:rsidR="002318BF">
        <w:rPr>
          <w:sz w:val="24"/>
          <w:szCs w:val="24"/>
        </w:rPr>
        <w:t xml:space="preserve"> </w:t>
      </w:r>
      <w:r w:rsidR="00EA3AA4">
        <w:rPr>
          <w:sz w:val="24"/>
          <w:szCs w:val="24"/>
        </w:rPr>
        <w:t>provides two offences of assault: common assault and battery. Common assault</w:t>
      </w:r>
      <w:r w:rsidR="001E7260">
        <w:rPr>
          <w:sz w:val="24"/>
          <w:szCs w:val="24"/>
        </w:rPr>
        <w:t xml:space="preserve"> a common law offence and</w:t>
      </w:r>
      <w:r w:rsidR="00EA3AA4">
        <w:rPr>
          <w:sz w:val="24"/>
          <w:szCs w:val="24"/>
        </w:rPr>
        <w:t xml:space="preserve"> is when a person intentionally or recklessly cause</w:t>
      </w:r>
      <w:r w:rsidR="00540600">
        <w:rPr>
          <w:sz w:val="24"/>
          <w:szCs w:val="24"/>
        </w:rPr>
        <w:t>s</w:t>
      </w:r>
      <w:r w:rsidR="00EA3AA4">
        <w:rPr>
          <w:sz w:val="24"/>
          <w:szCs w:val="24"/>
        </w:rPr>
        <w:t xml:space="preserve"> another person to apprehend immediate and unlawful personal violence. Violence</w:t>
      </w:r>
      <w:r w:rsidR="007D1F61">
        <w:rPr>
          <w:sz w:val="24"/>
          <w:szCs w:val="24"/>
        </w:rPr>
        <w:t xml:space="preserve"> means any unlawful touching. </w:t>
      </w:r>
      <w:r w:rsidR="002F27E2" w:rsidRPr="00AE470B">
        <w:rPr>
          <w:b/>
          <w:sz w:val="24"/>
          <w:szCs w:val="24"/>
        </w:rPr>
        <w:t>(Offences Against The Person Act 1861, Section 47)</w:t>
      </w:r>
      <w:r w:rsidR="002F27E2">
        <w:rPr>
          <w:sz w:val="24"/>
          <w:szCs w:val="24"/>
        </w:rPr>
        <w:t xml:space="preserve"> </w:t>
      </w:r>
      <w:r w:rsidR="002F27E2" w:rsidRPr="002F27E2">
        <w:rPr>
          <w:sz w:val="24"/>
          <w:szCs w:val="24"/>
        </w:rPr>
        <w:t>This is the</w:t>
      </w:r>
      <w:r w:rsidR="002F27E2">
        <w:rPr>
          <w:sz w:val="24"/>
          <w:szCs w:val="24"/>
        </w:rPr>
        <w:t xml:space="preserve"> least </w:t>
      </w:r>
      <w:r w:rsidR="004D0377">
        <w:rPr>
          <w:sz w:val="24"/>
          <w:szCs w:val="24"/>
        </w:rPr>
        <w:t xml:space="preserve">serious offence, one example of a case is R vs </w:t>
      </w:r>
      <w:r w:rsidR="004D0377" w:rsidRPr="004D0377">
        <w:rPr>
          <w:sz w:val="24"/>
          <w:szCs w:val="24"/>
        </w:rPr>
        <w:t>Gaetano Constanza</w:t>
      </w:r>
      <w:r w:rsidR="00CB7168" w:rsidRPr="00FE0185">
        <w:rPr>
          <w:sz w:val="24"/>
          <w:szCs w:val="24"/>
        </w:rPr>
        <w:t>,</w:t>
      </w:r>
      <w:r w:rsidR="00CB7168">
        <w:rPr>
          <w:b/>
          <w:sz w:val="24"/>
          <w:szCs w:val="24"/>
        </w:rPr>
        <w:t xml:space="preserve"> </w:t>
      </w:r>
      <w:r w:rsidR="00CB7168" w:rsidRPr="00CB7168">
        <w:rPr>
          <w:sz w:val="24"/>
          <w:szCs w:val="24"/>
        </w:rPr>
        <w:t>the case</w:t>
      </w:r>
      <w:r w:rsidR="00CB7168">
        <w:rPr>
          <w:b/>
          <w:sz w:val="24"/>
          <w:szCs w:val="24"/>
        </w:rPr>
        <w:t xml:space="preserve"> </w:t>
      </w:r>
      <w:r w:rsidR="00CB7168" w:rsidRPr="00CB7168">
        <w:rPr>
          <w:sz w:val="24"/>
          <w:szCs w:val="24"/>
        </w:rPr>
        <w:t>also established a legal precedent</w:t>
      </w:r>
      <w:r w:rsidR="00CB7168">
        <w:rPr>
          <w:sz w:val="24"/>
          <w:szCs w:val="24"/>
        </w:rPr>
        <w:t xml:space="preserve"> of “causing another person to apprehend immediate and unlawful personal violence” which </w:t>
      </w:r>
      <w:r w:rsidR="002B473F">
        <w:rPr>
          <w:sz w:val="24"/>
          <w:szCs w:val="24"/>
        </w:rPr>
        <w:t>was</w:t>
      </w:r>
      <w:r w:rsidR="00CB7168">
        <w:rPr>
          <w:sz w:val="24"/>
          <w:szCs w:val="24"/>
        </w:rPr>
        <w:t xml:space="preserve"> mentioned few sentences</w:t>
      </w:r>
      <w:r w:rsidR="002B473F">
        <w:rPr>
          <w:sz w:val="24"/>
          <w:szCs w:val="24"/>
        </w:rPr>
        <w:t xml:space="preserve"> back</w:t>
      </w:r>
      <w:r w:rsidR="00CB7168">
        <w:rPr>
          <w:sz w:val="24"/>
          <w:szCs w:val="24"/>
        </w:rPr>
        <w:t xml:space="preserve"> as part of assault definition.</w:t>
      </w:r>
      <w:r w:rsidR="006F34EB">
        <w:rPr>
          <w:sz w:val="24"/>
          <w:szCs w:val="24"/>
        </w:rPr>
        <w:t xml:space="preserve"> In </w:t>
      </w:r>
      <w:r w:rsidR="006F34EB" w:rsidRPr="006F34EB">
        <w:rPr>
          <w:sz w:val="24"/>
          <w:szCs w:val="24"/>
        </w:rPr>
        <w:t xml:space="preserve">R. v Constanza </w:t>
      </w:r>
      <w:r w:rsidR="006F34EB">
        <w:rPr>
          <w:sz w:val="24"/>
          <w:szCs w:val="24"/>
        </w:rPr>
        <w:t>t</w:t>
      </w:r>
      <w:r w:rsidR="006F34EB" w:rsidRPr="006F34EB">
        <w:rPr>
          <w:sz w:val="24"/>
          <w:szCs w:val="24"/>
        </w:rPr>
        <w:t>he defendant mounted a campaign of hate against an ex-work collea</w:t>
      </w:r>
      <w:r w:rsidR="006F34EB">
        <w:rPr>
          <w:sz w:val="24"/>
          <w:szCs w:val="24"/>
        </w:rPr>
        <w:t xml:space="preserve">gue over a period of 20 months, who sent </w:t>
      </w:r>
      <w:r w:rsidR="006F34EB" w:rsidRPr="006F34EB">
        <w:rPr>
          <w:sz w:val="24"/>
          <w:szCs w:val="24"/>
        </w:rPr>
        <w:t>over 800 threatening letters, would follow her home, wrote offensive word on her front door, drove past her house, stole items from her washing line. As a result she suffered clinical depression. The defendant contended that words alone could not amount to an assault and that the letters could not amount to an assault as there was no immediacy.</w:t>
      </w:r>
      <w:r w:rsidR="005E302C">
        <w:rPr>
          <w:sz w:val="24"/>
          <w:szCs w:val="24"/>
        </w:rPr>
        <w:t xml:space="preserve"> </w:t>
      </w:r>
      <w:r w:rsidR="006F34EB" w:rsidRPr="006F34EB">
        <w:rPr>
          <w:sz w:val="24"/>
          <w:szCs w:val="24"/>
        </w:rPr>
        <w:t>The defendant's conviction was upheld.</w:t>
      </w:r>
      <w:r w:rsidR="006F34EB">
        <w:rPr>
          <w:sz w:val="24"/>
          <w:szCs w:val="24"/>
        </w:rPr>
        <w:t xml:space="preserve"> </w:t>
      </w:r>
      <w:r w:rsidR="006F34EB" w:rsidRPr="006F34EB">
        <w:rPr>
          <w:sz w:val="24"/>
          <w:szCs w:val="24"/>
        </w:rPr>
        <w:t>The jury were entitled in the circumstances to find that immediacy was present and words can amount to an assault.</w:t>
      </w:r>
      <w:r w:rsidR="00333082">
        <w:rPr>
          <w:sz w:val="24"/>
          <w:szCs w:val="24"/>
        </w:rPr>
        <w:t xml:space="preserve"> Thus setting a new precedent that “words can amount to assault”</w:t>
      </w:r>
      <w:r w:rsidR="006F34EB" w:rsidRPr="006F34EB">
        <w:rPr>
          <w:sz w:val="24"/>
          <w:szCs w:val="24"/>
        </w:rPr>
        <w:t xml:space="preserve"> </w:t>
      </w:r>
      <w:r w:rsidR="00FE0185" w:rsidRPr="00697B0D">
        <w:rPr>
          <w:b/>
          <w:sz w:val="24"/>
          <w:szCs w:val="24"/>
        </w:rPr>
        <w:t>(</w:t>
      </w:r>
      <w:r w:rsidR="00FE0185" w:rsidRPr="004D0377">
        <w:rPr>
          <w:b/>
          <w:sz w:val="24"/>
          <w:szCs w:val="24"/>
        </w:rPr>
        <w:t>R. v Constanza [1997]</w:t>
      </w:r>
      <w:r w:rsidR="00FE0185" w:rsidRPr="00697B0D">
        <w:rPr>
          <w:b/>
          <w:sz w:val="24"/>
          <w:szCs w:val="24"/>
        </w:rPr>
        <w:t>)</w:t>
      </w:r>
    </w:p>
    <w:p w:rsidR="006054AF" w:rsidRPr="000C34F7" w:rsidRDefault="006054AF">
      <w:pPr>
        <w:rPr>
          <w:b/>
          <w:sz w:val="24"/>
          <w:szCs w:val="24"/>
        </w:rPr>
      </w:pPr>
      <w:r>
        <w:rPr>
          <w:sz w:val="24"/>
          <w:szCs w:val="24"/>
        </w:rPr>
        <w:t xml:space="preserve">The other offence of assault that’s also a common law offence is Battery. </w:t>
      </w:r>
      <w:r w:rsidR="00AA574B">
        <w:rPr>
          <w:sz w:val="24"/>
          <w:szCs w:val="24"/>
        </w:rPr>
        <w:t xml:space="preserve">Unlike assault, actual contact is needed between the victim and defendant but did not result in an injury, this offence is known as “unlawful touching”, and both offences obtain a maximum sentence of six months in prison. </w:t>
      </w:r>
      <w:r w:rsidR="0001626A" w:rsidRPr="00E4494A">
        <w:rPr>
          <w:b/>
          <w:sz w:val="24"/>
          <w:szCs w:val="24"/>
        </w:rPr>
        <w:t>(</w:t>
      </w:r>
      <w:r w:rsidR="0001626A" w:rsidRPr="00011A9D">
        <w:rPr>
          <w:b/>
          <w:sz w:val="24"/>
          <w:szCs w:val="24"/>
        </w:rPr>
        <w:t>Reform of Offences against the Person</w:t>
      </w:r>
      <w:r w:rsidR="00011A9D" w:rsidRPr="00011A9D">
        <w:rPr>
          <w:b/>
          <w:sz w:val="24"/>
          <w:szCs w:val="24"/>
        </w:rPr>
        <w:t>. Law Commission</w:t>
      </w:r>
      <w:r w:rsidR="00011A9D" w:rsidRPr="00E4494A">
        <w:rPr>
          <w:b/>
          <w:sz w:val="24"/>
          <w:szCs w:val="24"/>
        </w:rPr>
        <w:t>)</w:t>
      </w:r>
      <w:r w:rsidR="002B429D">
        <w:rPr>
          <w:sz w:val="24"/>
          <w:szCs w:val="24"/>
        </w:rPr>
        <w:t xml:space="preserve">. </w:t>
      </w:r>
      <w:r w:rsidR="005D7327">
        <w:rPr>
          <w:sz w:val="24"/>
          <w:szCs w:val="24"/>
        </w:rPr>
        <w:t>The next offence is Assault Occasioning ABH (Actual Bodily Harm)</w:t>
      </w:r>
      <w:r w:rsidR="00FE0185">
        <w:rPr>
          <w:sz w:val="24"/>
          <w:szCs w:val="24"/>
        </w:rPr>
        <w:t xml:space="preserve"> under Section 47, which is when a person</w:t>
      </w:r>
      <w:r w:rsidR="00C046BC">
        <w:rPr>
          <w:sz w:val="24"/>
          <w:szCs w:val="24"/>
        </w:rPr>
        <w:t xml:space="preserve"> commits</w:t>
      </w:r>
      <w:r w:rsidR="00FE0185">
        <w:rPr>
          <w:sz w:val="24"/>
          <w:szCs w:val="24"/>
        </w:rPr>
        <w:t xml:space="preserve"> </w:t>
      </w:r>
      <w:r w:rsidR="00C046BC">
        <w:rPr>
          <w:sz w:val="24"/>
          <w:szCs w:val="24"/>
        </w:rPr>
        <w:t xml:space="preserve">assault or battery that caused the victim to suffer of </w:t>
      </w:r>
      <w:r w:rsidR="002318BF">
        <w:rPr>
          <w:sz w:val="24"/>
          <w:szCs w:val="24"/>
        </w:rPr>
        <w:t>Actual Bodily Harm</w:t>
      </w:r>
      <w:r w:rsidR="00C046BC">
        <w:rPr>
          <w:sz w:val="24"/>
          <w:szCs w:val="24"/>
        </w:rPr>
        <w:t>, it must be proved that the assault “occasioned” (which means caused) bodily harm.</w:t>
      </w:r>
      <w:r w:rsidR="00A30648">
        <w:rPr>
          <w:sz w:val="24"/>
          <w:szCs w:val="24"/>
        </w:rPr>
        <w:t xml:space="preserve"> The more serious offences is malicious wounding and Grievous Bodily Harm (GBH), “malicious wounding” means deliberately inflicting a </w:t>
      </w:r>
      <w:r w:rsidR="008A30CB">
        <w:rPr>
          <w:sz w:val="24"/>
          <w:szCs w:val="24"/>
        </w:rPr>
        <w:t>“</w:t>
      </w:r>
      <w:r w:rsidR="00A30648">
        <w:rPr>
          <w:sz w:val="24"/>
          <w:szCs w:val="24"/>
        </w:rPr>
        <w:t>broken skin</w:t>
      </w:r>
      <w:r w:rsidR="008A30CB">
        <w:rPr>
          <w:sz w:val="24"/>
          <w:szCs w:val="24"/>
        </w:rPr>
        <w:t>”</w:t>
      </w:r>
      <w:r w:rsidR="00A30648">
        <w:rPr>
          <w:sz w:val="24"/>
          <w:szCs w:val="24"/>
        </w:rPr>
        <w:t xml:space="preserve"> (internally or externally) another person. </w:t>
      </w:r>
      <w:r w:rsidR="002318BF">
        <w:rPr>
          <w:sz w:val="24"/>
          <w:szCs w:val="24"/>
        </w:rPr>
        <w:t xml:space="preserve">Grievous Bodily Harm </w:t>
      </w:r>
      <w:r w:rsidR="00A30648">
        <w:rPr>
          <w:sz w:val="24"/>
          <w:szCs w:val="24"/>
        </w:rPr>
        <w:t>is the most serious form of harm (such as a broken limb</w:t>
      </w:r>
      <w:r w:rsidR="003057D0">
        <w:rPr>
          <w:sz w:val="24"/>
          <w:szCs w:val="24"/>
        </w:rPr>
        <w:t xml:space="preserve"> or </w:t>
      </w:r>
      <w:r w:rsidR="003057D0" w:rsidRPr="003057D0">
        <w:rPr>
          <w:sz w:val="24"/>
          <w:szCs w:val="24"/>
        </w:rPr>
        <w:t>psychiatric injury</w:t>
      </w:r>
      <w:r w:rsidR="00A30648">
        <w:rPr>
          <w:sz w:val="24"/>
          <w:szCs w:val="24"/>
        </w:rPr>
        <w:t>)</w:t>
      </w:r>
      <w:r w:rsidR="000C34F7">
        <w:rPr>
          <w:sz w:val="24"/>
          <w:szCs w:val="24"/>
        </w:rPr>
        <w:t xml:space="preserve">, a case law example of </w:t>
      </w:r>
      <w:r w:rsidR="002318BF">
        <w:rPr>
          <w:sz w:val="24"/>
          <w:szCs w:val="24"/>
        </w:rPr>
        <w:t xml:space="preserve">Grievous Bodily Harm </w:t>
      </w:r>
      <w:r w:rsidR="000C34F7">
        <w:rPr>
          <w:sz w:val="24"/>
          <w:szCs w:val="24"/>
        </w:rPr>
        <w:t xml:space="preserve">is DPP v Smith what happened was a </w:t>
      </w:r>
      <w:r w:rsidR="000C34F7" w:rsidRPr="000C34F7">
        <w:rPr>
          <w:sz w:val="24"/>
          <w:szCs w:val="24"/>
        </w:rPr>
        <w:t xml:space="preserve">policeman tried to stop the defendant from driving off with stolen goods by jumping on to the bonnet of the car. The defendant drove off at speed and zigzagged in order to get the police office off the car. The defendant argued he did not intend to harm the policeman. The policeman was knocked onto the path of an oncoming car and killed. </w:t>
      </w:r>
      <w:r w:rsidR="00932BF2">
        <w:rPr>
          <w:sz w:val="24"/>
          <w:szCs w:val="24"/>
        </w:rPr>
        <w:t xml:space="preserve">The case set a precedent on what </w:t>
      </w:r>
      <w:r w:rsidR="002318BF">
        <w:rPr>
          <w:sz w:val="24"/>
          <w:szCs w:val="24"/>
        </w:rPr>
        <w:t xml:space="preserve">Grievous Bodily Harm </w:t>
      </w:r>
      <w:r w:rsidR="00932BF2">
        <w:rPr>
          <w:sz w:val="24"/>
          <w:szCs w:val="24"/>
        </w:rPr>
        <w:t xml:space="preserve">means </w:t>
      </w:r>
      <w:r w:rsidR="000C34F7" w:rsidRPr="000C34F7">
        <w:rPr>
          <w:b/>
          <w:sz w:val="24"/>
          <w:szCs w:val="24"/>
        </w:rPr>
        <w:t xml:space="preserve">(DPP v Smith </w:t>
      </w:r>
      <w:r w:rsidR="000C34F7" w:rsidRPr="000C34F7">
        <w:rPr>
          <w:b/>
          <w:sz w:val="24"/>
          <w:szCs w:val="24"/>
        </w:rPr>
        <w:lastRenderedPageBreak/>
        <w:t>[1961])</w:t>
      </w:r>
      <w:r w:rsidR="00ED6341">
        <w:rPr>
          <w:b/>
          <w:sz w:val="24"/>
          <w:szCs w:val="24"/>
        </w:rPr>
        <w:t xml:space="preserve">. </w:t>
      </w:r>
      <w:r w:rsidR="00932BF2" w:rsidRPr="00932BF2">
        <w:rPr>
          <w:sz w:val="24"/>
          <w:szCs w:val="24"/>
        </w:rPr>
        <w:t>If the victim is particularly vulnerable, the jury is entitled to take this into account when assessing if the injury is really serious</w:t>
      </w:r>
      <w:r w:rsidR="00932BF2">
        <w:rPr>
          <w:sz w:val="24"/>
          <w:szCs w:val="24"/>
        </w:rPr>
        <w:t xml:space="preserve"> established in</w:t>
      </w:r>
      <w:r w:rsidR="00932BF2">
        <w:rPr>
          <w:b/>
          <w:sz w:val="24"/>
          <w:szCs w:val="24"/>
        </w:rPr>
        <w:t xml:space="preserve"> </w:t>
      </w:r>
      <w:r w:rsidR="00932BF2" w:rsidRPr="00932BF2">
        <w:rPr>
          <w:sz w:val="24"/>
          <w:szCs w:val="24"/>
        </w:rPr>
        <w:t xml:space="preserve">R v </w:t>
      </w:r>
      <w:proofErr w:type="spellStart"/>
      <w:r w:rsidR="00932BF2" w:rsidRPr="00932BF2">
        <w:rPr>
          <w:sz w:val="24"/>
          <w:szCs w:val="24"/>
        </w:rPr>
        <w:t>Bollom</w:t>
      </w:r>
      <w:proofErr w:type="spellEnd"/>
      <w:r w:rsidR="00932BF2" w:rsidRPr="00932BF2">
        <w:rPr>
          <w:sz w:val="24"/>
          <w:szCs w:val="24"/>
        </w:rPr>
        <w:t xml:space="preserve"> 2004</w:t>
      </w:r>
      <w:r w:rsidR="00932BF2">
        <w:rPr>
          <w:sz w:val="24"/>
          <w:szCs w:val="24"/>
        </w:rPr>
        <w:t xml:space="preserve">. </w:t>
      </w:r>
      <w:r w:rsidR="00932BF2" w:rsidRPr="00E4494A">
        <w:rPr>
          <w:b/>
          <w:sz w:val="24"/>
          <w:szCs w:val="24"/>
        </w:rPr>
        <w:t>(</w:t>
      </w:r>
      <w:r w:rsidR="00932BF2" w:rsidRPr="00932BF2">
        <w:rPr>
          <w:b/>
          <w:sz w:val="24"/>
          <w:szCs w:val="24"/>
        </w:rPr>
        <w:t xml:space="preserve">R v </w:t>
      </w:r>
      <w:proofErr w:type="spellStart"/>
      <w:r w:rsidR="00932BF2" w:rsidRPr="00932BF2">
        <w:rPr>
          <w:b/>
          <w:sz w:val="24"/>
          <w:szCs w:val="24"/>
        </w:rPr>
        <w:t>Bollom</w:t>
      </w:r>
      <w:proofErr w:type="spellEnd"/>
      <w:r w:rsidR="00932BF2" w:rsidRPr="00932BF2">
        <w:rPr>
          <w:b/>
          <w:sz w:val="24"/>
          <w:szCs w:val="24"/>
        </w:rPr>
        <w:t xml:space="preserve"> 2004</w:t>
      </w:r>
      <w:r w:rsidR="00932BF2" w:rsidRPr="00E4494A">
        <w:rPr>
          <w:b/>
          <w:sz w:val="24"/>
          <w:szCs w:val="24"/>
        </w:rPr>
        <w:t>)</w:t>
      </w:r>
      <w:r w:rsidR="00932BF2">
        <w:rPr>
          <w:sz w:val="24"/>
          <w:szCs w:val="24"/>
        </w:rPr>
        <w:t>, and “</w:t>
      </w:r>
      <w:r w:rsidR="00932BF2" w:rsidRPr="00932BF2">
        <w:rPr>
          <w:sz w:val="24"/>
          <w:szCs w:val="24"/>
        </w:rPr>
        <w:t>psychiatric </w:t>
      </w:r>
      <w:r w:rsidR="00932BF2">
        <w:rPr>
          <w:sz w:val="24"/>
          <w:szCs w:val="24"/>
        </w:rPr>
        <w:t xml:space="preserve">injury” of </w:t>
      </w:r>
      <w:r w:rsidR="002318BF">
        <w:rPr>
          <w:sz w:val="24"/>
          <w:szCs w:val="24"/>
        </w:rPr>
        <w:t xml:space="preserve">Grievous Bodily Harm </w:t>
      </w:r>
      <w:r w:rsidR="00932BF2">
        <w:rPr>
          <w:sz w:val="24"/>
          <w:szCs w:val="24"/>
        </w:rPr>
        <w:t xml:space="preserve">was included in the </w:t>
      </w:r>
      <w:r w:rsidR="00E4494A">
        <w:rPr>
          <w:sz w:val="24"/>
          <w:szCs w:val="24"/>
        </w:rPr>
        <w:t xml:space="preserve">Ireland v </w:t>
      </w:r>
      <w:proofErr w:type="spellStart"/>
      <w:r w:rsidR="00E4494A">
        <w:rPr>
          <w:sz w:val="24"/>
          <w:szCs w:val="24"/>
        </w:rPr>
        <w:t>Burstow</w:t>
      </w:r>
      <w:proofErr w:type="spellEnd"/>
      <w:r w:rsidR="00E4494A">
        <w:rPr>
          <w:sz w:val="24"/>
          <w:szCs w:val="24"/>
        </w:rPr>
        <w:t xml:space="preserve"> [1997], it also established that “inflict” simply means cause and there was no requirement for direct application of force for </w:t>
      </w:r>
      <w:r w:rsidR="00582266">
        <w:rPr>
          <w:sz w:val="24"/>
          <w:szCs w:val="24"/>
        </w:rPr>
        <w:t>there</w:t>
      </w:r>
      <w:r w:rsidR="00C476AA">
        <w:rPr>
          <w:sz w:val="24"/>
          <w:szCs w:val="24"/>
        </w:rPr>
        <w:t xml:space="preserve"> to be an assault charge</w:t>
      </w:r>
      <w:r w:rsidR="00E4494A">
        <w:rPr>
          <w:sz w:val="24"/>
          <w:szCs w:val="24"/>
        </w:rPr>
        <w:t xml:space="preserve"> </w:t>
      </w:r>
      <w:r w:rsidR="00932BF2" w:rsidRPr="00E4494A">
        <w:rPr>
          <w:b/>
          <w:sz w:val="24"/>
          <w:szCs w:val="24"/>
        </w:rPr>
        <w:t>(</w:t>
      </w:r>
      <w:r w:rsidR="00932BF2" w:rsidRPr="00932BF2">
        <w:rPr>
          <w:b/>
          <w:sz w:val="24"/>
          <w:szCs w:val="24"/>
        </w:rPr>
        <w:t xml:space="preserve">Ireland v </w:t>
      </w:r>
      <w:proofErr w:type="spellStart"/>
      <w:r w:rsidR="00932BF2" w:rsidRPr="00932BF2">
        <w:rPr>
          <w:b/>
          <w:sz w:val="24"/>
          <w:szCs w:val="24"/>
        </w:rPr>
        <w:t>Burstow</w:t>
      </w:r>
      <w:proofErr w:type="spellEnd"/>
      <w:r w:rsidR="00932BF2" w:rsidRPr="00932BF2">
        <w:rPr>
          <w:b/>
          <w:sz w:val="24"/>
          <w:szCs w:val="24"/>
        </w:rPr>
        <w:t xml:space="preserve"> [1997]</w:t>
      </w:r>
      <w:r w:rsidR="00932BF2" w:rsidRPr="00E4494A">
        <w:rPr>
          <w:b/>
          <w:sz w:val="24"/>
          <w:szCs w:val="24"/>
        </w:rPr>
        <w:t>)</w:t>
      </w:r>
      <w:r w:rsidR="00932BF2">
        <w:rPr>
          <w:sz w:val="24"/>
          <w:szCs w:val="24"/>
        </w:rPr>
        <w:t xml:space="preserve">. </w:t>
      </w:r>
      <w:r w:rsidR="00582266">
        <w:rPr>
          <w:sz w:val="24"/>
          <w:szCs w:val="24"/>
        </w:rPr>
        <w:t xml:space="preserve">The sentence for </w:t>
      </w:r>
      <w:r w:rsidR="00582266" w:rsidRPr="00582266">
        <w:rPr>
          <w:sz w:val="24"/>
          <w:szCs w:val="24"/>
        </w:rPr>
        <w:t xml:space="preserve">malicious wounding and </w:t>
      </w:r>
      <w:r w:rsidR="002318BF">
        <w:rPr>
          <w:sz w:val="24"/>
          <w:szCs w:val="24"/>
        </w:rPr>
        <w:t xml:space="preserve">Grievous Bodily Harm </w:t>
      </w:r>
      <w:r w:rsidR="00582266">
        <w:rPr>
          <w:sz w:val="24"/>
          <w:szCs w:val="24"/>
        </w:rPr>
        <w:t xml:space="preserve">is 5 years unless he intended to do </w:t>
      </w:r>
      <w:r w:rsidR="002318BF">
        <w:rPr>
          <w:sz w:val="24"/>
          <w:szCs w:val="24"/>
        </w:rPr>
        <w:t xml:space="preserve">Grievous Bodily Harm </w:t>
      </w:r>
      <w:r w:rsidR="00582266">
        <w:rPr>
          <w:sz w:val="24"/>
          <w:szCs w:val="24"/>
        </w:rPr>
        <w:t xml:space="preserve">or </w:t>
      </w:r>
      <w:r w:rsidR="00582266" w:rsidRPr="00582266">
        <w:rPr>
          <w:sz w:val="24"/>
          <w:szCs w:val="24"/>
        </w:rPr>
        <w:t xml:space="preserve">malicious wounding </w:t>
      </w:r>
      <w:r w:rsidR="00582266">
        <w:rPr>
          <w:sz w:val="24"/>
          <w:szCs w:val="24"/>
        </w:rPr>
        <w:t>and thus if he did may face a lifetime prison sentence.</w:t>
      </w:r>
    </w:p>
    <w:p w:rsidR="005A0B27" w:rsidRDefault="00B057B9">
      <w:pPr>
        <w:rPr>
          <w:sz w:val="24"/>
          <w:szCs w:val="24"/>
        </w:rPr>
      </w:pPr>
      <w:r>
        <w:rPr>
          <w:sz w:val="24"/>
          <w:szCs w:val="24"/>
        </w:rPr>
        <w:t xml:space="preserve">Now that the laws have been established the laws itself will be evaluated. </w:t>
      </w:r>
      <w:r w:rsidR="00EA3AA4">
        <w:rPr>
          <w:sz w:val="24"/>
          <w:szCs w:val="24"/>
        </w:rPr>
        <w:t xml:space="preserve">The Law Commission are the main body that calls for reform of the Offences </w:t>
      </w:r>
      <w:r w:rsidR="002941B1">
        <w:rPr>
          <w:sz w:val="24"/>
          <w:szCs w:val="24"/>
        </w:rPr>
        <w:t>against</w:t>
      </w:r>
      <w:r w:rsidR="00EA3AA4">
        <w:rPr>
          <w:sz w:val="24"/>
          <w:szCs w:val="24"/>
        </w:rPr>
        <w:t xml:space="preserve"> the Person Act. The Law Commission are an independent body to conduct law reform. </w:t>
      </w:r>
      <w:r>
        <w:rPr>
          <w:sz w:val="24"/>
          <w:szCs w:val="24"/>
        </w:rPr>
        <w:t xml:space="preserve">They believe firstly that the </w:t>
      </w:r>
      <w:r w:rsidRPr="00B057B9">
        <w:rPr>
          <w:sz w:val="24"/>
          <w:szCs w:val="24"/>
        </w:rPr>
        <w:t xml:space="preserve">Offences Against the Person Act 1861 </w:t>
      </w:r>
      <w:r w:rsidR="000913D8">
        <w:rPr>
          <w:sz w:val="24"/>
          <w:szCs w:val="24"/>
        </w:rPr>
        <w:t>uses “</w:t>
      </w:r>
      <w:r w:rsidR="00793DFB" w:rsidRPr="00793DFB">
        <w:rPr>
          <w:sz w:val="24"/>
          <w:szCs w:val="24"/>
        </w:rPr>
        <w:t>archaic and obscure</w:t>
      </w:r>
      <w:r w:rsidR="00793DFB">
        <w:rPr>
          <w:sz w:val="24"/>
          <w:szCs w:val="24"/>
        </w:rPr>
        <w:t xml:space="preserve">” language. </w:t>
      </w:r>
      <w:r w:rsidR="00A7446D">
        <w:rPr>
          <w:sz w:val="24"/>
          <w:szCs w:val="24"/>
        </w:rPr>
        <w:t xml:space="preserve">For instance in Ireland v </w:t>
      </w:r>
      <w:proofErr w:type="spellStart"/>
      <w:r w:rsidR="00A7446D">
        <w:rPr>
          <w:sz w:val="24"/>
          <w:szCs w:val="24"/>
        </w:rPr>
        <w:t>Burstow</w:t>
      </w:r>
      <w:proofErr w:type="spellEnd"/>
      <w:r w:rsidR="00BC4B29">
        <w:rPr>
          <w:sz w:val="24"/>
          <w:szCs w:val="24"/>
        </w:rPr>
        <w:t>,</w:t>
      </w:r>
      <w:r w:rsidR="00A7446D">
        <w:rPr>
          <w:sz w:val="24"/>
          <w:szCs w:val="24"/>
        </w:rPr>
        <w:t xml:space="preserve"> </w:t>
      </w:r>
      <w:r w:rsidR="00BC4B29">
        <w:rPr>
          <w:sz w:val="24"/>
          <w:szCs w:val="24"/>
        </w:rPr>
        <w:t>Lord Steyn noted “the Victorian legislator</w:t>
      </w:r>
      <w:r w:rsidR="00BC4B29" w:rsidRPr="00BC4B29">
        <w:rPr>
          <w:sz w:val="24"/>
          <w:szCs w:val="24"/>
        </w:rPr>
        <w:t xml:space="preserve"> would not have</w:t>
      </w:r>
      <w:r w:rsidR="00BC4B29">
        <w:rPr>
          <w:sz w:val="24"/>
          <w:szCs w:val="24"/>
        </w:rPr>
        <w:t xml:space="preserve"> in mind psychiatric illness”</w:t>
      </w:r>
      <w:r w:rsidR="00DB1B7B">
        <w:rPr>
          <w:sz w:val="24"/>
          <w:szCs w:val="24"/>
        </w:rPr>
        <w:t xml:space="preserve"> </w:t>
      </w:r>
      <w:r w:rsidR="00A434E5" w:rsidRPr="00E4494A">
        <w:rPr>
          <w:b/>
          <w:sz w:val="24"/>
          <w:szCs w:val="24"/>
        </w:rPr>
        <w:t>(</w:t>
      </w:r>
      <w:r w:rsidR="00A434E5" w:rsidRPr="00932BF2">
        <w:rPr>
          <w:b/>
          <w:sz w:val="24"/>
          <w:szCs w:val="24"/>
        </w:rPr>
        <w:t xml:space="preserve">Ireland v </w:t>
      </w:r>
      <w:proofErr w:type="spellStart"/>
      <w:r w:rsidR="00A434E5" w:rsidRPr="00932BF2">
        <w:rPr>
          <w:b/>
          <w:sz w:val="24"/>
          <w:szCs w:val="24"/>
        </w:rPr>
        <w:t>Burstow</w:t>
      </w:r>
      <w:proofErr w:type="spellEnd"/>
      <w:r w:rsidR="00A434E5" w:rsidRPr="00932BF2">
        <w:rPr>
          <w:b/>
          <w:sz w:val="24"/>
          <w:szCs w:val="24"/>
        </w:rPr>
        <w:t xml:space="preserve"> [1997]</w:t>
      </w:r>
      <w:r w:rsidR="00A434E5" w:rsidRPr="00E4494A">
        <w:rPr>
          <w:b/>
          <w:sz w:val="24"/>
          <w:szCs w:val="24"/>
        </w:rPr>
        <w:t>)</w:t>
      </w:r>
      <w:r w:rsidR="00A434E5">
        <w:rPr>
          <w:sz w:val="24"/>
          <w:szCs w:val="24"/>
        </w:rPr>
        <w:t xml:space="preserve">, </w:t>
      </w:r>
      <w:r w:rsidR="00DB1B7B">
        <w:rPr>
          <w:sz w:val="24"/>
          <w:szCs w:val="24"/>
        </w:rPr>
        <w:t xml:space="preserve">suggesting the law doesn’t reflect mental health issues that </w:t>
      </w:r>
      <w:r w:rsidR="001517BC">
        <w:rPr>
          <w:sz w:val="24"/>
          <w:szCs w:val="24"/>
        </w:rPr>
        <w:t>have</w:t>
      </w:r>
      <w:r w:rsidR="00DB1B7B">
        <w:rPr>
          <w:sz w:val="24"/>
          <w:szCs w:val="24"/>
        </w:rPr>
        <w:t xml:space="preserve"> develop</w:t>
      </w:r>
      <w:r w:rsidR="001517BC">
        <w:rPr>
          <w:sz w:val="24"/>
          <w:szCs w:val="24"/>
        </w:rPr>
        <w:t>ed and</w:t>
      </w:r>
      <w:r w:rsidR="00DB1B7B">
        <w:rPr>
          <w:sz w:val="24"/>
          <w:szCs w:val="24"/>
        </w:rPr>
        <w:t xml:space="preserve"> the Victorian society</w:t>
      </w:r>
      <w:r w:rsidR="001517BC">
        <w:rPr>
          <w:sz w:val="24"/>
          <w:szCs w:val="24"/>
        </w:rPr>
        <w:t xml:space="preserve"> approach is not necessary</w:t>
      </w:r>
      <w:r w:rsidR="00A434E5">
        <w:rPr>
          <w:sz w:val="24"/>
          <w:szCs w:val="24"/>
        </w:rPr>
        <w:t xml:space="preserve">, the </w:t>
      </w:r>
      <w:r w:rsidR="007D0BE3">
        <w:rPr>
          <w:sz w:val="24"/>
          <w:szCs w:val="24"/>
        </w:rPr>
        <w:t>Offences Against the Person Act</w:t>
      </w:r>
      <w:r w:rsidR="007D0BE3">
        <w:rPr>
          <w:sz w:val="24"/>
          <w:szCs w:val="24"/>
        </w:rPr>
        <w:t xml:space="preserve"> </w:t>
      </w:r>
      <w:r w:rsidR="00A434E5">
        <w:rPr>
          <w:sz w:val="24"/>
          <w:szCs w:val="24"/>
        </w:rPr>
        <w:t>also has an offence against “</w:t>
      </w:r>
      <w:r w:rsidR="00A434E5" w:rsidRPr="00A434E5">
        <w:rPr>
          <w:sz w:val="24"/>
          <w:szCs w:val="24"/>
        </w:rPr>
        <w:t>Impeding a person endeavouring</w:t>
      </w:r>
      <w:r w:rsidR="00A434E5">
        <w:rPr>
          <w:sz w:val="24"/>
          <w:szCs w:val="24"/>
        </w:rPr>
        <w:t xml:space="preserve"> to save himself from shipwreck”</w:t>
      </w:r>
      <w:r w:rsidR="00BA616A">
        <w:rPr>
          <w:sz w:val="24"/>
          <w:szCs w:val="24"/>
        </w:rPr>
        <w:t xml:space="preserve"> and “</w:t>
      </w:r>
      <w:r w:rsidR="00BA616A" w:rsidRPr="00BA616A">
        <w:rPr>
          <w:sz w:val="24"/>
          <w:szCs w:val="24"/>
        </w:rPr>
        <w:t>Obstructing or assaulting a clergyman or other minister in th</w:t>
      </w:r>
      <w:r w:rsidR="00BA616A">
        <w:rPr>
          <w:sz w:val="24"/>
          <w:szCs w:val="24"/>
        </w:rPr>
        <w:t>e discharge of his duties”</w:t>
      </w:r>
      <w:r w:rsidR="00DF03E6">
        <w:rPr>
          <w:sz w:val="24"/>
          <w:szCs w:val="24"/>
        </w:rPr>
        <w:t xml:space="preserve"> which are obsolete</w:t>
      </w:r>
      <w:r w:rsidR="00F617D9">
        <w:rPr>
          <w:sz w:val="24"/>
          <w:szCs w:val="24"/>
        </w:rPr>
        <w:t xml:space="preserve">. </w:t>
      </w:r>
      <w:r w:rsidR="008A7DA5">
        <w:rPr>
          <w:sz w:val="24"/>
          <w:szCs w:val="24"/>
        </w:rPr>
        <w:t xml:space="preserve">As </w:t>
      </w:r>
      <w:r w:rsidR="008A7DA5" w:rsidRPr="008A7DA5">
        <w:rPr>
          <w:sz w:val="24"/>
          <w:szCs w:val="24"/>
        </w:rPr>
        <w:t>Professor David Ormerod QC</w:t>
      </w:r>
      <w:r w:rsidR="008A7DA5">
        <w:rPr>
          <w:sz w:val="24"/>
          <w:szCs w:val="24"/>
        </w:rPr>
        <w:t xml:space="preserve"> puts it in a YouTube video, the</w:t>
      </w:r>
      <w:r w:rsidR="00A84F75">
        <w:rPr>
          <w:sz w:val="24"/>
          <w:szCs w:val="24"/>
        </w:rPr>
        <w:t xml:space="preserve"> Act “fails to provide a logical structured hierarch</w:t>
      </w:r>
      <w:r w:rsidR="008A7DA5">
        <w:rPr>
          <w:sz w:val="24"/>
          <w:szCs w:val="24"/>
        </w:rPr>
        <w:t>y</w:t>
      </w:r>
      <w:r w:rsidR="00A84F75">
        <w:rPr>
          <w:sz w:val="24"/>
          <w:szCs w:val="24"/>
        </w:rPr>
        <w:t xml:space="preserve"> of offences of violence”</w:t>
      </w:r>
      <w:r w:rsidR="008A7DA5">
        <w:rPr>
          <w:sz w:val="24"/>
          <w:szCs w:val="24"/>
        </w:rPr>
        <w:t xml:space="preserve"> and that there are “to many narrowly defined offences dealing with the same subject, with some of the offences overlapping </w:t>
      </w:r>
      <w:r w:rsidR="008A7DA5" w:rsidRPr="008A7DA5">
        <w:rPr>
          <w:sz w:val="24"/>
          <w:szCs w:val="24"/>
        </w:rPr>
        <w:t>unnecessarily</w:t>
      </w:r>
      <w:r w:rsidR="008A7DA5">
        <w:rPr>
          <w:sz w:val="24"/>
          <w:szCs w:val="24"/>
        </w:rPr>
        <w:t xml:space="preserve"> causing confusion”</w:t>
      </w:r>
      <w:r w:rsidR="0023190B">
        <w:rPr>
          <w:sz w:val="24"/>
          <w:szCs w:val="24"/>
        </w:rPr>
        <w:t xml:space="preserve"> (</w:t>
      </w:r>
      <w:r w:rsidR="0023190B" w:rsidRPr="0023190B">
        <w:rPr>
          <w:b/>
          <w:sz w:val="24"/>
          <w:szCs w:val="24"/>
        </w:rPr>
        <w:t>Ormerod, 2015</w:t>
      </w:r>
      <w:r w:rsidR="0023190B">
        <w:rPr>
          <w:sz w:val="24"/>
          <w:szCs w:val="24"/>
        </w:rPr>
        <w:t>)</w:t>
      </w:r>
      <w:r w:rsidR="00DF03E6">
        <w:rPr>
          <w:sz w:val="24"/>
          <w:szCs w:val="24"/>
        </w:rPr>
        <w:t xml:space="preserve">. </w:t>
      </w:r>
      <w:r w:rsidR="00A84F75">
        <w:rPr>
          <w:sz w:val="24"/>
          <w:szCs w:val="24"/>
        </w:rPr>
        <w:t>There are also inconsistency</w:t>
      </w:r>
      <w:r w:rsidR="00DF03E6">
        <w:rPr>
          <w:sz w:val="24"/>
          <w:szCs w:val="24"/>
        </w:rPr>
        <w:t xml:space="preserve"> in maximum sentences, an offence under Section 39 of the Criminal Justice Act 1998 carries a maximum six month sentence compared to the 5 year sentence for an offence in accordance to Section 45 of the </w:t>
      </w:r>
      <w:r w:rsidR="002318BF">
        <w:rPr>
          <w:sz w:val="24"/>
          <w:szCs w:val="24"/>
        </w:rPr>
        <w:t>Offences Against the Person Act</w:t>
      </w:r>
      <w:r w:rsidR="002318BF">
        <w:rPr>
          <w:sz w:val="24"/>
          <w:szCs w:val="24"/>
        </w:rPr>
        <w:t xml:space="preserve"> </w:t>
      </w:r>
      <w:r w:rsidR="00DF03E6">
        <w:rPr>
          <w:sz w:val="24"/>
          <w:szCs w:val="24"/>
        </w:rPr>
        <w:t>despite both have the same “</w:t>
      </w:r>
      <w:proofErr w:type="spellStart"/>
      <w:r w:rsidR="00DF03E6">
        <w:rPr>
          <w:sz w:val="24"/>
          <w:szCs w:val="24"/>
        </w:rPr>
        <w:t>mens</w:t>
      </w:r>
      <w:proofErr w:type="spellEnd"/>
      <w:r w:rsidR="00DF03E6">
        <w:rPr>
          <w:sz w:val="24"/>
          <w:szCs w:val="24"/>
        </w:rPr>
        <w:t xml:space="preserve"> </w:t>
      </w:r>
      <w:proofErr w:type="spellStart"/>
      <w:r w:rsidR="00DF03E6">
        <w:rPr>
          <w:sz w:val="24"/>
          <w:szCs w:val="24"/>
        </w:rPr>
        <w:t>reas</w:t>
      </w:r>
      <w:proofErr w:type="spellEnd"/>
      <w:r w:rsidR="00DF03E6">
        <w:rPr>
          <w:sz w:val="24"/>
          <w:szCs w:val="24"/>
        </w:rPr>
        <w:t xml:space="preserve">”. </w:t>
      </w:r>
      <w:r w:rsidR="004E03BA">
        <w:rPr>
          <w:sz w:val="24"/>
          <w:szCs w:val="24"/>
        </w:rPr>
        <w:t>Both a</w:t>
      </w:r>
      <w:r w:rsidR="00DF03E6">
        <w:rPr>
          <w:sz w:val="24"/>
          <w:szCs w:val="24"/>
        </w:rPr>
        <w:t xml:space="preserve"> Section</w:t>
      </w:r>
      <w:r w:rsidR="004E03BA">
        <w:rPr>
          <w:sz w:val="24"/>
          <w:szCs w:val="24"/>
        </w:rPr>
        <w:t xml:space="preserve"> 20 and 47 offence have a maximum prison sentence of 5 years despite Section 20 causing more serious injuries. The </w:t>
      </w:r>
      <w:r w:rsidR="002318BF">
        <w:rPr>
          <w:sz w:val="24"/>
          <w:szCs w:val="24"/>
        </w:rPr>
        <w:t>Offences Against the Person Act</w:t>
      </w:r>
      <w:r w:rsidR="002318BF">
        <w:rPr>
          <w:sz w:val="24"/>
          <w:szCs w:val="24"/>
        </w:rPr>
        <w:t xml:space="preserve"> </w:t>
      </w:r>
      <w:r w:rsidR="004E03BA">
        <w:rPr>
          <w:sz w:val="24"/>
          <w:szCs w:val="24"/>
        </w:rPr>
        <w:t xml:space="preserve">does not have a definition for “wounding”, case law precedent says that “wounding” must be a “breaking of the skin” </w:t>
      </w:r>
      <w:r w:rsidR="004E03BA" w:rsidRPr="004E03BA">
        <w:rPr>
          <w:b/>
          <w:sz w:val="24"/>
          <w:szCs w:val="24"/>
        </w:rPr>
        <w:t>(JCC v Eisenhower (1994))</w:t>
      </w:r>
      <w:r w:rsidR="004E03BA">
        <w:rPr>
          <w:sz w:val="24"/>
          <w:szCs w:val="24"/>
        </w:rPr>
        <w:t xml:space="preserve"> however “wounding” means more than just merely “breaking of the skin” it is also a mus</w:t>
      </w:r>
      <w:r w:rsidR="00EA3093">
        <w:rPr>
          <w:sz w:val="24"/>
          <w:szCs w:val="24"/>
        </w:rPr>
        <w:t>cle tear, burn or born fracture.</w:t>
      </w:r>
      <w:r w:rsidR="00802CAB">
        <w:rPr>
          <w:sz w:val="24"/>
          <w:szCs w:val="24"/>
        </w:rPr>
        <w:t xml:space="preserve"> There has also been a lot of technological progress since 1861 changing the way people communicate including telephone, emails and social media so judges have to interpret the law </w:t>
      </w:r>
      <w:r w:rsidR="005E3105">
        <w:rPr>
          <w:sz w:val="24"/>
          <w:szCs w:val="24"/>
        </w:rPr>
        <w:t>in relation to completely new technological</w:t>
      </w:r>
    </w:p>
    <w:p w:rsidR="00F40044" w:rsidRPr="00F83E06" w:rsidRDefault="00F40044" w:rsidP="00F40044">
      <w:pPr>
        <w:rPr>
          <w:b/>
          <w:sz w:val="24"/>
          <w:szCs w:val="24"/>
        </w:rPr>
      </w:pPr>
      <w:r w:rsidRPr="00F40044">
        <w:rPr>
          <w:sz w:val="24"/>
          <w:szCs w:val="24"/>
        </w:rPr>
        <w:t>Alexandra-Maria Eugenicos</w:t>
      </w:r>
      <w:r>
        <w:rPr>
          <w:sz w:val="24"/>
          <w:szCs w:val="24"/>
        </w:rPr>
        <w:t xml:space="preserve"> also points out another problem</w:t>
      </w:r>
      <w:r w:rsidR="005C14B0">
        <w:rPr>
          <w:sz w:val="24"/>
          <w:szCs w:val="24"/>
        </w:rPr>
        <w:t xml:space="preserve"> with the Offences </w:t>
      </w:r>
      <w:proofErr w:type="gramStart"/>
      <w:r w:rsidR="005C14B0">
        <w:rPr>
          <w:sz w:val="24"/>
          <w:szCs w:val="24"/>
        </w:rPr>
        <w:t>Against</w:t>
      </w:r>
      <w:proofErr w:type="gramEnd"/>
      <w:r w:rsidR="005C14B0">
        <w:rPr>
          <w:sz w:val="24"/>
          <w:szCs w:val="24"/>
        </w:rPr>
        <w:t xml:space="preserve"> the Person Act</w:t>
      </w:r>
      <w:r>
        <w:rPr>
          <w:sz w:val="24"/>
          <w:szCs w:val="24"/>
        </w:rPr>
        <w:t>: “</w:t>
      </w:r>
      <w:r w:rsidRPr="00F40044">
        <w:rPr>
          <w:sz w:val="24"/>
          <w:szCs w:val="24"/>
        </w:rPr>
        <w:t>Prosecutors should choose a charge that they think is proportionate and</w:t>
      </w:r>
      <w:r>
        <w:rPr>
          <w:sz w:val="24"/>
          <w:szCs w:val="24"/>
        </w:rPr>
        <w:t xml:space="preserve"> </w:t>
      </w:r>
      <w:r w:rsidRPr="00F40044">
        <w:rPr>
          <w:sz w:val="24"/>
          <w:szCs w:val="24"/>
        </w:rPr>
        <w:t xml:space="preserve">accurate; however, between 2003 and 2013, 7–12% of defendants charged with </w:t>
      </w:r>
      <w:r w:rsidR="00A44A02">
        <w:rPr>
          <w:sz w:val="24"/>
          <w:szCs w:val="24"/>
        </w:rPr>
        <w:t>Actual Bodily Harm</w:t>
      </w:r>
      <w:r w:rsidRPr="00F40044">
        <w:rPr>
          <w:sz w:val="24"/>
          <w:szCs w:val="24"/>
        </w:rPr>
        <w:t xml:space="preserve"> in the Crown Court</w:t>
      </w:r>
      <w:r>
        <w:rPr>
          <w:sz w:val="24"/>
          <w:szCs w:val="24"/>
        </w:rPr>
        <w:t xml:space="preserve"> </w:t>
      </w:r>
      <w:r w:rsidRPr="00F40044">
        <w:rPr>
          <w:sz w:val="24"/>
          <w:szCs w:val="24"/>
        </w:rPr>
        <w:t>received a custodial sentence of six months or less. This could have been dealt with more cost-effectively</w:t>
      </w:r>
      <w:r>
        <w:rPr>
          <w:sz w:val="24"/>
          <w:szCs w:val="24"/>
        </w:rPr>
        <w:t xml:space="preserve"> </w:t>
      </w:r>
      <w:r w:rsidRPr="00F40044">
        <w:rPr>
          <w:sz w:val="24"/>
          <w:szCs w:val="24"/>
        </w:rPr>
        <w:t>in the magistrates’ court. The CPS even advises prosecutors to charge for lesser offences of assault and</w:t>
      </w:r>
      <w:r>
        <w:rPr>
          <w:sz w:val="24"/>
          <w:szCs w:val="24"/>
        </w:rPr>
        <w:t xml:space="preserve"> </w:t>
      </w:r>
      <w:r w:rsidRPr="00F40044">
        <w:rPr>
          <w:sz w:val="24"/>
          <w:szCs w:val="24"/>
        </w:rPr>
        <w:t xml:space="preserve">battery even if ABH is technically </w:t>
      </w:r>
      <w:r w:rsidRPr="00F83E06">
        <w:rPr>
          <w:sz w:val="24"/>
          <w:szCs w:val="24"/>
        </w:rPr>
        <w:t>available</w:t>
      </w:r>
      <w:r w:rsidRPr="00F83E06">
        <w:rPr>
          <w:sz w:val="24"/>
          <w:szCs w:val="24"/>
        </w:rPr>
        <w:t>”</w:t>
      </w:r>
      <w:r w:rsidR="00DB2FE3" w:rsidRPr="00F83E06">
        <w:rPr>
          <w:b/>
          <w:sz w:val="24"/>
          <w:szCs w:val="24"/>
        </w:rPr>
        <w:t xml:space="preserve"> </w:t>
      </w:r>
      <w:sdt>
        <w:sdtPr>
          <w:rPr>
            <w:b/>
            <w:sz w:val="24"/>
            <w:szCs w:val="24"/>
          </w:rPr>
          <w:id w:val="-1730613178"/>
          <w:citation/>
        </w:sdtPr>
        <w:sdtContent>
          <w:r w:rsidR="00DB2FE3" w:rsidRPr="00F83E06">
            <w:rPr>
              <w:b/>
              <w:sz w:val="24"/>
              <w:szCs w:val="24"/>
            </w:rPr>
            <w:fldChar w:fldCharType="begin"/>
          </w:r>
          <w:r w:rsidR="00DB2FE3" w:rsidRPr="00F83E06">
            <w:rPr>
              <w:b/>
              <w:sz w:val="24"/>
              <w:szCs w:val="24"/>
            </w:rPr>
            <w:instrText xml:space="preserve"> CITATION Ale17 \l 2057 </w:instrText>
          </w:r>
          <w:r w:rsidR="00DB2FE3" w:rsidRPr="00F83E06">
            <w:rPr>
              <w:b/>
              <w:sz w:val="24"/>
              <w:szCs w:val="24"/>
            </w:rPr>
            <w:fldChar w:fldCharType="separate"/>
          </w:r>
          <w:r w:rsidR="00157C35" w:rsidRPr="00F83E06">
            <w:rPr>
              <w:b/>
              <w:noProof/>
              <w:sz w:val="24"/>
              <w:szCs w:val="24"/>
            </w:rPr>
            <w:t>(Eugenicos, 2017)</w:t>
          </w:r>
          <w:r w:rsidR="00DB2FE3" w:rsidRPr="00F83E06">
            <w:rPr>
              <w:b/>
              <w:sz w:val="24"/>
              <w:szCs w:val="24"/>
            </w:rPr>
            <w:fldChar w:fldCharType="end"/>
          </w:r>
        </w:sdtContent>
      </w:sdt>
      <w:r w:rsidR="002F560A" w:rsidRPr="00F83E06">
        <w:rPr>
          <w:b/>
          <w:sz w:val="24"/>
          <w:szCs w:val="24"/>
        </w:rPr>
        <w:t xml:space="preserve">. </w:t>
      </w:r>
    </w:p>
    <w:p w:rsidR="00930A17" w:rsidRDefault="0030691F">
      <w:pPr>
        <w:rPr>
          <w:sz w:val="24"/>
          <w:szCs w:val="24"/>
        </w:rPr>
      </w:pPr>
      <w:r>
        <w:rPr>
          <w:sz w:val="24"/>
          <w:szCs w:val="24"/>
        </w:rPr>
        <w:t>However there are some bodies tha</w:t>
      </w:r>
      <w:r w:rsidR="00ED4AA0">
        <w:rPr>
          <w:sz w:val="24"/>
          <w:szCs w:val="24"/>
        </w:rPr>
        <w:t>t disagree with reform</w:t>
      </w:r>
      <w:r w:rsidR="00B05DF9">
        <w:rPr>
          <w:sz w:val="24"/>
          <w:szCs w:val="24"/>
        </w:rPr>
        <w:t>ing</w:t>
      </w:r>
      <w:r w:rsidR="00ED4AA0">
        <w:rPr>
          <w:sz w:val="24"/>
          <w:szCs w:val="24"/>
        </w:rPr>
        <w:t xml:space="preserve"> the </w:t>
      </w:r>
      <w:r w:rsidR="007D0BE3">
        <w:rPr>
          <w:sz w:val="24"/>
          <w:szCs w:val="24"/>
        </w:rPr>
        <w:t>Offences Against the Person Act</w:t>
      </w:r>
      <w:r w:rsidR="00ED4AA0">
        <w:rPr>
          <w:sz w:val="24"/>
          <w:szCs w:val="24"/>
        </w:rPr>
        <w:t>, such as Bar Council</w:t>
      </w:r>
      <w:r w:rsidR="007D0BE3">
        <w:rPr>
          <w:sz w:val="24"/>
          <w:szCs w:val="24"/>
        </w:rPr>
        <w:t xml:space="preserve"> and the Criminal Bar. T</w:t>
      </w:r>
      <w:r w:rsidR="00DA108F">
        <w:rPr>
          <w:sz w:val="24"/>
          <w:szCs w:val="24"/>
        </w:rPr>
        <w:t xml:space="preserve">he Bar Council is a representative </w:t>
      </w:r>
      <w:r w:rsidR="00DA108F">
        <w:rPr>
          <w:sz w:val="24"/>
          <w:szCs w:val="24"/>
        </w:rPr>
        <w:lastRenderedPageBreak/>
        <w:t xml:space="preserve">body for barristers in England and Wales.  </w:t>
      </w:r>
      <w:r w:rsidR="007D0BE3" w:rsidRPr="007D0BE3">
        <w:rPr>
          <w:sz w:val="24"/>
          <w:szCs w:val="24"/>
        </w:rPr>
        <w:t>The Criminal Bar Association exists to represent the views of the practising members of the criminal bar</w:t>
      </w:r>
      <w:r w:rsidR="007D0BE3">
        <w:rPr>
          <w:sz w:val="24"/>
          <w:szCs w:val="24"/>
        </w:rPr>
        <w:t xml:space="preserve">risters in England and Wales. They believe these flaws with the Offences </w:t>
      </w:r>
      <w:proofErr w:type="gramStart"/>
      <w:r w:rsidR="007D0BE3">
        <w:rPr>
          <w:sz w:val="24"/>
          <w:szCs w:val="24"/>
        </w:rPr>
        <w:t>Against</w:t>
      </w:r>
      <w:proofErr w:type="gramEnd"/>
      <w:r w:rsidR="007D0BE3">
        <w:rPr>
          <w:sz w:val="24"/>
          <w:szCs w:val="24"/>
        </w:rPr>
        <w:t xml:space="preserve"> the Person Act</w:t>
      </w:r>
      <w:r w:rsidR="000C2B9D">
        <w:rPr>
          <w:sz w:val="24"/>
          <w:szCs w:val="24"/>
        </w:rPr>
        <w:t xml:space="preserve"> are only </w:t>
      </w:r>
      <w:r w:rsidR="0065706A">
        <w:rPr>
          <w:sz w:val="24"/>
          <w:szCs w:val="24"/>
        </w:rPr>
        <w:t>theoretical</w:t>
      </w:r>
      <w:r w:rsidR="00F40044">
        <w:rPr>
          <w:sz w:val="24"/>
          <w:szCs w:val="24"/>
        </w:rPr>
        <w:t xml:space="preserve">, </w:t>
      </w:r>
      <w:r w:rsidR="000C2B9D">
        <w:rPr>
          <w:sz w:val="24"/>
          <w:szCs w:val="24"/>
        </w:rPr>
        <w:t>that the legal meanings have already been est</w:t>
      </w:r>
      <w:r w:rsidR="00F40044">
        <w:rPr>
          <w:sz w:val="24"/>
          <w:szCs w:val="24"/>
        </w:rPr>
        <w:t xml:space="preserve">ablished by case law precedents and they believe further repeals of ‘unnecessary’ offences </w:t>
      </w:r>
      <w:r w:rsidR="000C2B9D">
        <w:rPr>
          <w:sz w:val="24"/>
          <w:szCs w:val="24"/>
        </w:rPr>
        <w:t>(</w:t>
      </w:r>
      <w:r w:rsidR="003D4AB0" w:rsidRPr="003D4AB0">
        <w:rPr>
          <w:b/>
          <w:sz w:val="24"/>
          <w:szCs w:val="24"/>
        </w:rPr>
        <w:t>Criminal Bar Association, 2015</w:t>
      </w:r>
      <w:r w:rsidR="003D4AB0">
        <w:rPr>
          <w:sz w:val="24"/>
          <w:szCs w:val="24"/>
        </w:rPr>
        <w:t>)</w:t>
      </w:r>
      <w:r w:rsidR="00411E84">
        <w:rPr>
          <w:sz w:val="24"/>
          <w:szCs w:val="24"/>
        </w:rPr>
        <w:t xml:space="preserve">. Some could argue that the current law may function well due to </w:t>
      </w:r>
      <w:r w:rsidR="00F2019C">
        <w:rPr>
          <w:sz w:val="24"/>
          <w:szCs w:val="24"/>
        </w:rPr>
        <w:t>judges’</w:t>
      </w:r>
      <w:r w:rsidR="00411E84">
        <w:rPr>
          <w:sz w:val="24"/>
          <w:szCs w:val="24"/>
        </w:rPr>
        <w:t xml:space="preserve"> interpretation of case law.</w:t>
      </w:r>
    </w:p>
    <w:p w:rsidR="00CC23E1" w:rsidRDefault="00690276">
      <w:pPr>
        <w:rPr>
          <w:sz w:val="24"/>
          <w:szCs w:val="24"/>
        </w:rPr>
      </w:pPr>
      <w:r>
        <w:rPr>
          <w:sz w:val="24"/>
          <w:szCs w:val="24"/>
        </w:rPr>
        <w:t>A potential solution to</w:t>
      </w:r>
      <w:r w:rsidR="00CC23E1">
        <w:rPr>
          <w:sz w:val="24"/>
          <w:szCs w:val="24"/>
        </w:rPr>
        <w:t xml:space="preserve"> </w:t>
      </w:r>
      <w:r>
        <w:rPr>
          <w:sz w:val="24"/>
          <w:szCs w:val="24"/>
        </w:rPr>
        <w:t xml:space="preserve">the issues present in the Offences </w:t>
      </w:r>
      <w:r w:rsidR="00006E6D">
        <w:rPr>
          <w:sz w:val="24"/>
          <w:szCs w:val="24"/>
        </w:rPr>
        <w:t>against the</w:t>
      </w:r>
      <w:r>
        <w:rPr>
          <w:sz w:val="24"/>
          <w:szCs w:val="24"/>
        </w:rPr>
        <w:t xml:space="preserve"> Perso</w:t>
      </w:r>
      <w:r w:rsidR="00006E6D">
        <w:rPr>
          <w:sz w:val="24"/>
          <w:szCs w:val="24"/>
        </w:rPr>
        <w:t>n Act explained in t</w:t>
      </w:r>
      <w:r w:rsidR="003209D3">
        <w:rPr>
          <w:sz w:val="24"/>
          <w:szCs w:val="24"/>
        </w:rPr>
        <w:t>0.</w:t>
      </w:r>
      <w:r w:rsidR="00006E6D">
        <w:rPr>
          <w:sz w:val="24"/>
          <w:szCs w:val="24"/>
        </w:rPr>
        <w:t xml:space="preserve">his essay, </w:t>
      </w:r>
      <w:r>
        <w:rPr>
          <w:sz w:val="24"/>
          <w:szCs w:val="24"/>
        </w:rPr>
        <w:t xml:space="preserve">lies on the Law Commission’s </w:t>
      </w:r>
      <w:r w:rsidRPr="00690276">
        <w:rPr>
          <w:sz w:val="24"/>
          <w:szCs w:val="24"/>
        </w:rPr>
        <w:t>recommendations</w:t>
      </w:r>
      <w:r>
        <w:rPr>
          <w:sz w:val="24"/>
          <w:szCs w:val="24"/>
        </w:rPr>
        <w:t xml:space="preserve">. They recommendation the adaptation of the modified </w:t>
      </w:r>
      <w:r w:rsidR="004A13F4">
        <w:rPr>
          <w:sz w:val="24"/>
          <w:szCs w:val="24"/>
        </w:rPr>
        <w:t>version</w:t>
      </w:r>
      <w:r>
        <w:rPr>
          <w:sz w:val="24"/>
          <w:szCs w:val="24"/>
        </w:rPr>
        <w:t xml:space="preserve"> of the Home Office’s </w:t>
      </w:r>
      <w:r w:rsidR="00082FAA">
        <w:rPr>
          <w:sz w:val="24"/>
          <w:szCs w:val="24"/>
        </w:rPr>
        <w:t>1998 draft Bill which comes from the</w:t>
      </w:r>
      <w:r w:rsidR="004345F3">
        <w:rPr>
          <w:sz w:val="24"/>
          <w:szCs w:val="24"/>
        </w:rPr>
        <w:t xml:space="preserve"> consultation paper</w:t>
      </w:r>
      <w:r w:rsidR="00082FAA">
        <w:rPr>
          <w:sz w:val="24"/>
          <w:szCs w:val="24"/>
        </w:rPr>
        <w:t xml:space="preserve"> ‘Violence: Reforming the Offences Against the Person Act’. </w:t>
      </w:r>
      <w:r w:rsidR="000B1121">
        <w:rPr>
          <w:sz w:val="24"/>
          <w:szCs w:val="24"/>
        </w:rPr>
        <w:t>(</w:t>
      </w:r>
      <w:r w:rsidR="000B1121" w:rsidRPr="000B1121">
        <w:rPr>
          <w:b/>
          <w:sz w:val="24"/>
          <w:szCs w:val="24"/>
        </w:rPr>
        <w:t>Violence: Reforming the Offences Against the Person Act, 1998</w:t>
      </w:r>
      <w:r w:rsidR="000B1121">
        <w:rPr>
          <w:sz w:val="24"/>
          <w:szCs w:val="24"/>
        </w:rPr>
        <w:t>)</w:t>
      </w:r>
      <w:r w:rsidR="00F41286">
        <w:rPr>
          <w:sz w:val="24"/>
          <w:szCs w:val="24"/>
        </w:rPr>
        <w:t xml:space="preserve">. They would like to modify it to “preserve the present position on disease transmission pending a wider review involving more input from healthcare professionals and bodies”, adding a new summary-only offence of </w:t>
      </w:r>
      <w:r w:rsidR="00F41286" w:rsidRPr="00F41286">
        <w:rPr>
          <w:sz w:val="24"/>
          <w:szCs w:val="24"/>
        </w:rPr>
        <w:t xml:space="preserve">aggravated </w:t>
      </w:r>
      <w:r w:rsidR="00F41286">
        <w:rPr>
          <w:sz w:val="24"/>
          <w:szCs w:val="24"/>
        </w:rPr>
        <w:t xml:space="preserve">assault which will only be tried in a magistrates’ court and carry a maximum sentence of </w:t>
      </w:r>
      <w:r w:rsidR="0006098B">
        <w:rPr>
          <w:sz w:val="24"/>
          <w:szCs w:val="24"/>
        </w:rPr>
        <w:t xml:space="preserve">12 months, which is </w:t>
      </w:r>
      <w:r w:rsidR="00143FB6">
        <w:rPr>
          <w:sz w:val="24"/>
          <w:szCs w:val="24"/>
        </w:rPr>
        <w:t>“</w:t>
      </w:r>
      <w:r w:rsidR="0006098B">
        <w:rPr>
          <w:sz w:val="24"/>
          <w:szCs w:val="24"/>
        </w:rPr>
        <w:t>more serious then assault</w:t>
      </w:r>
      <w:r w:rsidR="00143FB6">
        <w:rPr>
          <w:sz w:val="24"/>
          <w:szCs w:val="24"/>
        </w:rPr>
        <w:t>, as they caused an injury”</w:t>
      </w:r>
      <w:r w:rsidR="0006098B">
        <w:rPr>
          <w:sz w:val="24"/>
          <w:szCs w:val="24"/>
        </w:rPr>
        <w:t xml:space="preserve"> </w:t>
      </w:r>
      <w:r w:rsidR="00143FB6">
        <w:rPr>
          <w:sz w:val="24"/>
          <w:szCs w:val="24"/>
        </w:rPr>
        <w:t xml:space="preserve">but </w:t>
      </w:r>
      <w:r w:rsidR="00F52F78">
        <w:rPr>
          <w:sz w:val="24"/>
          <w:szCs w:val="24"/>
        </w:rPr>
        <w:t>“</w:t>
      </w:r>
      <w:r w:rsidR="006C22B2">
        <w:rPr>
          <w:sz w:val="24"/>
          <w:szCs w:val="24"/>
        </w:rPr>
        <w:t xml:space="preserve">the defendant doesn’t deserve more than </w:t>
      </w:r>
      <w:r w:rsidR="00EF3AA9">
        <w:rPr>
          <w:sz w:val="24"/>
          <w:szCs w:val="24"/>
        </w:rPr>
        <w:t xml:space="preserve">a </w:t>
      </w:r>
      <w:r w:rsidR="006C22B2">
        <w:rPr>
          <w:sz w:val="24"/>
          <w:szCs w:val="24"/>
        </w:rPr>
        <w:t xml:space="preserve">12 months </w:t>
      </w:r>
      <w:r w:rsidR="00EF3AA9">
        <w:rPr>
          <w:sz w:val="24"/>
          <w:szCs w:val="24"/>
        </w:rPr>
        <w:t>sentence</w:t>
      </w:r>
      <w:r w:rsidR="00F52F78">
        <w:rPr>
          <w:sz w:val="24"/>
          <w:szCs w:val="24"/>
        </w:rPr>
        <w:t>”</w:t>
      </w:r>
      <w:r w:rsidR="006D4097">
        <w:rPr>
          <w:sz w:val="24"/>
          <w:szCs w:val="24"/>
        </w:rPr>
        <w:t>,</w:t>
      </w:r>
      <w:r w:rsidR="00E5491C">
        <w:rPr>
          <w:sz w:val="24"/>
          <w:szCs w:val="24"/>
        </w:rPr>
        <w:t xml:space="preserve"> “expanding the offence of threats to kill to also include threats to rape and threats to seriously injure”</w:t>
      </w:r>
      <w:r w:rsidR="006D4097">
        <w:rPr>
          <w:sz w:val="24"/>
          <w:szCs w:val="24"/>
        </w:rPr>
        <w:t xml:space="preserve">, the main injury offence should follow the “corresponding principle” </w:t>
      </w:r>
      <w:r w:rsidR="00553EC2">
        <w:rPr>
          <w:sz w:val="24"/>
          <w:szCs w:val="24"/>
        </w:rPr>
        <w:t>in which harm “required to be intended or foreseen matches the harm done. For example, an offence of ‘recklessly causing serious injury’ it should be a requirement that the defendant foresaw a risk of serious injury”</w:t>
      </w:r>
      <w:r w:rsidR="004D6671">
        <w:rPr>
          <w:sz w:val="24"/>
          <w:szCs w:val="24"/>
        </w:rPr>
        <w:t>, and that there should be “no general offence of recklessly endangering people” but they would still keep endangerment offences related to positions, railway and explosives but they should be replaced by more “similar, simpler offences”</w:t>
      </w:r>
      <w:r w:rsidR="00CD106C">
        <w:rPr>
          <w:sz w:val="24"/>
          <w:szCs w:val="24"/>
        </w:rPr>
        <w:t>.</w:t>
      </w:r>
    </w:p>
    <w:p w:rsidR="00B828F3" w:rsidRDefault="00B828F3">
      <w:pPr>
        <w:rPr>
          <w:sz w:val="24"/>
          <w:szCs w:val="24"/>
        </w:rPr>
      </w:pPr>
      <w:r>
        <w:rPr>
          <w:sz w:val="24"/>
          <w:szCs w:val="24"/>
        </w:rPr>
        <w:t xml:space="preserve">There have been historical attempts to reform the Offence Against the Person Act other than the Home Office Draft Bill 1998, the Criminal Law Revision Committee in 1980 was set up to look at the need for reform, it published its findings leading to the </w:t>
      </w:r>
      <w:r w:rsidR="00092F82">
        <w:rPr>
          <w:sz w:val="24"/>
          <w:szCs w:val="24"/>
        </w:rPr>
        <w:t>Law Commission und</w:t>
      </w:r>
      <w:r w:rsidR="00096415">
        <w:rPr>
          <w:sz w:val="24"/>
          <w:szCs w:val="24"/>
        </w:rPr>
        <w:t>ertaking research in that area (</w:t>
      </w:r>
      <w:r w:rsidR="00FD7BF2" w:rsidRPr="00FD7BF2">
        <w:rPr>
          <w:b/>
          <w:sz w:val="24"/>
          <w:szCs w:val="24"/>
        </w:rPr>
        <w:t>Criminal Law Revision Committee, 1980</w:t>
      </w:r>
      <w:r w:rsidR="00FD7BF2">
        <w:rPr>
          <w:sz w:val="24"/>
          <w:szCs w:val="24"/>
        </w:rPr>
        <w:t xml:space="preserve">). </w:t>
      </w:r>
      <w:r w:rsidR="006000C9">
        <w:rPr>
          <w:sz w:val="24"/>
          <w:szCs w:val="24"/>
        </w:rPr>
        <w:t>In 1985 the Law Commission created the “Codification of the Criminal Law” report which contained a draft bill on it, but it was not considered by Parliament</w:t>
      </w:r>
      <w:r w:rsidR="00EA24F7">
        <w:rPr>
          <w:sz w:val="24"/>
          <w:szCs w:val="24"/>
        </w:rPr>
        <w:t xml:space="preserve"> (</w:t>
      </w:r>
      <w:r w:rsidR="00EA24F7" w:rsidRPr="00EA24F7">
        <w:rPr>
          <w:b/>
          <w:sz w:val="24"/>
          <w:szCs w:val="24"/>
        </w:rPr>
        <w:t>Codification of the Criminal Law, 1985</w:t>
      </w:r>
      <w:r w:rsidR="00EA24F7" w:rsidRPr="00EA24F7">
        <w:rPr>
          <w:sz w:val="24"/>
          <w:szCs w:val="24"/>
        </w:rPr>
        <w:t>)</w:t>
      </w:r>
      <w:r w:rsidR="006000C9">
        <w:rPr>
          <w:sz w:val="24"/>
          <w:szCs w:val="24"/>
        </w:rPr>
        <w:t xml:space="preserve">. </w:t>
      </w:r>
      <w:r w:rsidR="00FD7BF2">
        <w:rPr>
          <w:sz w:val="24"/>
          <w:szCs w:val="24"/>
        </w:rPr>
        <w:t>The Law Commission published a report called “Legislating the Criminal Code: Offences Against the Person Act and General Principles” in 1993, the report described the Offences Against the Person Act 1861</w:t>
      </w:r>
      <w:r w:rsidR="00B305B1">
        <w:rPr>
          <w:sz w:val="24"/>
          <w:szCs w:val="24"/>
        </w:rPr>
        <w:t xml:space="preserve"> and the law of common assault as “ineffective as a vehicle for controlling violence”, that many aspects of the law are “still obscure” and </w:t>
      </w:r>
      <w:r w:rsidR="00A21A45">
        <w:rPr>
          <w:sz w:val="24"/>
          <w:szCs w:val="24"/>
        </w:rPr>
        <w:t>described the</w:t>
      </w:r>
      <w:r w:rsidR="00B305B1">
        <w:rPr>
          <w:sz w:val="24"/>
          <w:szCs w:val="24"/>
        </w:rPr>
        <w:t xml:space="preserve"> application of the act as “erratic”</w:t>
      </w:r>
      <w:r w:rsidR="00474A82">
        <w:rPr>
          <w:sz w:val="24"/>
          <w:szCs w:val="24"/>
        </w:rPr>
        <w:t>), the Report also contained a draft bill addressing some of the problems</w:t>
      </w:r>
      <w:r w:rsidR="00474A82">
        <w:rPr>
          <w:sz w:val="24"/>
          <w:szCs w:val="24"/>
        </w:rPr>
        <w:t xml:space="preserve"> but </w:t>
      </w:r>
      <w:r w:rsidR="006000C9">
        <w:rPr>
          <w:sz w:val="24"/>
          <w:szCs w:val="24"/>
        </w:rPr>
        <w:t xml:space="preserve">much like the 1985 draft bill, </w:t>
      </w:r>
      <w:r w:rsidR="00474A82">
        <w:rPr>
          <w:sz w:val="24"/>
          <w:szCs w:val="24"/>
        </w:rPr>
        <w:t xml:space="preserve">this has not been consider by the British Parliament </w:t>
      </w:r>
      <w:r w:rsidR="00540758">
        <w:rPr>
          <w:sz w:val="24"/>
          <w:szCs w:val="24"/>
        </w:rPr>
        <w:t>(</w:t>
      </w:r>
      <w:r w:rsidR="00540758" w:rsidRPr="00540758">
        <w:rPr>
          <w:b/>
          <w:sz w:val="24"/>
          <w:szCs w:val="24"/>
        </w:rPr>
        <w:t>Legislating the Criminal Code: Offences Against the Person Act and General Principles</w:t>
      </w:r>
      <w:r w:rsidR="00540758" w:rsidRPr="00540758">
        <w:rPr>
          <w:b/>
          <w:sz w:val="24"/>
          <w:szCs w:val="24"/>
        </w:rPr>
        <w:t>, 1993</w:t>
      </w:r>
      <w:r w:rsidR="007705D8">
        <w:rPr>
          <w:b/>
          <w:sz w:val="24"/>
          <w:szCs w:val="24"/>
        </w:rPr>
        <w:t>).</w:t>
      </w:r>
      <w:r w:rsidR="00474A82">
        <w:rPr>
          <w:sz w:val="24"/>
          <w:szCs w:val="24"/>
        </w:rPr>
        <w:t xml:space="preserve"> </w:t>
      </w:r>
      <w:r w:rsidR="007705D8">
        <w:rPr>
          <w:sz w:val="24"/>
          <w:szCs w:val="24"/>
        </w:rPr>
        <w:t>A</w:t>
      </w:r>
      <w:r w:rsidR="00465883">
        <w:rPr>
          <w:sz w:val="24"/>
          <w:szCs w:val="24"/>
        </w:rPr>
        <w:t xml:space="preserve"> year earlier there was a consultation paper </w:t>
      </w:r>
      <w:r w:rsidR="00F0753F">
        <w:rPr>
          <w:sz w:val="24"/>
          <w:szCs w:val="24"/>
        </w:rPr>
        <w:t>also conducted by the Law Commission saying the same thing</w:t>
      </w:r>
      <w:r w:rsidR="001A38E5">
        <w:rPr>
          <w:sz w:val="24"/>
          <w:szCs w:val="24"/>
        </w:rPr>
        <w:t xml:space="preserve">. </w:t>
      </w:r>
      <w:r w:rsidR="00DE3A6D">
        <w:rPr>
          <w:sz w:val="24"/>
          <w:szCs w:val="24"/>
        </w:rPr>
        <w:t>(</w:t>
      </w:r>
      <w:r w:rsidR="00DE3A6D" w:rsidRPr="00DE3A6D">
        <w:rPr>
          <w:b/>
          <w:sz w:val="24"/>
          <w:szCs w:val="24"/>
        </w:rPr>
        <w:t>Legislating the Criminal Code: Offences Against the Person Act and General Principles, 1992</w:t>
      </w:r>
      <w:r w:rsidR="00DE3A6D">
        <w:rPr>
          <w:sz w:val="24"/>
          <w:szCs w:val="24"/>
        </w:rPr>
        <w:t>)</w:t>
      </w:r>
      <w:r w:rsidR="00C67DF5">
        <w:rPr>
          <w:sz w:val="24"/>
          <w:szCs w:val="24"/>
        </w:rPr>
        <w:t xml:space="preserve">. </w:t>
      </w:r>
    </w:p>
    <w:p w:rsidR="00930A17" w:rsidRDefault="00930A17" w:rsidP="00930A17">
      <w:pPr>
        <w:rPr>
          <w:b/>
          <w:sz w:val="24"/>
          <w:szCs w:val="24"/>
        </w:rPr>
      </w:pPr>
      <w:r>
        <w:rPr>
          <w:sz w:val="24"/>
          <w:szCs w:val="24"/>
        </w:rPr>
        <w:t>However</w:t>
      </w:r>
      <w:r w:rsidR="00F41286">
        <w:rPr>
          <w:sz w:val="24"/>
          <w:szCs w:val="24"/>
        </w:rPr>
        <w:t>,</w:t>
      </w:r>
      <w:r>
        <w:rPr>
          <w:sz w:val="24"/>
          <w:szCs w:val="24"/>
        </w:rPr>
        <w:t xml:space="preserve"> </w:t>
      </w:r>
      <w:r w:rsidRPr="00930A17">
        <w:rPr>
          <w:sz w:val="24"/>
          <w:szCs w:val="24"/>
        </w:rPr>
        <w:t>Stavros Demetriou</w:t>
      </w:r>
      <w:r>
        <w:rPr>
          <w:sz w:val="24"/>
          <w:szCs w:val="24"/>
        </w:rPr>
        <w:t xml:space="preserve"> believes the Law Commission’s 2015 recommendations</w:t>
      </w:r>
      <w:r w:rsidR="00F41286">
        <w:rPr>
          <w:sz w:val="24"/>
          <w:szCs w:val="24"/>
        </w:rPr>
        <w:t xml:space="preserve"> are</w:t>
      </w:r>
      <w:r>
        <w:rPr>
          <w:sz w:val="24"/>
          <w:szCs w:val="24"/>
        </w:rPr>
        <w:t xml:space="preserve"> “</w:t>
      </w:r>
      <w:r w:rsidRPr="00930A17">
        <w:rPr>
          <w:sz w:val="24"/>
          <w:szCs w:val="24"/>
        </w:rPr>
        <w:t xml:space="preserve">a good starting point, </w:t>
      </w:r>
      <w:r>
        <w:rPr>
          <w:sz w:val="24"/>
          <w:szCs w:val="24"/>
        </w:rPr>
        <w:t xml:space="preserve">but </w:t>
      </w:r>
      <w:r w:rsidRPr="00930A17">
        <w:rPr>
          <w:sz w:val="24"/>
          <w:szCs w:val="24"/>
        </w:rPr>
        <w:t>a more comprehensive review of the non-fatal offences against the person is needed</w:t>
      </w:r>
      <w:r>
        <w:rPr>
          <w:sz w:val="24"/>
          <w:szCs w:val="24"/>
        </w:rPr>
        <w:t>” and</w:t>
      </w:r>
      <w:r w:rsidR="00F41286">
        <w:rPr>
          <w:sz w:val="24"/>
          <w:szCs w:val="24"/>
        </w:rPr>
        <w:t xml:space="preserve"> that</w:t>
      </w:r>
      <w:r>
        <w:rPr>
          <w:sz w:val="24"/>
          <w:szCs w:val="24"/>
        </w:rPr>
        <w:t xml:space="preserve"> “</w:t>
      </w:r>
      <w:r w:rsidRPr="00930A17">
        <w:rPr>
          <w:sz w:val="24"/>
          <w:szCs w:val="24"/>
        </w:rPr>
        <w:t xml:space="preserve">I understand and appreciate why the Commission decided to </w:t>
      </w:r>
      <w:r w:rsidRPr="00930A17">
        <w:rPr>
          <w:sz w:val="24"/>
          <w:szCs w:val="24"/>
        </w:rPr>
        <w:lastRenderedPageBreak/>
        <w:t>focus their recommendations on core</w:t>
      </w:r>
      <w:r>
        <w:rPr>
          <w:sz w:val="24"/>
          <w:szCs w:val="24"/>
        </w:rPr>
        <w:t xml:space="preserve"> </w:t>
      </w:r>
      <w:r w:rsidRPr="00930A17">
        <w:rPr>
          <w:sz w:val="24"/>
          <w:szCs w:val="24"/>
        </w:rPr>
        <w:t>offences only, highlighting issues of efficiency in magistrates’ courts, and avoiding problem areas that</w:t>
      </w:r>
      <w:r>
        <w:rPr>
          <w:sz w:val="24"/>
          <w:szCs w:val="24"/>
        </w:rPr>
        <w:t xml:space="preserve"> </w:t>
      </w:r>
      <w:r w:rsidRPr="00930A17">
        <w:rPr>
          <w:sz w:val="24"/>
          <w:szCs w:val="24"/>
        </w:rPr>
        <w:t>raise too m</w:t>
      </w:r>
      <w:r w:rsidR="006D4097">
        <w:rPr>
          <w:sz w:val="24"/>
          <w:szCs w:val="24"/>
        </w:rPr>
        <w:t xml:space="preserve">uch controversy and complexity, </w:t>
      </w:r>
      <w:r w:rsidRPr="00930A17">
        <w:rPr>
          <w:sz w:val="24"/>
          <w:szCs w:val="24"/>
        </w:rPr>
        <w:t>but I still think it is disappointing. If the</w:t>
      </w:r>
      <w:r>
        <w:rPr>
          <w:sz w:val="24"/>
          <w:szCs w:val="24"/>
        </w:rPr>
        <w:t xml:space="preserve"> </w:t>
      </w:r>
      <w:r w:rsidRPr="00930A17">
        <w:rPr>
          <w:sz w:val="24"/>
          <w:szCs w:val="24"/>
        </w:rPr>
        <w:t>Commission’s recommendations are not acted upon then we are left with an important, but incomplete,</w:t>
      </w:r>
      <w:r>
        <w:rPr>
          <w:sz w:val="24"/>
          <w:szCs w:val="24"/>
        </w:rPr>
        <w:t xml:space="preserve"> </w:t>
      </w:r>
      <w:r w:rsidRPr="00930A17">
        <w:rPr>
          <w:sz w:val="24"/>
          <w:szCs w:val="24"/>
        </w:rPr>
        <w:t>addition to the scholarship.</w:t>
      </w:r>
      <w:r>
        <w:rPr>
          <w:sz w:val="24"/>
          <w:szCs w:val="24"/>
        </w:rPr>
        <w:t>”</w:t>
      </w:r>
      <w:r w:rsidR="00157C35">
        <w:rPr>
          <w:sz w:val="24"/>
          <w:szCs w:val="24"/>
        </w:rPr>
        <w:t xml:space="preserve"> </w:t>
      </w:r>
      <w:sdt>
        <w:sdtPr>
          <w:rPr>
            <w:b/>
            <w:sz w:val="24"/>
            <w:szCs w:val="24"/>
          </w:rPr>
          <w:id w:val="-571576920"/>
          <w:citation/>
        </w:sdtPr>
        <w:sdtContent>
          <w:r w:rsidR="00157C35" w:rsidRPr="00F83E06">
            <w:rPr>
              <w:b/>
              <w:sz w:val="24"/>
              <w:szCs w:val="24"/>
            </w:rPr>
            <w:fldChar w:fldCharType="begin"/>
          </w:r>
          <w:r w:rsidR="00157C35" w:rsidRPr="00F83E06">
            <w:rPr>
              <w:b/>
              <w:sz w:val="24"/>
              <w:szCs w:val="24"/>
            </w:rPr>
            <w:instrText xml:space="preserve"> CITATION Sta16 \l 2057 </w:instrText>
          </w:r>
          <w:r w:rsidR="00157C35" w:rsidRPr="00F83E06">
            <w:rPr>
              <w:b/>
              <w:sz w:val="24"/>
              <w:szCs w:val="24"/>
            </w:rPr>
            <w:fldChar w:fldCharType="separate"/>
          </w:r>
          <w:r w:rsidR="00157C35" w:rsidRPr="00F83E06">
            <w:rPr>
              <w:b/>
              <w:noProof/>
              <w:sz w:val="24"/>
              <w:szCs w:val="24"/>
            </w:rPr>
            <w:t>(Demetriou, 2016)</w:t>
          </w:r>
          <w:r w:rsidR="00157C35" w:rsidRPr="00F83E06">
            <w:rPr>
              <w:b/>
              <w:sz w:val="24"/>
              <w:szCs w:val="24"/>
            </w:rPr>
            <w:fldChar w:fldCharType="end"/>
          </w:r>
        </w:sdtContent>
      </w:sdt>
    </w:p>
    <w:p w:rsidR="00A07B58" w:rsidRDefault="00A07B58" w:rsidP="00A07B58">
      <w:pPr>
        <w:rPr>
          <w:sz w:val="24"/>
          <w:szCs w:val="24"/>
        </w:rPr>
      </w:pPr>
      <w:r w:rsidRPr="00A07B58">
        <w:rPr>
          <w:sz w:val="24"/>
          <w:szCs w:val="24"/>
        </w:rPr>
        <w:t>John Gardener</w:t>
      </w:r>
      <w:r>
        <w:rPr>
          <w:sz w:val="24"/>
          <w:szCs w:val="24"/>
        </w:rPr>
        <w:t xml:space="preserve"> is another individual who </w:t>
      </w:r>
      <w:r w:rsidR="006D4097">
        <w:rPr>
          <w:sz w:val="24"/>
          <w:szCs w:val="24"/>
        </w:rPr>
        <w:t xml:space="preserve">opposes the Law Commissions’ recommendations </w:t>
      </w:r>
      <w:r w:rsidR="006D4097" w:rsidRPr="00A07B58">
        <w:rPr>
          <w:sz w:val="24"/>
          <w:szCs w:val="24"/>
        </w:rPr>
        <w:t>“</w:t>
      </w:r>
      <w:r w:rsidRPr="00A07B58">
        <w:rPr>
          <w:sz w:val="24"/>
          <w:szCs w:val="24"/>
        </w:rPr>
        <w:t>My own view is that neither of these arguments yields anything like as strong</w:t>
      </w:r>
      <w:r>
        <w:rPr>
          <w:sz w:val="24"/>
          <w:szCs w:val="24"/>
        </w:rPr>
        <w:t xml:space="preserve"> </w:t>
      </w:r>
      <w:r w:rsidRPr="00A07B58">
        <w:rPr>
          <w:sz w:val="24"/>
          <w:szCs w:val="24"/>
        </w:rPr>
        <w:t>a case against the 1861 Act as the Law Commission wants us to believe. Over the</w:t>
      </w:r>
      <w:r>
        <w:rPr>
          <w:sz w:val="24"/>
          <w:szCs w:val="24"/>
        </w:rPr>
        <w:t xml:space="preserve"> </w:t>
      </w:r>
      <w:r w:rsidRPr="00A07B58">
        <w:rPr>
          <w:sz w:val="24"/>
          <w:szCs w:val="24"/>
        </w:rPr>
        <w:t>following pages, indeed, the relevant provisions will be defended against both of the</w:t>
      </w:r>
      <w:r>
        <w:rPr>
          <w:sz w:val="24"/>
          <w:szCs w:val="24"/>
        </w:rPr>
        <w:t xml:space="preserve"> </w:t>
      </w:r>
      <w:r w:rsidRPr="00A07B58">
        <w:rPr>
          <w:sz w:val="24"/>
          <w:szCs w:val="24"/>
        </w:rPr>
        <w:t>Commission’s arguments. Whatever may be their deficiencies, individually or</w:t>
      </w:r>
      <w:r>
        <w:rPr>
          <w:sz w:val="24"/>
          <w:szCs w:val="24"/>
        </w:rPr>
        <w:t xml:space="preserve"> </w:t>
      </w:r>
      <w:r w:rsidRPr="00A07B58">
        <w:rPr>
          <w:sz w:val="24"/>
          <w:szCs w:val="24"/>
        </w:rPr>
        <w:t>collectively, and however strong may be the case for their reform, the deficiencies are</w:t>
      </w:r>
      <w:r>
        <w:rPr>
          <w:sz w:val="24"/>
          <w:szCs w:val="24"/>
        </w:rPr>
        <w:t xml:space="preserve"> </w:t>
      </w:r>
      <w:r w:rsidRPr="00A07B58">
        <w:rPr>
          <w:sz w:val="24"/>
          <w:szCs w:val="24"/>
        </w:rPr>
        <w:t>not those identified by the Commission, and the case for reform is not that upon which</w:t>
      </w:r>
      <w:r>
        <w:rPr>
          <w:sz w:val="24"/>
          <w:szCs w:val="24"/>
        </w:rPr>
        <w:t xml:space="preserve"> </w:t>
      </w:r>
      <w:r w:rsidRPr="00A07B58">
        <w:rPr>
          <w:sz w:val="24"/>
          <w:szCs w:val="24"/>
        </w:rPr>
        <w:t>the Commission relies. And the result of mistaking the problems, as we will see, is the</w:t>
      </w:r>
      <w:r>
        <w:rPr>
          <w:sz w:val="24"/>
          <w:szCs w:val="24"/>
        </w:rPr>
        <w:t xml:space="preserve"> </w:t>
      </w:r>
      <w:r w:rsidRPr="00A07B58">
        <w:rPr>
          <w:sz w:val="24"/>
          <w:szCs w:val="24"/>
        </w:rPr>
        <w:t>mistaking of the solutions. The Commission’s reform proposals promise a statutory</w:t>
      </w:r>
      <w:r>
        <w:rPr>
          <w:sz w:val="24"/>
          <w:szCs w:val="24"/>
        </w:rPr>
        <w:t xml:space="preserve"> </w:t>
      </w:r>
      <w:r w:rsidRPr="00A07B58">
        <w:rPr>
          <w:sz w:val="24"/>
          <w:szCs w:val="24"/>
        </w:rPr>
        <w:t>regime which would possibly do more to damage the law relating to offences against the</w:t>
      </w:r>
      <w:r>
        <w:rPr>
          <w:sz w:val="24"/>
          <w:szCs w:val="24"/>
        </w:rPr>
        <w:t xml:space="preserve"> </w:t>
      </w:r>
      <w:r w:rsidRPr="00A07B58">
        <w:rPr>
          <w:sz w:val="24"/>
          <w:szCs w:val="24"/>
        </w:rPr>
        <w:t>person than it would do to improve it.</w:t>
      </w:r>
      <w:r>
        <w:rPr>
          <w:sz w:val="24"/>
          <w:szCs w:val="24"/>
        </w:rPr>
        <w:t>”</w:t>
      </w:r>
    </w:p>
    <w:p w:rsidR="00840CD0" w:rsidRDefault="005B63BE" w:rsidP="00A07B58">
      <w:pPr>
        <w:rPr>
          <w:sz w:val="24"/>
          <w:szCs w:val="24"/>
        </w:rPr>
      </w:pPr>
      <w:r>
        <w:rPr>
          <w:sz w:val="24"/>
          <w:szCs w:val="24"/>
        </w:rPr>
        <w:t>The 1998 Draft Bill also received criticism which led to a lack of progress in its introduction and thus not been enacted. There is a belief that the Section 47 of the draft bill which created</w:t>
      </w:r>
      <w:r w:rsidR="00C15149">
        <w:rPr>
          <w:sz w:val="24"/>
          <w:szCs w:val="24"/>
        </w:rPr>
        <w:t xml:space="preserve"> a new offence of “recklessly causing injury”</w:t>
      </w:r>
      <w:r>
        <w:rPr>
          <w:sz w:val="24"/>
          <w:szCs w:val="24"/>
        </w:rPr>
        <w:t xml:space="preserve"> should be spilt into two offences</w:t>
      </w:r>
      <w:r w:rsidR="000D526E">
        <w:rPr>
          <w:sz w:val="24"/>
          <w:szCs w:val="24"/>
        </w:rPr>
        <w:t xml:space="preserve">; “intentionally causing injury” and </w:t>
      </w:r>
      <w:r w:rsidR="000D526E">
        <w:rPr>
          <w:sz w:val="24"/>
          <w:szCs w:val="24"/>
        </w:rPr>
        <w:t>“recklessly causing injury”</w:t>
      </w:r>
      <w:r w:rsidR="000D526E">
        <w:rPr>
          <w:sz w:val="24"/>
          <w:szCs w:val="24"/>
        </w:rPr>
        <w:t>, this would bring the offences in line with replacing Section 20 and Section 18 offences of the Offences Against the Person Act</w:t>
      </w:r>
      <w:r w:rsidR="00A73468">
        <w:rPr>
          <w:sz w:val="24"/>
          <w:szCs w:val="24"/>
        </w:rPr>
        <w:t>. The new definition of “injury” was criticized for failing to make a clear distinction between what is sufficient for an injury and what would be charged as a lesser offence of assault, the word “serious” remains undefined and the term “assault” continues to mean both assault and battery.</w:t>
      </w:r>
    </w:p>
    <w:p w:rsidR="00333D9E" w:rsidRPr="00A07B58" w:rsidRDefault="00333D9E" w:rsidP="00A07B58">
      <w:pPr>
        <w:rPr>
          <w:sz w:val="24"/>
          <w:szCs w:val="24"/>
        </w:rPr>
      </w:pPr>
      <w:r>
        <w:rPr>
          <w:sz w:val="24"/>
          <w:szCs w:val="24"/>
        </w:rPr>
        <w:t xml:space="preserve">In conclusion the Offences </w:t>
      </w:r>
      <w:proofErr w:type="gramStart"/>
      <w:r>
        <w:rPr>
          <w:sz w:val="24"/>
          <w:szCs w:val="24"/>
        </w:rPr>
        <w:t>Against</w:t>
      </w:r>
      <w:proofErr w:type="gramEnd"/>
      <w:r>
        <w:rPr>
          <w:sz w:val="24"/>
          <w:szCs w:val="24"/>
        </w:rPr>
        <w:t xml:space="preserve"> the Person Act is insufficient on the basis that is uses archaic, outdated language and is structurally </w:t>
      </w:r>
      <w:r w:rsidR="00221556">
        <w:rPr>
          <w:sz w:val="24"/>
          <w:szCs w:val="24"/>
        </w:rPr>
        <w:t xml:space="preserve">inconsistent, in support of the Law Commission statement. The </w:t>
      </w:r>
      <w:r w:rsidR="00221556">
        <w:rPr>
          <w:sz w:val="24"/>
          <w:szCs w:val="24"/>
        </w:rPr>
        <w:t xml:space="preserve">Offences </w:t>
      </w:r>
      <w:proofErr w:type="gramStart"/>
      <w:r w:rsidR="00221556">
        <w:rPr>
          <w:sz w:val="24"/>
          <w:szCs w:val="24"/>
        </w:rPr>
        <w:t>Against</w:t>
      </w:r>
      <w:proofErr w:type="gramEnd"/>
      <w:r w:rsidR="00221556">
        <w:rPr>
          <w:sz w:val="24"/>
          <w:szCs w:val="24"/>
        </w:rPr>
        <w:t xml:space="preserve"> the Person </w:t>
      </w:r>
      <w:r w:rsidR="00221556">
        <w:rPr>
          <w:sz w:val="24"/>
          <w:szCs w:val="24"/>
        </w:rPr>
        <w:t xml:space="preserve">Act is in need of </w:t>
      </w:r>
      <w:r w:rsidR="00221556" w:rsidRPr="00221556">
        <w:rPr>
          <w:sz w:val="24"/>
          <w:szCs w:val="24"/>
        </w:rPr>
        <w:t>crucial</w:t>
      </w:r>
      <w:r w:rsidR="00221556">
        <w:rPr>
          <w:sz w:val="24"/>
          <w:szCs w:val="24"/>
        </w:rPr>
        <w:t xml:space="preserve"> reform and should be replaced with new legislation which overcomes the problems of the Act. However the issues of the 1998 Draft Bill should also be addressed and considered if any new legislation occurs in relation to replacing the Offences </w:t>
      </w:r>
      <w:proofErr w:type="gramStart"/>
      <w:r w:rsidR="00221556">
        <w:rPr>
          <w:sz w:val="24"/>
          <w:szCs w:val="24"/>
        </w:rPr>
        <w:t>Against</w:t>
      </w:r>
      <w:proofErr w:type="gramEnd"/>
      <w:r w:rsidR="00221556">
        <w:rPr>
          <w:sz w:val="24"/>
          <w:szCs w:val="24"/>
        </w:rPr>
        <w:t xml:space="preserve"> the Person Act.</w:t>
      </w:r>
      <w:bookmarkStart w:id="0" w:name="_GoBack"/>
      <w:bookmarkEnd w:id="0"/>
    </w:p>
    <w:sdt>
      <w:sdtPr>
        <w:id w:val="9288527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B2FE3" w:rsidRDefault="00DB2FE3">
          <w:pPr>
            <w:pStyle w:val="Heading1"/>
          </w:pPr>
          <w:r>
            <w:t>References</w:t>
          </w:r>
        </w:p>
        <w:sdt>
          <w:sdtPr>
            <w:id w:val="-573587230"/>
            <w:bibliography/>
          </w:sdtPr>
          <w:sdtContent>
            <w:sdt>
              <w:sdtPr>
                <w:rPr>
                  <w:sz w:val="24"/>
                  <w:szCs w:val="24"/>
                </w:rPr>
                <w:id w:val="111145805"/>
                <w:bibliography/>
              </w:sdtPr>
              <w:sdtContent>
                <w:p w:rsidR="00DB2FE3" w:rsidRPr="006F3291" w:rsidRDefault="00DB2FE3" w:rsidP="00DB2FE3">
                  <w:pPr>
                    <w:pStyle w:val="Bibliography"/>
                  </w:pPr>
                  <w:r w:rsidRPr="006F3291">
                    <w:t xml:space="preserve">Offences </w:t>
                  </w:r>
                  <w:proofErr w:type="gramStart"/>
                  <w:r w:rsidRPr="006F3291">
                    <w:t>Against</w:t>
                  </w:r>
                  <w:proofErr w:type="gramEnd"/>
                  <w:r w:rsidRPr="006F3291">
                    <w:t xml:space="preserve"> the Person Act 1861</w:t>
                  </w:r>
                </w:p>
                <w:p w:rsidR="00DB2FE3" w:rsidRPr="006F3291" w:rsidRDefault="00DB2FE3" w:rsidP="00DB2FE3">
                  <w:pPr>
                    <w:pStyle w:val="Bibliography"/>
                  </w:pPr>
                  <w:r w:rsidRPr="006F3291">
                    <w:t xml:space="preserve">R v </w:t>
                  </w:r>
                  <w:proofErr w:type="spellStart"/>
                  <w:r w:rsidRPr="006F3291">
                    <w:t>Constanza</w:t>
                  </w:r>
                  <w:proofErr w:type="spellEnd"/>
                  <w:r w:rsidRPr="006F3291">
                    <w:t xml:space="preserve"> [1997] Crim LR 576</w:t>
                  </w:r>
                </w:p>
                <w:p w:rsidR="00DB2FE3" w:rsidRPr="006F3291" w:rsidRDefault="00DB2FE3" w:rsidP="00DB2FE3">
                  <w:pPr>
                    <w:pStyle w:val="Bibliography"/>
                  </w:pPr>
                  <w:r w:rsidRPr="006F3291">
                    <w:t>Law Commission</w:t>
                  </w:r>
                  <w:r w:rsidRPr="006F3291">
                    <w:rPr>
                      <w:i/>
                    </w:rPr>
                    <w:t>, ‘Reform of Offences against the Person’</w:t>
                  </w:r>
                  <w:r w:rsidRPr="006F3291">
                    <w:t xml:space="preserve"> (Report November 2015), accessed 27 January 2021</w:t>
                  </w:r>
                </w:p>
                <w:p w:rsidR="00DB2FE3" w:rsidRPr="006F3291" w:rsidRDefault="00DB2FE3" w:rsidP="00DB2FE3">
                  <w:pPr>
                    <w:pStyle w:val="Bibliography"/>
                  </w:pPr>
                  <w:r w:rsidRPr="006F3291">
                    <w:t>DPP v Smith [1961] AC 290 House of Lords</w:t>
                  </w:r>
                </w:p>
                <w:p w:rsidR="00DB2FE3" w:rsidRPr="006F3291" w:rsidRDefault="00DB2FE3" w:rsidP="00DB2FE3">
                  <w:r w:rsidRPr="006F3291">
                    <w:t xml:space="preserve">R v </w:t>
                  </w:r>
                  <w:proofErr w:type="spellStart"/>
                  <w:r w:rsidRPr="006F3291">
                    <w:t>Bollom</w:t>
                  </w:r>
                  <w:proofErr w:type="spellEnd"/>
                  <w:r w:rsidRPr="006F3291">
                    <w:t xml:space="preserve"> [2004] 2 Cr App R 6 </w:t>
                  </w:r>
                </w:p>
                <w:p w:rsidR="00DB2FE3" w:rsidRPr="006F3291" w:rsidRDefault="00DB2FE3" w:rsidP="00DB2FE3">
                  <w:r w:rsidRPr="006F3291">
                    <w:t xml:space="preserve">Ireland v </w:t>
                  </w:r>
                  <w:proofErr w:type="spellStart"/>
                  <w:r w:rsidRPr="006F3291">
                    <w:t>Burstow</w:t>
                  </w:r>
                  <w:proofErr w:type="spellEnd"/>
                  <w:r w:rsidRPr="006F3291">
                    <w:t xml:space="preserve"> [1997] UKHL 34</w:t>
                  </w:r>
                </w:p>
                <w:p w:rsidR="00DB2FE3" w:rsidRPr="006F3291" w:rsidRDefault="00DB2FE3" w:rsidP="00DB2FE3">
                  <w:r w:rsidRPr="006F3291">
                    <w:lastRenderedPageBreak/>
                    <w:t xml:space="preserve">Professor David Ormerod QC, Law Commissioner (2015), </w:t>
                  </w:r>
                  <w:r w:rsidRPr="006F3291">
                    <w:rPr>
                      <w:i/>
                    </w:rPr>
                    <w:t>Offences against the person - the need for reform</w:t>
                  </w:r>
                  <w:r w:rsidRPr="006F3291">
                    <w:t xml:space="preserve">, available at </w:t>
                  </w:r>
                  <w:hyperlink r:id="rId5" w:history="1">
                    <w:r w:rsidRPr="006F3291">
                      <w:rPr>
                        <w:rStyle w:val="Hyperlink"/>
                      </w:rPr>
                      <w:t>https://www.youtube.com/watch?v=diWKWOdY8IQ&amp;feature=emb_title</w:t>
                    </w:r>
                  </w:hyperlink>
                  <w:r w:rsidRPr="006F3291">
                    <w:t xml:space="preserve"> </w:t>
                  </w:r>
                </w:p>
                <w:p w:rsidR="00DB2FE3" w:rsidRPr="006F3291" w:rsidRDefault="00DB2FE3" w:rsidP="00DB2FE3">
                  <w:r w:rsidRPr="006F3291">
                    <w:t>The Criminal Bar Association, Proposed Reform of the Offences Against the Person Act 1861 (12 February 2015), Consultation by the Law Commission</w:t>
                  </w:r>
                </w:p>
                <w:p w:rsidR="00157C35" w:rsidRDefault="00DB2FE3" w:rsidP="00157C35">
                  <w:pPr>
                    <w:pStyle w:val="Bibliography"/>
                  </w:pPr>
                  <w:r w:rsidRPr="006F3291">
                    <w:t>Home Office, ‘Violence: Reforming the Offences against the Person Act 1861’ (1998), Consultation Paper</w:t>
                  </w:r>
                </w:p>
                <w:p w:rsidR="00157C35" w:rsidRDefault="00DB2FE3" w:rsidP="00157C35">
                  <w:pPr>
                    <w:pStyle w:val="Bibliography"/>
                    <w:rPr>
                      <w:noProof/>
                    </w:rPr>
                  </w:pPr>
                  <w:r>
                    <w:fldChar w:fldCharType="begin"/>
                  </w:r>
                  <w:r>
                    <w:instrText xml:space="preserve"> BIBLIOGRAPHY </w:instrText>
                  </w:r>
                  <w:r>
                    <w:fldChar w:fldCharType="separate"/>
                  </w:r>
                  <w:r w:rsidR="00157C35">
                    <w:rPr>
                      <w:noProof/>
                    </w:rPr>
                    <w:t xml:space="preserve">Demetriou, S., 2016. Not Giving Up the Fight: A Review of the Law Commission’s Scoping Report on Non-fatal Offences Against the Person. </w:t>
                  </w:r>
                  <w:r w:rsidR="00157C35">
                    <w:rPr>
                      <w:i/>
                      <w:iCs/>
                      <w:noProof/>
                    </w:rPr>
                    <w:t xml:space="preserve">The Journal of Criminal Law, </w:t>
                  </w:r>
                  <w:r w:rsidR="00157C35">
                    <w:rPr>
                      <w:noProof/>
                    </w:rPr>
                    <w:t>80 (3)(188–200), p. 199.</w:t>
                  </w:r>
                </w:p>
              </w:sdtContent>
            </w:sdt>
            <w:p w:rsidR="00157C35" w:rsidRDefault="00157C35" w:rsidP="00157C35">
              <w:pPr>
                <w:pStyle w:val="Bibliography"/>
                <w:rPr>
                  <w:noProof/>
                </w:rPr>
              </w:pPr>
              <w:r>
                <w:rPr>
                  <w:noProof/>
                </w:rPr>
                <w:t xml:space="preserve">Eugenicos, A.-M., 2017. Should We Reform the Offences Against the Person Act 1861?. </w:t>
              </w:r>
              <w:r>
                <w:rPr>
                  <w:i/>
                  <w:iCs/>
                  <w:noProof/>
                </w:rPr>
                <w:t xml:space="preserve">The Journal of Criminal Law, </w:t>
              </w:r>
              <w:r>
                <w:rPr>
                  <w:noProof/>
                </w:rPr>
                <w:t>81(26–32), p. 31.</w:t>
              </w:r>
            </w:p>
            <w:p w:rsidR="006000C9" w:rsidRDefault="00DB2FE3" w:rsidP="00157C35">
              <w:pPr>
                <w:rPr>
                  <w:bCs/>
                  <w:noProof/>
                </w:rPr>
              </w:pPr>
              <w:r>
                <w:rPr>
                  <w:b/>
                  <w:bCs/>
                  <w:noProof/>
                </w:rPr>
                <w:fldChar w:fldCharType="end"/>
              </w:r>
              <w:r w:rsidR="00096415">
                <w:t>Criminal Law Revision Committee, Fourteenth Repor</w:t>
              </w:r>
              <w:r w:rsidR="00F427CD">
                <w:t>t, Offences against the Person (</w:t>
              </w:r>
              <w:r w:rsidR="00540758">
                <w:t xml:space="preserve">Report </w:t>
              </w:r>
              <w:r w:rsidR="00096415">
                <w:t>1980</w:t>
              </w:r>
              <w:r w:rsidR="00F427CD">
                <w:t>)</w:t>
              </w:r>
              <w:r w:rsidR="00096415">
                <w:t xml:space="preserve">. Available at </w:t>
              </w:r>
              <w:hyperlink r:id="rId6" w:history="1">
                <w:r w:rsidR="00540758" w:rsidRPr="00524D2E">
                  <w:rPr>
                    <w:rStyle w:val="Hyperlink"/>
                    <w:bCs/>
                    <w:noProof/>
                  </w:rPr>
                  <w:t>https://onlinelibrary.wiley.com/doi/pdf/10.1111/j.1468-2230.1980.tb01615.x</w:t>
                </w:r>
              </w:hyperlink>
            </w:p>
            <w:p w:rsidR="00540758" w:rsidRDefault="006000C9" w:rsidP="00157C35">
              <w:r w:rsidRPr="006F3291">
                <w:t>Law Commission</w:t>
              </w:r>
              <w:r>
                <w:t xml:space="preserve">, </w:t>
              </w:r>
              <w:r w:rsidRPr="006000C9">
                <w:t>Codification of the Criminal Law</w:t>
              </w:r>
              <w:r>
                <w:t xml:space="preserve"> (Report 28 March 1985). </w:t>
              </w:r>
              <w:r>
                <w:t xml:space="preserve">Available at </w:t>
              </w:r>
              <w:hyperlink r:id="rId7" w:history="1">
                <w:r w:rsidRPr="00524D2E">
                  <w:rPr>
                    <w:rStyle w:val="Hyperlink"/>
                  </w:rPr>
                  <w:t>https://assets.publishing.service.gov.uk/government/uploads/system/uploads/attachment_data/file/228596/0270.pdf</w:t>
                </w:r>
              </w:hyperlink>
              <w:r>
                <w:t xml:space="preserve"> </w:t>
              </w:r>
            </w:p>
          </w:sdtContent>
        </w:sdt>
        <w:p w:rsidR="001A38E5" w:rsidRDefault="00540758" w:rsidP="00157C35">
          <w:r w:rsidRPr="006F3291">
            <w:t>Law Commission</w:t>
          </w:r>
          <w:r>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w:t>
          </w:r>
          <w:r>
            <w:t xml:space="preserve">Report </w:t>
          </w:r>
          <w:r w:rsidRPr="00540758">
            <w:t>1993</w:t>
          </w:r>
          <w:r>
            <w:t>)</w:t>
          </w:r>
        </w:p>
        <w:p w:rsidR="00DB2FE3" w:rsidRDefault="001A38E5" w:rsidP="00157C35">
          <w:r w:rsidRPr="006F3291">
            <w:t>Law Commission</w:t>
          </w:r>
          <w:r>
            <w:t xml:space="preserve">, </w:t>
          </w:r>
          <w:r w:rsidR="00D410E6" w:rsidRPr="00D410E6">
            <w:t>Consultation Paper No. 122</w:t>
          </w:r>
          <w:r w:rsidR="00A77468">
            <w:t>;</w:t>
          </w:r>
          <w:r w:rsidR="00D410E6">
            <w:t xml:space="preserve"> </w:t>
          </w:r>
          <w:r w:rsidRPr="00540758">
            <w:rPr>
              <w:i/>
            </w:rPr>
            <w:t xml:space="preserve">‘Legislating the Criminal Code: Offences </w:t>
          </w:r>
          <w:proofErr w:type="gramStart"/>
          <w:r w:rsidRPr="00540758">
            <w:rPr>
              <w:i/>
            </w:rPr>
            <w:t>Against</w:t>
          </w:r>
          <w:proofErr w:type="gramEnd"/>
          <w:r w:rsidRPr="00540758">
            <w:rPr>
              <w:i/>
            </w:rPr>
            <w:t xml:space="preserve"> the Person Act and General Principles’ </w:t>
          </w:r>
          <w:r>
            <w:t>(</w:t>
          </w:r>
          <w:r w:rsidR="00D410E6">
            <w:t>1992</w:t>
          </w:r>
          <w:r>
            <w:t>)</w:t>
          </w:r>
          <w:r>
            <w:t xml:space="preserve">, available at </w:t>
          </w:r>
          <w:hyperlink r:id="rId8" w:history="1">
            <w:r w:rsidRPr="00524D2E">
              <w:rPr>
                <w:rStyle w:val="Hyperlink"/>
              </w:rPr>
              <w:t>http://www.lawcom.gov.uk/app/uploads/2016/08/No.122-Legislating-the-Criminal-Code-Offences-against-the-Person-and-General-Principles-A-Consultation-Paper.pdf</w:t>
            </w:r>
          </w:hyperlink>
          <w:r>
            <w:t xml:space="preserve"> </w:t>
          </w:r>
        </w:p>
      </w:sdtContent>
    </w:sdt>
    <w:p w:rsidR="00DB2FE3" w:rsidRDefault="00DB2FE3" w:rsidP="00DB2FE3"/>
    <w:p w:rsidR="002F27E2" w:rsidRPr="00932BF2" w:rsidRDefault="002F27E2" w:rsidP="000C2B9D">
      <w:pPr>
        <w:rPr>
          <w:sz w:val="24"/>
          <w:szCs w:val="24"/>
        </w:rPr>
      </w:pPr>
    </w:p>
    <w:p w:rsidR="002F27E2" w:rsidRDefault="002F27E2" w:rsidP="002F27E2"/>
    <w:p w:rsidR="000C5CF6" w:rsidRDefault="000C5CF6" w:rsidP="002F27E2"/>
    <w:p w:rsidR="000C5CF6" w:rsidRDefault="000C5CF6" w:rsidP="000C5CF6"/>
    <w:p w:rsidR="000C5CF6" w:rsidRPr="000C5CF6" w:rsidRDefault="000C5CF6">
      <w:pPr>
        <w:rPr>
          <w:sz w:val="24"/>
          <w:szCs w:val="24"/>
        </w:rPr>
      </w:pPr>
    </w:p>
    <w:sectPr w:rsidR="000C5CF6" w:rsidRPr="000C5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822"/>
    <w:rsid w:val="00006E6D"/>
    <w:rsid w:val="00011A9D"/>
    <w:rsid w:val="0001626A"/>
    <w:rsid w:val="0006098B"/>
    <w:rsid w:val="00082FAA"/>
    <w:rsid w:val="00086CFF"/>
    <w:rsid w:val="000900BE"/>
    <w:rsid w:val="00090C76"/>
    <w:rsid w:val="000913D8"/>
    <w:rsid w:val="00092F82"/>
    <w:rsid w:val="00096415"/>
    <w:rsid w:val="000B1121"/>
    <w:rsid w:val="000C2B9D"/>
    <w:rsid w:val="000C34F7"/>
    <w:rsid w:val="000C5CF6"/>
    <w:rsid w:val="000D526E"/>
    <w:rsid w:val="000E6A3C"/>
    <w:rsid w:val="000F2893"/>
    <w:rsid w:val="000F7BA5"/>
    <w:rsid w:val="00136840"/>
    <w:rsid w:val="00143FB6"/>
    <w:rsid w:val="001517BC"/>
    <w:rsid w:val="00157C35"/>
    <w:rsid w:val="001A38E5"/>
    <w:rsid w:val="001A77B8"/>
    <w:rsid w:val="001D550A"/>
    <w:rsid w:val="001E7260"/>
    <w:rsid w:val="00221556"/>
    <w:rsid w:val="002318BF"/>
    <w:rsid w:val="0023190B"/>
    <w:rsid w:val="00264CE4"/>
    <w:rsid w:val="002658CE"/>
    <w:rsid w:val="002941B1"/>
    <w:rsid w:val="002B429D"/>
    <w:rsid w:val="002B473F"/>
    <w:rsid w:val="002D5BF7"/>
    <w:rsid w:val="002F27E2"/>
    <w:rsid w:val="002F560A"/>
    <w:rsid w:val="003057D0"/>
    <w:rsid w:val="00305B99"/>
    <w:rsid w:val="0030691F"/>
    <w:rsid w:val="003209D3"/>
    <w:rsid w:val="003320CF"/>
    <w:rsid w:val="00333082"/>
    <w:rsid w:val="00333D9E"/>
    <w:rsid w:val="003436D7"/>
    <w:rsid w:val="00347257"/>
    <w:rsid w:val="0035202A"/>
    <w:rsid w:val="00371019"/>
    <w:rsid w:val="003A0A91"/>
    <w:rsid w:val="003D250A"/>
    <w:rsid w:val="003D4AB0"/>
    <w:rsid w:val="00411E84"/>
    <w:rsid w:val="00430CCC"/>
    <w:rsid w:val="004345F3"/>
    <w:rsid w:val="00465883"/>
    <w:rsid w:val="00474A82"/>
    <w:rsid w:val="004A13F4"/>
    <w:rsid w:val="004C097C"/>
    <w:rsid w:val="004D0377"/>
    <w:rsid w:val="004D6671"/>
    <w:rsid w:val="004E03BA"/>
    <w:rsid w:val="004E09CE"/>
    <w:rsid w:val="00540600"/>
    <w:rsid w:val="00540758"/>
    <w:rsid w:val="00542B57"/>
    <w:rsid w:val="00553EC2"/>
    <w:rsid w:val="00582266"/>
    <w:rsid w:val="005A0B27"/>
    <w:rsid w:val="005B63BE"/>
    <w:rsid w:val="005C14B0"/>
    <w:rsid w:val="005C5EBF"/>
    <w:rsid w:val="005C690B"/>
    <w:rsid w:val="005D6C24"/>
    <w:rsid w:val="005D7327"/>
    <w:rsid w:val="005D7E5C"/>
    <w:rsid w:val="005E2A8C"/>
    <w:rsid w:val="005E302C"/>
    <w:rsid w:val="005E3105"/>
    <w:rsid w:val="006000C9"/>
    <w:rsid w:val="006054AF"/>
    <w:rsid w:val="00620823"/>
    <w:rsid w:val="00625639"/>
    <w:rsid w:val="00636484"/>
    <w:rsid w:val="0065706A"/>
    <w:rsid w:val="00680598"/>
    <w:rsid w:val="00690276"/>
    <w:rsid w:val="0069786D"/>
    <w:rsid w:val="00697B0D"/>
    <w:rsid w:val="006C22B2"/>
    <w:rsid w:val="006C2329"/>
    <w:rsid w:val="006D4097"/>
    <w:rsid w:val="006E7C55"/>
    <w:rsid w:val="006F3291"/>
    <w:rsid w:val="006F34EB"/>
    <w:rsid w:val="007705D8"/>
    <w:rsid w:val="00780B51"/>
    <w:rsid w:val="00793DFB"/>
    <w:rsid w:val="007D0BE3"/>
    <w:rsid w:val="007D1F61"/>
    <w:rsid w:val="00802CAB"/>
    <w:rsid w:val="00815DD1"/>
    <w:rsid w:val="00840CD0"/>
    <w:rsid w:val="00841ED9"/>
    <w:rsid w:val="008A30CB"/>
    <w:rsid w:val="008A7DA5"/>
    <w:rsid w:val="00930A17"/>
    <w:rsid w:val="00932BF2"/>
    <w:rsid w:val="009445D6"/>
    <w:rsid w:val="009F217F"/>
    <w:rsid w:val="00A07B58"/>
    <w:rsid w:val="00A21A45"/>
    <w:rsid w:val="00A30648"/>
    <w:rsid w:val="00A434E5"/>
    <w:rsid w:val="00A44433"/>
    <w:rsid w:val="00A44A02"/>
    <w:rsid w:val="00A45B2D"/>
    <w:rsid w:val="00A73468"/>
    <w:rsid w:val="00A7446D"/>
    <w:rsid w:val="00A77468"/>
    <w:rsid w:val="00A84F75"/>
    <w:rsid w:val="00AA574B"/>
    <w:rsid w:val="00AE470B"/>
    <w:rsid w:val="00B057B9"/>
    <w:rsid w:val="00B05DF9"/>
    <w:rsid w:val="00B26A0A"/>
    <w:rsid w:val="00B305B1"/>
    <w:rsid w:val="00B828F3"/>
    <w:rsid w:val="00B9244A"/>
    <w:rsid w:val="00BA616A"/>
    <w:rsid w:val="00BC4B29"/>
    <w:rsid w:val="00C046BC"/>
    <w:rsid w:val="00C06776"/>
    <w:rsid w:val="00C15149"/>
    <w:rsid w:val="00C476AA"/>
    <w:rsid w:val="00C57065"/>
    <w:rsid w:val="00C67DF5"/>
    <w:rsid w:val="00C720C0"/>
    <w:rsid w:val="00CB7168"/>
    <w:rsid w:val="00CC23E1"/>
    <w:rsid w:val="00CD106C"/>
    <w:rsid w:val="00D14822"/>
    <w:rsid w:val="00D36A45"/>
    <w:rsid w:val="00D410E6"/>
    <w:rsid w:val="00D464F8"/>
    <w:rsid w:val="00DA108F"/>
    <w:rsid w:val="00DA6DA5"/>
    <w:rsid w:val="00DB1B7B"/>
    <w:rsid w:val="00DB2FE3"/>
    <w:rsid w:val="00DE3A6D"/>
    <w:rsid w:val="00DF03E6"/>
    <w:rsid w:val="00DF2451"/>
    <w:rsid w:val="00E4494A"/>
    <w:rsid w:val="00E5491C"/>
    <w:rsid w:val="00E85396"/>
    <w:rsid w:val="00EA24F7"/>
    <w:rsid w:val="00EA3093"/>
    <w:rsid w:val="00EA3AA4"/>
    <w:rsid w:val="00EA57A2"/>
    <w:rsid w:val="00ED4AA0"/>
    <w:rsid w:val="00ED6341"/>
    <w:rsid w:val="00EF3AA9"/>
    <w:rsid w:val="00EF3AFE"/>
    <w:rsid w:val="00F0753F"/>
    <w:rsid w:val="00F2019C"/>
    <w:rsid w:val="00F40044"/>
    <w:rsid w:val="00F41286"/>
    <w:rsid w:val="00F427CD"/>
    <w:rsid w:val="00F52F78"/>
    <w:rsid w:val="00F617D9"/>
    <w:rsid w:val="00F83E06"/>
    <w:rsid w:val="00FB4110"/>
    <w:rsid w:val="00FC7088"/>
    <w:rsid w:val="00FD7BF2"/>
    <w:rsid w:val="00FE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3FA4E-1CD0-4674-B83D-9576F80D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5CF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F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C5CF6"/>
  </w:style>
  <w:style w:type="paragraph" w:styleId="TOCHeading">
    <w:name w:val="TOC Heading"/>
    <w:basedOn w:val="Heading1"/>
    <w:next w:val="Normal"/>
    <w:uiPriority w:val="39"/>
    <w:unhideWhenUsed/>
    <w:qFormat/>
    <w:rsid w:val="002F27E2"/>
    <w:pPr>
      <w:outlineLvl w:val="9"/>
    </w:pPr>
  </w:style>
  <w:style w:type="paragraph" w:styleId="TOC1">
    <w:name w:val="toc 1"/>
    <w:basedOn w:val="Normal"/>
    <w:next w:val="Normal"/>
    <w:autoRedefine/>
    <w:uiPriority w:val="39"/>
    <w:unhideWhenUsed/>
    <w:rsid w:val="002F27E2"/>
    <w:pPr>
      <w:spacing w:after="100"/>
    </w:pPr>
  </w:style>
  <w:style w:type="character" w:styleId="Hyperlink">
    <w:name w:val="Hyperlink"/>
    <w:basedOn w:val="DefaultParagraphFont"/>
    <w:uiPriority w:val="99"/>
    <w:unhideWhenUsed/>
    <w:rsid w:val="002F2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34654">
      <w:bodyDiv w:val="1"/>
      <w:marLeft w:val="0"/>
      <w:marRight w:val="0"/>
      <w:marTop w:val="0"/>
      <w:marBottom w:val="0"/>
      <w:divBdr>
        <w:top w:val="none" w:sz="0" w:space="0" w:color="auto"/>
        <w:left w:val="none" w:sz="0" w:space="0" w:color="auto"/>
        <w:bottom w:val="none" w:sz="0" w:space="0" w:color="auto"/>
        <w:right w:val="none" w:sz="0" w:space="0" w:color="auto"/>
      </w:divBdr>
    </w:div>
    <w:div w:id="136655714">
      <w:bodyDiv w:val="1"/>
      <w:marLeft w:val="0"/>
      <w:marRight w:val="0"/>
      <w:marTop w:val="0"/>
      <w:marBottom w:val="0"/>
      <w:divBdr>
        <w:top w:val="none" w:sz="0" w:space="0" w:color="auto"/>
        <w:left w:val="none" w:sz="0" w:space="0" w:color="auto"/>
        <w:bottom w:val="none" w:sz="0" w:space="0" w:color="auto"/>
        <w:right w:val="none" w:sz="0" w:space="0" w:color="auto"/>
      </w:divBdr>
    </w:div>
    <w:div w:id="169218236">
      <w:bodyDiv w:val="1"/>
      <w:marLeft w:val="0"/>
      <w:marRight w:val="0"/>
      <w:marTop w:val="0"/>
      <w:marBottom w:val="0"/>
      <w:divBdr>
        <w:top w:val="none" w:sz="0" w:space="0" w:color="auto"/>
        <w:left w:val="none" w:sz="0" w:space="0" w:color="auto"/>
        <w:bottom w:val="none" w:sz="0" w:space="0" w:color="auto"/>
        <w:right w:val="none" w:sz="0" w:space="0" w:color="auto"/>
      </w:divBdr>
    </w:div>
    <w:div w:id="289017143">
      <w:bodyDiv w:val="1"/>
      <w:marLeft w:val="0"/>
      <w:marRight w:val="0"/>
      <w:marTop w:val="0"/>
      <w:marBottom w:val="0"/>
      <w:divBdr>
        <w:top w:val="none" w:sz="0" w:space="0" w:color="auto"/>
        <w:left w:val="none" w:sz="0" w:space="0" w:color="auto"/>
        <w:bottom w:val="none" w:sz="0" w:space="0" w:color="auto"/>
        <w:right w:val="none" w:sz="0" w:space="0" w:color="auto"/>
      </w:divBdr>
    </w:div>
    <w:div w:id="441808624">
      <w:bodyDiv w:val="1"/>
      <w:marLeft w:val="0"/>
      <w:marRight w:val="0"/>
      <w:marTop w:val="0"/>
      <w:marBottom w:val="0"/>
      <w:divBdr>
        <w:top w:val="none" w:sz="0" w:space="0" w:color="auto"/>
        <w:left w:val="none" w:sz="0" w:space="0" w:color="auto"/>
        <w:bottom w:val="none" w:sz="0" w:space="0" w:color="auto"/>
        <w:right w:val="none" w:sz="0" w:space="0" w:color="auto"/>
      </w:divBdr>
    </w:div>
    <w:div w:id="618613399">
      <w:bodyDiv w:val="1"/>
      <w:marLeft w:val="0"/>
      <w:marRight w:val="0"/>
      <w:marTop w:val="0"/>
      <w:marBottom w:val="0"/>
      <w:divBdr>
        <w:top w:val="none" w:sz="0" w:space="0" w:color="auto"/>
        <w:left w:val="none" w:sz="0" w:space="0" w:color="auto"/>
        <w:bottom w:val="none" w:sz="0" w:space="0" w:color="auto"/>
        <w:right w:val="none" w:sz="0" w:space="0" w:color="auto"/>
      </w:divBdr>
    </w:div>
    <w:div w:id="635137901">
      <w:bodyDiv w:val="1"/>
      <w:marLeft w:val="0"/>
      <w:marRight w:val="0"/>
      <w:marTop w:val="0"/>
      <w:marBottom w:val="0"/>
      <w:divBdr>
        <w:top w:val="none" w:sz="0" w:space="0" w:color="auto"/>
        <w:left w:val="none" w:sz="0" w:space="0" w:color="auto"/>
        <w:bottom w:val="none" w:sz="0" w:space="0" w:color="auto"/>
        <w:right w:val="none" w:sz="0" w:space="0" w:color="auto"/>
      </w:divBdr>
    </w:div>
    <w:div w:id="718944513">
      <w:bodyDiv w:val="1"/>
      <w:marLeft w:val="0"/>
      <w:marRight w:val="0"/>
      <w:marTop w:val="0"/>
      <w:marBottom w:val="0"/>
      <w:divBdr>
        <w:top w:val="none" w:sz="0" w:space="0" w:color="auto"/>
        <w:left w:val="none" w:sz="0" w:space="0" w:color="auto"/>
        <w:bottom w:val="none" w:sz="0" w:space="0" w:color="auto"/>
        <w:right w:val="none" w:sz="0" w:space="0" w:color="auto"/>
      </w:divBdr>
    </w:div>
    <w:div w:id="834882037">
      <w:bodyDiv w:val="1"/>
      <w:marLeft w:val="0"/>
      <w:marRight w:val="0"/>
      <w:marTop w:val="0"/>
      <w:marBottom w:val="0"/>
      <w:divBdr>
        <w:top w:val="none" w:sz="0" w:space="0" w:color="auto"/>
        <w:left w:val="none" w:sz="0" w:space="0" w:color="auto"/>
        <w:bottom w:val="none" w:sz="0" w:space="0" w:color="auto"/>
        <w:right w:val="none" w:sz="0" w:space="0" w:color="auto"/>
      </w:divBdr>
    </w:div>
    <w:div w:id="859274730">
      <w:bodyDiv w:val="1"/>
      <w:marLeft w:val="0"/>
      <w:marRight w:val="0"/>
      <w:marTop w:val="0"/>
      <w:marBottom w:val="0"/>
      <w:divBdr>
        <w:top w:val="none" w:sz="0" w:space="0" w:color="auto"/>
        <w:left w:val="none" w:sz="0" w:space="0" w:color="auto"/>
        <w:bottom w:val="none" w:sz="0" w:space="0" w:color="auto"/>
        <w:right w:val="none" w:sz="0" w:space="0" w:color="auto"/>
      </w:divBdr>
    </w:div>
    <w:div w:id="1007564644">
      <w:bodyDiv w:val="1"/>
      <w:marLeft w:val="0"/>
      <w:marRight w:val="0"/>
      <w:marTop w:val="0"/>
      <w:marBottom w:val="0"/>
      <w:divBdr>
        <w:top w:val="none" w:sz="0" w:space="0" w:color="auto"/>
        <w:left w:val="none" w:sz="0" w:space="0" w:color="auto"/>
        <w:bottom w:val="none" w:sz="0" w:space="0" w:color="auto"/>
        <w:right w:val="none" w:sz="0" w:space="0" w:color="auto"/>
      </w:divBdr>
    </w:div>
    <w:div w:id="1009597868">
      <w:bodyDiv w:val="1"/>
      <w:marLeft w:val="0"/>
      <w:marRight w:val="0"/>
      <w:marTop w:val="0"/>
      <w:marBottom w:val="0"/>
      <w:divBdr>
        <w:top w:val="none" w:sz="0" w:space="0" w:color="auto"/>
        <w:left w:val="none" w:sz="0" w:space="0" w:color="auto"/>
        <w:bottom w:val="none" w:sz="0" w:space="0" w:color="auto"/>
        <w:right w:val="none" w:sz="0" w:space="0" w:color="auto"/>
      </w:divBdr>
    </w:div>
    <w:div w:id="1043944046">
      <w:bodyDiv w:val="1"/>
      <w:marLeft w:val="0"/>
      <w:marRight w:val="0"/>
      <w:marTop w:val="0"/>
      <w:marBottom w:val="0"/>
      <w:divBdr>
        <w:top w:val="none" w:sz="0" w:space="0" w:color="auto"/>
        <w:left w:val="none" w:sz="0" w:space="0" w:color="auto"/>
        <w:bottom w:val="none" w:sz="0" w:space="0" w:color="auto"/>
        <w:right w:val="none" w:sz="0" w:space="0" w:color="auto"/>
      </w:divBdr>
    </w:div>
    <w:div w:id="1147822999">
      <w:bodyDiv w:val="1"/>
      <w:marLeft w:val="0"/>
      <w:marRight w:val="0"/>
      <w:marTop w:val="0"/>
      <w:marBottom w:val="0"/>
      <w:divBdr>
        <w:top w:val="none" w:sz="0" w:space="0" w:color="auto"/>
        <w:left w:val="none" w:sz="0" w:space="0" w:color="auto"/>
        <w:bottom w:val="none" w:sz="0" w:space="0" w:color="auto"/>
        <w:right w:val="none" w:sz="0" w:space="0" w:color="auto"/>
      </w:divBdr>
    </w:div>
    <w:div w:id="1253853147">
      <w:bodyDiv w:val="1"/>
      <w:marLeft w:val="0"/>
      <w:marRight w:val="0"/>
      <w:marTop w:val="0"/>
      <w:marBottom w:val="0"/>
      <w:divBdr>
        <w:top w:val="none" w:sz="0" w:space="0" w:color="auto"/>
        <w:left w:val="none" w:sz="0" w:space="0" w:color="auto"/>
        <w:bottom w:val="none" w:sz="0" w:space="0" w:color="auto"/>
        <w:right w:val="none" w:sz="0" w:space="0" w:color="auto"/>
      </w:divBdr>
    </w:div>
    <w:div w:id="1326517195">
      <w:bodyDiv w:val="1"/>
      <w:marLeft w:val="0"/>
      <w:marRight w:val="0"/>
      <w:marTop w:val="0"/>
      <w:marBottom w:val="0"/>
      <w:divBdr>
        <w:top w:val="none" w:sz="0" w:space="0" w:color="auto"/>
        <w:left w:val="none" w:sz="0" w:space="0" w:color="auto"/>
        <w:bottom w:val="none" w:sz="0" w:space="0" w:color="auto"/>
        <w:right w:val="none" w:sz="0" w:space="0" w:color="auto"/>
      </w:divBdr>
    </w:div>
    <w:div w:id="1368793958">
      <w:bodyDiv w:val="1"/>
      <w:marLeft w:val="0"/>
      <w:marRight w:val="0"/>
      <w:marTop w:val="0"/>
      <w:marBottom w:val="0"/>
      <w:divBdr>
        <w:top w:val="none" w:sz="0" w:space="0" w:color="auto"/>
        <w:left w:val="none" w:sz="0" w:space="0" w:color="auto"/>
        <w:bottom w:val="none" w:sz="0" w:space="0" w:color="auto"/>
        <w:right w:val="none" w:sz="0" w:space="0" w:color="auto"/>
      </w:divBdr>
    </w:div>
    <w:div w:id="1452867655">
      <w:bodyDiv w:val="1"/>
      <w:marLeft w:val="0"/>
      <w:marRight w:val="0"/>
      <w:marTop w:val="0"/>
      <w:marBottom w:val="0"/>
      <w:divBdr>
        <w:top w:val="none" w:sz="0" w:space="0" w:color="auto"/>
        <w:left w:val="none" w:sz="0" w:space="0" w:color="auto"/>
        <w:bottom w:val="none" w:sz="0" w:space="0" w:color="auto"/>
        <w:right w:val="none" w:sz="0" w:space="0" w:color="auto"/>
      </w:divBdr>
    </w:div>
    <w:div w:id="1515681084">
      <w:bodyDiv w:val="1"/>
      <w:marLeft w:val="0"/>
      <w:marRight w:val="0"/>
      <w:marTop w:val="0"/>
      <w:marBottom w:val="0"/>
      <w:divBdr>
        <w:top w:val="none" w:sz="0" w:space="0" w:color="auto"/>
        <w:left w:val="none" w:sz="0" w:space="0" w:color="auto"/>
        <w:bottom w:val="none" w:sz="0" w:space="0" w:color="auto"/>
        <w:right w:val="none" w:sz="0" w:space="0" w:color="auto"/>
      </w:divBdr>
    </w:div>
    <w:div w:id="1607536808">
      <w:bodyDiv w:val="1"/>
      <w:marLeft w:val="0"/>
      <w:marRight w:val="0"/>
      <w:marTop w:val="0"/>
      <w:marBottom w:val="0"/>
      <w:divBdr>
        <w:top w:val="none" w:sz="0" w:space="0" w:color="auto"/>
        <w:left w:val="none" w:sz="0" w:space="0" w:color="auto"/>
        <w:bottom w:val="none" w:sz="0" w:space="0" w:color="auto"/>
        <w:right w:val="none" w:sz="0" w:space="0" w:color="auto"/>
      </w:divBdr>
    </w:div>
    <w:div w:id="1677270037">
      <w:bodyDiv w:val="1"/>
      <w:marLeft w:val="0"/>
      <w:marRight w:val="0"/>
      <w:marTop w:val="0"/>
      <w:marBottom w:val="0"/>
      <w:divBdr>
        <w:top w:val="none" w:sz="0" w:space="0" w:color="auto"/>
        <w:left w:val="none" w:sz="0" w:space="0" w:color="auto"/>
        <w:bottom w:val="none" w:sz="0" w:space="0" w:color="auto"/>
        <w:right w:val="none" w:sz="0" w:space="0" w:color="auto"/>
      </w:divBdr>
    </w:div>
    <w:div w:id="1740710037">
      <w:bodyDiv w:val="1"/>
      <w:marLeft w:val="0"/>
      <w:marRight w:val="0"/>
      <w:marTop w:val="0"/>
      <w:marBottom w:val="0"/>
      <w:divBdr>
        <w:top w:val="none" w:sz="0" w:space="0" w:color="auto"/>
        <w:left w:val="none" w:sz="0" w:space="0" w:color="auto"/>
        <w:bottom w:val="none" w:sz="0" w:space="0" w:color="auto"/>
        <w:right w:val="none" w:sz="0" w:space="0" w:color="auto"/>
      </w:divBdr>
    </w:div>
    <w:div w:id="1836677978">
      <w:bodyDiv w:val="1"/>
      <w:marLeft w:val="0"/>
      <w:marRight w:val="0"/>
      <w:marTop w:val="0"/>
      <w:marBottom w:val="0"/>
      <w:divBdr>
        <w:top w:val="none" w:sz="0" w:space="0" w:color="auto"/>
        <w:left w:val="none" w:sz="0" w:space="0" w:color="auto"/>
        <w:bottom w:val="none" w:sz="0" w:space="0" w:color="auto"/>
        <w:right w:val="none" w:sz="0" w:space="0" w:color="auto"/>
      </w:divBdr>
    </w:div>
    <w:div w:id="1897354487">
      <w:bodyDiv w:val="1"/>
      <w:marLeft w:val="0"/>
      <w:marRight w:val="0"/>
      <w:marTop w:val="0"/>
      <w:marBottom w:val="0"/>
      <w:divBdr>
        <w:top w:val="none" w:sz="0" w:space="0" w:color="auto"/>
        <w:left w:val="none" w:sz="0" w:space="0" w:color="auto"/>
        <w:bottom w:val="none" w:sz="0" w:space="0" w:color="auto"/>
        <w:right w:val="none" w:sz="0" w:space="0" w:color="auto"/>
      </w:divBdr>
    </w:div>
    <w:div w:id="2087725096">
      <w:bodyDiv w:val="1"/>
      <w:marLeft w:val="0"/>
      <w:marRight w:val="0"/>
      <w:marTop w:val="0"/>
      <w:marBottom w:val="0"/>
      <w:divBdr>
        <w:top w:val="none" w:sz="0" w:space="0" w:color="auto"/>
        <w:left w:val="none" w:sz="0" w:space="0" w:color="auto"/>
        <w:bottom w:val="none" w:sz="0" w:space="0" w:color="auto"/>
        <w:right w:val="none" w:sz="0" w:space="0" w:color="auto"/>
      </w:divBdr>
    </w:div>
    <w:div w:id="2099136591">
      <w:bodyDiv w:val="1"/>
      <w:marLeft w:val="0"/>
      <w:marRight w:val="0"/>
      <w:marTop w:val="0"/>
      <w:marBottom w:val="0"/>
      <w:divBdr>
        <w:top w:val="none" w:sz="0" w:space="0" w:color="auto"/>
        <w:left w:val="none" w:sz="0" w:space="0" w:color="auto"/>
        <w:bottom w:val="none" w:sz="0" w:space="0" w:color="auto"/>
        <w:right w:val="none" w:sz="0" w:space="0" w:color="auto"/>
      </w:divBdr>
    </w:div>
    <w:div w:id="21165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app/uploads/2016/08/No.122-Legislating-the-Criminal-Code-Offences-against-the-Person-and-General-Principles-A-Consultation-Paper.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28596/0270.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library.wiley.com/doi/pdf/10.1111/j.1468-2230.1980.tb01615.x" TargetMode="External"/><Relationship Id="rId5" Type="http://schemas.openxmlformats.org/officeDocument/2006/relationships/hyperlink" Target="https://www.youtube.com/watch?v=diWKWOdY8IQ&amp;feature=emb_tit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Off61</b:Tag>
    <b:SourceType>Book</b:SourceType>
    <b:Guid>{115705D5-7C4D-49D9-ACC6-403CE0AEFCC5}</b:Guid>
    <b:Year>1861</b:Year>
    <b:City>London</b:City>
    <b:Author>
      <b:Author>
        <b:NameList>
          <b:Person>
            <b:Last>Act</b:Last>
            <b:First>Offences</b:First>
            <b:Middle>Against Person</b:Middle>
          </b:Person>
        </b:NameList>
      </b:Author>
    </b:Author>
    <b:RefOrder>3</b:RefOrder>
  </b:Source>
  <b:Source>
    <b:Tag>Off611</b:Tag>
    <b:SourceType>Report</b:SourceType>
    <b:Guid>{D0461D47-9E3B-4501-A4DF-A4A280467FC3}</b:Guid>
    <b:Year>1861</b:Year>
    <b:City>London</b:City>
    <b:Publisher>UK Government</b:Publisher>
    <b:Author>
      <b:Author>
        <b:NameList>
          <b:Person>
            <b:Last>Act</b:Last>
            <b:First>Offences</b:First>
            <b:Middle>Against the Person</b:Middle>
          </b:Person>
        </b:NameList>
      </b:Author>
    </b:Author>
    <b:RefOrder>4</b:RefOrder>
  </b:Source>
  <b:Source>
    <b:Tag>Ale17</b:Tag>
    <b:SourceType>JournalArticle</b:SourceType>
    <b:Guid>{8E5F3DFC-DD06-4BDA-B7AA-8EC5F63C9379}</b:Guid>
    <b:Title>Should We Reform the Offences Against the Person Act 1861?</b:Title>
    <b:Year>2017</b:Year>
    <b:Author>
      <b:Author>
        <b:NameList>
          <b:Person>
            <b:Last>Eugenicos</b:Last>
            <b:First>Alexandra-Maria</b:First>
          </b:Person>
        </b:NameList>
      </b:Author>
    </b:Author>
    <b:JournalName>The Journal of Criminal Law</b:JournalName>
    <b:Pages>31</b:Pages>
    <b:Volume>81</b:Volume>
    <b:Issue>26–32</b:Issue>
    <b:RefOrder>1</b:RefOrder>
  </b:Source>
  <b:Source>
    <b:Tag>Sta16</b:Tag>
    <b:SourceType>JournalArticle</b:SourceType>
    <b:Guid>{9BE60933-C926-45DB-80E0-BF6A69A12851}</b:Guid>
    <b:Author>
      <b:Author>
        <b:NameList>
          <b:Person>
            <b:Last>Demetriou</b:Last>
            <b:First>Stavros</b:First>
          </b:Person>
        </b:NameList>
      </b:Author>
    </b:Author>
    <b:Title>Not Giving Up the Fight: A Review of the Law Commission’s Scoping Report on Non-fatal Offences Against the Person</b:Title>
    <b:JournalName>The Journal of Criminal Law</b:JournalName>
    <b:Year>2016</b:Year>
    <b:Pages>199</b:Pages>
    <b:Volume>80 (3)</b:Volume>
    <b:Issue>188–200</b:Issue>
    <b:RefOrder>2</b:RefOrder>
  </b:Source>
</b:Sources>
</file>

<file path=customXml/itemProps1.xml><?xml version="1.0" encoding="utf-8"?>
<ds:datastoreItem xmlns:ds="http://schemas.openxmlformats.org/officeDocument/2006/customXml" ds:itemID="{A647FB18-113D-48E6-A5EC-32B2FFFA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5</Pages>
  <Words>2364</Words>
  <Characters>13476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Martin</dc:creator>
  <cp:keywords/>
  <dc:description/>
  <cp:lastModifiedBy>Callum Martin</cp:lastModifiedBy>
  <cp:revision>207</cp:revision>
  <dcterms:created xsi:type="dcterms:W3CDTF">2021-02-26T20:12:00Z</dcterms:created>
  <dcterms:modified xsi:type="dcterms:W3CDTF">2021-02-28T18:30:00Z</dcterms:modified>
</cp:coreProperties>
</file>