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bidi w:val="0"/>
      </w:pPr>
      <w:r>
        <w:drawing>
          <wp:anchor distT="152400" distB="152400" distL="152400" distR="152400" simplePos="0" relativeHeight="251659264" behindDoc="0" locked="0" layoutInCell="1" allowOverlap="1">
            <wp:simplePos x="0" y="0"/>
            <wp:positionH relativeFrom="margin">
              <wp:posOffset>-981759</wp:posOffset>
            </wp:positionH>
            <wp:positionV relativeFrom="page">
              <wp:posOffset>697497</wp:posOffset>
            </wp:positionV>
            <wp:extent cx="7487650" cy="8011995"/>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 Shot 2018-12-14 at 23.40.00.png"/>
                    <pic:cNvPicPr>
                      <a:picLocks noChangeAspect="1"/>
                    </pic:cNvPicPr>
                  </pic:nvPicPr>
                  <pic:blipFill>
                    <a:blip r:embed="rId4">
                      <a:extLst/>
                    </a:blip>
                    <a:stretch>
                      <a:fillRect/>
                    </a:stretch>
                  </pic:blipFill>
                  <pic:spPr>
                    <a:xfrm>
                      <a:off x="0" y="0"/>
                      <a:ext cx="7487650" cy="8011995"/>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drawing>
          <wp:anchor distT="152400" distB="152400" distL="152400" distR="152400" simplePos="0" relativeHeight="251660288" behindDoc="0" locked="0" layoutInCell="1" allowOverlap="1">
            <wp:simplePos x="0" y="0"/>
            <wp:positionH relativeFrom="margin">
              <wp:posOffset>-399580</wp:posOffset>
            </wp:positionH>
            <wp:positionV relativeFrom="page">
              <wp:posOffset>888189</wp:posOffset>
            </wp:positionV>
            <wp:extent cx="6648757" cy="7905064"/>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reen Shot 2018-12-14 at 23.40.36.png"/>
                    <pic:cNvPicPr>
                      <a:picLocks noChangeAspect="1"/>
                    </pic:cNvPicPr>
                  </pic:nvPicPr>
                  <pic:blipFill>
                    <a:blip r:embed="rId5">
                      <a:extLst/>
                    </a:blip>
                    <a:stretch>
                      <a:fillRect/>
                    </a:stretch>
                  </pic:blipFill>
                  <pic:spPr>
                    <a:xfrm>
                      <a:off x="0" y="0"/>
                      <a:ext cx="6648757" cy="7905064"/>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r>
        <w:drawing>
          <wp:anchor distT="152400" distB="152400" distL="152400" distR="152400" simplePos="0" relativeHeight="251661312" behindDoc="0" locked="0" layoutInCell="1" allowOverlap="1">
            <wp:simplePos x="0" y="0"/>
            <wp:positionH relativeFrom="margin">
              <wp:posOffset>-404282</wp:posOffset>
            </wp:positionH>
            <wp:positionV relativeFrom="page">
              <wp:posOffset>949648</wp:posOffset>
            </wp:positionV>
            <wp:extent cx="6915921" cy="8016410"/>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 Shot 2018-12-14 at 23.40.50.png"/>
                    <pic:cNvPicPr>
                      <a:picLocks noChangeAspect="1"/>
                    </pic:cNvPicPr>
                  </pic:nvPicPr>
                  <pic:blipFill>
                    <a:blip r:embed="rId6">
                      <a:extLst/>
                    </a:blip>
                    <a:stretch>
                      <a:fillRect/>
                    </a:stretch>
                  </pic:blipFill>
                  <pic:spPr>
                    <a:xfrm>
                      <a:off x="0" y="0"/>
                      <a:ext cx="6915921" cy="8016410"/>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r>
        <w:drawing>
          <wp:anchor distT="152400" distB="152400" distL="152400" distR="152400" simplePos="0" relativeHeight="251662336" behindDoc="0" locked="0" layoutInCell="1" allowOverlap="1">
            <wp:simplePos x="0" y="0"/>
            <wp:positionH relativeFrom="margin">
              <wp:posOffset>-726350</wp:posOffset>
            </wp:positionH>
            <wp:positionV relativeFrom="page">
              <wp:posOffset>720000</wp:posOffset>
            </wp:positionV>
            <wp:extent cx="7401347" cy="5434858"/>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creen Shot 2018-12-14 at 23.41.00.png"/>
                    <pic:cNvPicPr>
                      <a:picLocks noChangeAspect="1"/>
                    </pic:cNvPicPr>
                  </pic:nvPicPr>
                  <pic:blipFill>
                    <a:blip r:embed="rId7">
                      <a:extLst/>
                    </a:blip>
                    <a:stretch>
                      <a:fillRect/>
                    </a:stretch>
                  </pic:blipFill>
                  <pic:spPr>
                    <a:xfrm>
                      <a:off x="0" y="0"/>
                      <a:ext cx="7401347" cy="5434858"/>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drawing>
          <wp:anchor distT="152400" distB="152400" distL="152400" distR="152400" simplePos="0" relativeHeight="251663360" behindDoc="0" locked="0" layoutInCell="1" allowOverlap="1">
            <wp:simplePos x="0" y="0"/>
            <wp:positionH relativeFrom="margin">
              <wp:posOffset>-229171</wp:posOffset>
            </wp:positionH>
            <wp:positionV relativeFrom="page">
              <wp:posOffset>720000</wp:posOffset>
            </wp:positionV>
            <wp:extent cx="6565701" cy="7108084"/>
            <wp:effectExtent l="0" t="0" r="0" b="0"/>
            <wp:wrapThrough wrapText="bothSides" distL="152400" distR="152400">
              <wp:wrapPolygon edited="1">
                <wp:start x="0" y="0"/>
                <wp:lineTo x="21600" y="0"/>
                <wp:lineTo x="21600" y="21600"/>
                <wp:lineTo x="0" y="2160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Screen Shot 2018-12-14 at 23.41.11.png"/>
                    <pic:cNvPicPr>
                      <a:picLocks noChangeAspect="1"/>
                    </pic:cNvPicPr>
                  </pic:nvPicPr>
                  <pic:blipFill>
                    <a:blip r:embed="rId8">
                      <a:extLst/>
                    </a:blip>
                    <a:stretch>
                      <a:fillRect/>
                    </a:stretch>
                  </pic:blipFill>
                  <pic:spPr>
                    <a:xfrm>
                      <a:off x="0" y="0"/>
                      <a:ext cx="6565701" cy="7108084"/>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drawing>
          <wp:anchor distT="152400" distB="152400" distL="152400" distR="152400" simplePos="0" relativeHeight="251664384" behindDoc="0" locked="0" layoutInCell="1" allowOverlap="1">
            <wp:simplePos x="0" y="0"/>
            <wp:positionH relativeFrom="margin">
              <wp:posOffset>-473908</wp:posOffset>
            </wp:positionH>
            <wp:positionV relativeFrom="page">
              <wp:posOffset>551988</wp:posOffset>
            </wp:positionV>
            <wp:extent cx="7055174" cy="7127376"/>
            <wp:effectExtent l="0" t="0" r="0" b="0"/>
            <wp:wrapThrough wrapText="bothSides" distL="152400" distR="152400">
              <wp:wrapPolygon edited="1">
                <wp:start x="0" y="0"/>
                <wp:lineTo x="21600" y="0"/>
                <wp:lineTo x="21600" y="21600"/>
                <wp:lineTo x="0" y="21600"/>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Screen Shot 2018-12-14 at 23.41.19.png"/>
                    <pic:cNvPicPr>
                      <a:picLocks noChangeAspect="1"/>
                    </pic:cNvPicPr>
                  </pic:nvPicPr>
                  <pic:blipFill>
                    <a:blip r:embed="rId9">
                      <a:extLst/>
                    </a:blip>
                    <a:stretch>
                      <a:fillRect/>
                    </a:stretch>
                  </pic:blipFill>
                  <pic:spPr>
                    <a:xfrm>
                      <a:off x="0" y="0"/>
                      <a:ext cx="7055174" cy="7127376"/>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drawing>
          <wp:anchor distT="152400" distB="152400" distL="152400" distR="152400" simplePos="0" relativeHeight="251665408" behindDoc="0" locked="0" layoutInCell="1" allowOverlap="1">
            <wp:simplePos x="0" y="0"/>
            <wp:positionH relativeFrom="margin">
              <wp:posOffset>-65614</wp:posOffset>
            </wp:positionH>
            <wp:positionV relativeFrom="line">
              <wp:posOffset>205142</wp:posOffset>
            </wp:positionV>
            <wp:extent cx="6179321" cy="7737133"/>
            <wp:effectExtent l="0" t="0" r="0" b="0"/>
            <wp:wrapThrough wrapText="bothSides" distL="152400" distR="152400">
              <wp:wrapPolygon edited="1">
                <wp:start x="0" y="0"/>
                <wp:lineTo x="21600" y="0"/>
                <wp:lineTo x="21600" y="21600"/>
                <wp:lineTo x="0" y="21600"/>
                <wp:lineTo x="0" y="0"/>
              </wp:wrapPolygon>
            </wp:wrapThrough>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Screen Shot 2018-12-14 at 23.41.33.png"/>
                    <pic:cNvPicPr>
                      <a:picLocks noChangeAspect="1"/>
                    </pic:cNvPicPr>
                  </pic:nvPicPr>
                  <pic:blipFill>
                    <a:blip r:embed="rId10">
                      <a:extLst/>
                    </a:blip>
                    <a:stretch>
                      <a:fillRect/>
                    </a:stretch>
                  </pic:blipFill>
                  <pic:spPr>
                    <a:xfrm>
                      <a:off x="0" y="0"/>
                      <a:ext cx="6179321" cy="7737133"/>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In this assignment the point that will be discussed is the importance and effectiveness of developing Assessment for Learning (AFL) within a primary school. There will also be a critical analysis of personal implementation of one AFL strategy from Professional Teaching Practice (PTE).</w:t>
      </w: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Assessment for Learning is a skill that teachers need to be able to create constructive feedback for pupils to improve their learning in the future (Cambridge Assessment International Education, Unknown). There is also a great emphasis on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closing the gap</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 xml:space="preserve">when anyone makes reference to AFL. The main reason behind this is so that the higher attaining pupils keep progressing but also the lower attaining pupils progress without hindering any other progression throughout the classroom. Andrews, Robinson and Hutchinson (2017) agree that there is a need in education for action to be taken in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closing the gap</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 They say that the gap in attainment level is closing, however it is very slow and inconsistent even though there has been a large investment from the government. </w:t>
      </w: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AFL is not to be mistaken for Assessment of Learning (AOL); they can both be used to evaluate a students learning. AFL is a form of formative assessment which is </w:t>
      </w:r>
      <w:r>
        <w:rPr>
          <w:rFonts w:ascii="Times New Roman" w:hAnsi="Times New Roman"/>
          <w:sz w:val="24"/>
          <w:szCs w:val="24"/>
          <w:u w:color="000000"/>
          <w:rtl w:val="0"/>
          <w:lang w:val="en-US"/>
        </w:rPr>
        <w:t>used to monitor student</w:t>
      </w:r>
      <w:r>
        <w:rPr>
          <w:rFonts w:ascii="Times New Roman" w:hAnsi="Times New Roman" w:hint="default"/>
          <w:sz w:val="24"/>
          <w:szCs w:val="24"/>
          <w:u w:color="000000"/>
          <w:rtl w:val="0"/>
        </w:rPr>
        <w:t>’</w:t>
      </w:r>
      <w:r>
        <w:rPr>
          <w:rFonts w:ascii="Times New Roman" w:hAnsi="Times New Roman"/>
          <w:sz w:val="24"/>
          <w:szCs w:val="24"/>
          <w:u w:color="000000"/>
          <w:rtl w:val="0"/>
          <w:lang w:val="en-US"/>
        </w:rPr>
        <w:t xml:space="preserve">s learning </w:t>
      </w:r>
      <w:r>
        <w:rPr>
          <w:rFonts w:ascii="Times New Roman" w:hAnsi="Times New Roman"/>
          <w:sz w:val="24"/>
          <w:szCs w:val="24"/>
          <w:u w:color="000000"/>
          <w:rtl w:val="0"/>
          <w:lang w:val="en-US"/>
        </w:rPr>
        <w:t>and</w:t>
      </w:r>
      <w:r>
        <w:rPr>
          <w:rFonts w:ascii="Times New Roman" w:hAnsi="Times New Roman"/>
          <w:sz w:val="24"/>
          <w:szCs w:val="24"/>
          <w:u w:color="000000"/>
          <w:rtl w:val="0"/>
          <w:lang w:val="en-US"/>
        </w:rPr>
        <w:t xml:space="preserve"> provide ongoing feedback</w:t>
      </w:r>
      <w:r>
        <w:rPr>
          <w:rFonts w:ascii="Times New Roman" w:hAnsi="Times New Roman"/>
          <w:sz w:val="24"/>
          <w:szCs w:val="24"/>
          <w:u w:color="000000"/>
          <w:rtl w:val="0"/>
          <w:lang w:val="en-US"/>
        </w:rPr>
        <w:t xml:space="preserve"> through different strategies. Where as AOL is a form of summative assessment which </w:t>
      </w:r>
      <w:r>
        <w:rPr>
          <w:rFonts w:ascii="Times New Roman" w:hAnsi="Times New Roman"/>
          <w:sz w:val="24"/>
          <w:szCs w:val="24"/>
          <w:u w:color="000000"/>
          <w:rtl w:val="0"/>
          <w:lang w:val="en-US"/>
        </w:rPr>
        <w:t xml:space="preserve">is used to evaluate </w:t>
      </w:r>
      <w:r>
        <w:rPr>
          <w:rFonts w:ascii="Times New Roman" w:hAnsi="Times New Roman"/>
          <w:sz w:val="24"/>
          <w:szCs w:val="24"/>
          <w:u w:color="000000"/>
          <w:rtl w:val="0"/>
          <w:lang w:val="en-US"/>
        </w:rPr>
        <w:t xml:space="preserve">a </w:t>
      </w:r>
      <w:r>
        <w:rPr>
          <w:rFonts w:ascii="Times New Roman" w:hAnsi="Times New Roman"/>
          <w:sz w:val="24"/>
          <w:szCs w:val="24"/>
          <w:u w:color="000000"/>
          <w:rtl w:val="0"/>
        </w:rPr>
        <w:t>student</w:t>
      </w:r>
      <w:r>
        <w:rPr>
          <w:rFonts w:ascii="Times New Roman" w:hAnsi="Times New Roman" w:hint="default"/>
          <w:sz w:val="24"/>
          <w:szCs w:val="24"/>
          <w:u w:color="000000"/>
          <w:rtl w:val="0"/>
        </w:rPr>
        <w:t>’</w:t>
      </w:r>
      <w:r>
        <w:rPr>
          <w:rFonts w:ascii="Times New Roman" w:hAnsi="Times New Roman"/>
          <w:sz w:val="24"/>
          <w:szCs w:val="24"/>
          <w:u w:color="000000"/>
          <w:rtl w:val="0"/>
          <w:lang w:val="en-US"/>
        </w:rPr>
        <w:t>s learning at the end of an instructional unit by comparing it against some standard or benchmark.</w:t>
      </w:r>
      <w:r>
        <w:rPr>
          <w:rFonts w:ascii="Times New Roman" w:hAnsi="Times New Roman"/>
          <w:sz w:val="24"/>
          <w:szCs w:val="24"/>
          <w:u w:color="000000"/>
          <w:rtl w:val="0"/>
          <w:lang w:val="en-US"/>
        </w:rPr>
        <w:t xml:space="preserve"> OFSTED (1998) explain that assessment should be used to improve standards and not just to measure them.</w:t>
      </w: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Two experts currently leading the field in AFL are Black and Wiliam (1998). This report has had a drastic impact in how AFL is looked at within the education sector, including how it is used and why. There are four key recommendations that can be found in this book which can be broken down in to feedback, questioning, peer/self-assessment and success criteria. Using these recommendations schools around the world should have a much greater understanding of how to improve and increase a child</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s knowledge. They also make reference to how much AFL raised standards for lower-attaining pupils. Both Black and Wiliam (1998) and Fuchs et al. (1997) argue that constant feedback of assessment aids all attainment levels in enhancing their learning. Considering these points it is evident that AFL would be favourable throughout any school that is trying to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close the gap</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 </w:t>
      </w: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Throughout a school it is important that the environment is inclusive to learning and that the children are able to feel comfortable when there. One of the ways in which this can be aided is by turning negative phrases in to positives. This is a simple trick but is very effective and will benefit any school that takes to this. Wright (2006) expresses the children can only remember negative comments are not getting much in the way of positive reinforcement. All schools should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Turn don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ts</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 xml:space="preserve">into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Dos</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 xml:space="preserve">(Wright 2006, p73). This in itself makes it possible for a school to create a conductive climate for the children. An expert that also has similar idea regarding positive reinforcement in Carol Dweck. She argues that learners that are used to achieving highly tend to avoid taking risks because the are scared of making mistakes. Dweck too believes that schools need to harbour a positive learning environment that allows every pupil reach their maximum potential. She refers to this belief as a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Growth Mindset</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 Schools need to foster their children in to being individuals with growth mindsets instead of fixed mindsets. One recommendation to encourage this type of mindset is for the class teacher to praise effort rather than intelligence. This means that no matter the attainment level of child they will have the courage in the future to try their best. </w:t>
      </w:r>
    </w:p>
    <w:p>
      <w:pPr>
        <w:pStyle w:val="Body"/>
        <w:bidi w:val="0"/>
        <w:spacing w:line="360" w:lineRule="auto"/>
        <w:ind w:left="720" w:right="0" w:firstLine="0"/>
        <w:jc w:val="left"/>
        <w:rPr>
          <w:rFonts w:ascii="Times New Roman" w:cs="Times New Roman" w:hAnsi="Times New Roman" w:eastAsia="Times New Roman"/>
          <w:sz w:val="24"/>
          <w:szCs w:val="24"/>
          <w:u w:val="single" w:color="000000"/>
          <w:rtl w:val="0"/>
        </w:rPr>
      </w:pP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In recent years there has been a lot of research around the benefits of AFL and whether or not it works. One way of looking at it is improving test scores. According to (Black et al.  2011) there is a mass of evidence suggesting that the changes involving AFL will raise the scores of students on normal conventional tests. At a time where statistics are such a value, it would be a mistake not to implement any AFL throughout a school. One such element that has been recognised to make  a positive impact to a child</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learning is feedback which could include verbal or non-verbal. Hattie (2010) and Black et al. (2002) agree that if feedback is given in the correct manner it will have an advantageous effect on the learners. Furthermore, Black et al. (2002) further discuss that if feedback is concise and delivered in an appropriate manner this can be more beneficial than giving a large quantity. Even though these experts express the positives of feedback, one individual that disagrees with this is Butler (1988). He explains that pupils</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 xml:space="preserve">learning can be improved using comments but including any grading or scoring can have a greatly negative effect. This is due to the pupils ignoring any feedback comments made by the teacher when scoring was involved. </w:t>
      </w:r>
    </w:p>
    <w:p>
      <w:pPr>
        <w:pStyle w:val="Body"/>
        <w:bidi w:val="0"/>
        <w:spacing w:line="360" w:lineRule="auto"/>
        <w:ind w:left="720" w:right="0" w:firstLine="0"/>
        <w:jc w:val="left"/>
        <w:rPr>
          <w:rFonts w:ascii="Times New Roman" w:cs="Times New Roman" w:hAnsi="Times New Roman" w:eastAsia="Times New Roman"/>
          <w:sz w:val="24"/>
          <w:szCs w:val="24"/>
          <w:u w:val="single" w:color="000000"/>
          <w:rtl w:val="0"/>
        </w:rPr>
      </w:pP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The AFL strategy that will be the focal point of this essay is WALT and WILF which was implemented in the Foundation Phase. This strategy aims to set out the learning objectives right at the start of a lesson. According to the </w:t>
      </w:r>
      <w:r>
        <w:rPr>
          <w:rFonts w:ascii="Times New Roman" w:hAnsi="Times New Roman"/>
          <w:sz w:val="24"/>
          <w:szCs w:val="24"/>
          <w:u w:color="000000"/>
          <w:rtl w:val="0"/>
          <w:lang w:val="en-US"/>
        </w:rPr>
        <w:t>Department for Children , Schools and Families (2007)</w:t>
      </w:r>
      <w:r>
        <w:rPr>
          <w:rFonts w:ascii="Times New Roman" w:hAnsi="Times New Roman"/>
          <w:sz w:val="24"/>
          <w:szCs w:val="24"/>
          <w:u w:color="000000"/>
          <w:rtl w:val="0"/>
          <w:lang w:val="en-US"/>
        </w:rPr>
        <w:t>, l</w:t>
      </w:r>
      <w:r>
        <w:rPr>
          <w:rFonts w:ascii="Times New Roman" w:hAnsi="Times New Roman"/>
          <w:sz w:val="24"/>
          <w:szCs w:val="24"/>
          <w:u w:color="000000"/>
          <w:rtl w:val="0"/>
          <w:lang w:val="en-US"/>
        </w:rPr>
        <w:t xml:space="preserve">earning outcomes and objectives are a crucial part </w:t>
      </w:r>
      <w:r>
        <w:rPr>
          <w:rFonts w:ascii="Times New Roman" w:hAnsi="Times New Roman"/>
          <w:sz w:val="24"/>
          <w:szCs w:val="24"/>
          <w:u w:color="000000"/>
          <w:rtl w:val="0"/>
          <w:lang w:val="en-US"/>
        </w:rPr>
        <w:t>in</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 xml:space="preserve">planning </w:t>
      </w:r>
      <w:r>
        <w:rPr>
          <w:rFonts w:ascii="Times New Roman" w:hAnsi="Times New Roman"/>
          <w:sz w:val="24"/>
          <w:szCs w:val="24"/>
          <w:u w:color="000000"/>
          <w:rtl w:val="0"/>
          <w:lang w:val="en-US"/>
        </w:rPr>
        <w:t>and delivering</w:t>
      </w:r>
      <w:r>
        <w:rPr>
          <w:rFonts w:ascii="Times New Roman" w:hAnsi="Times New Roman"/>
          <w:sz w:val="24"/>
          <w:szCs w:val="24"/>
          <w:u w:color="000000"/>
          <w:rtl w:val="0"/>
          <w:lang w:val="en-US"/>
        </w:rPr>
        <w:t xml:space="preserve"> and effective lesson.  The main AFL element this strategy falls in to is sharing the success criteria. As Black (2003) explains, by sharing the learning objectives with the learners it helped them make a decision on what improvements can be made to their work next time. Whilst taking this into consideration Pollard (2104) warns that learning objectives should not be shared for the sake of it. He in fact believes pupils must be included in the process so that it is effective in AFL. This coincides with the ideas that Professor Graham Donaldson expresses in his critical analysis of the Curriculum in Wales, </w:t>
      </w:r>
      <w:r>
        <w:rPr>
          <w:rFonts w:ascii="Times New Roman" w:hAnsi="Times New Roman"/>
          <w:i w:val="1"/>
          <w:iCs w:val="1"/>
          <w:sz w:val="24"/>
          <w:szCs w:val="24"/>
          <w:u w:color="000000"/>
          <w:rtl w:val="0"/>
          <w:lang w:val="en-US"/>
        </w:rPr>
        <w:t xml:space="preserve">Successful Futures. </w:t>
      </w:r>
      <w:r>
        <w:rPr>
          <w:rFonts w:ascii="Times New Roman" w:hAnsi="Times New Roman"/>
          <w:sz w:val="24"/>
          <w:szCs w:val="24"/>
          <w:u w:color="000000"/>
          <w:rtl w:val="0"/>
          <w:lang w:val="en-US"/>
        </w:rPr>
        <w:t xml:space="preserve">Within this document he states that teachers need to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E</w:t>
      </w:r>
      <w:r>
        <w:rPr>
          <w:rFonts w:ascii="Times New Roman" w:hAnsi="Times New Roman"/>
          <w:sz w:val="24"/>
          <w:szCs w:val="24"/>
          <w:u w:color="000000"/>
          <w:rtl w:val="0"/>
          <w:lang w:val="en-US"/>
        </w:rPr>
        <w:t>ngage students in their own assessment</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 xml:space="preserve">(Donaldson 2017, p74). </w:t>
      </w: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The strategy in question has strong links to a constructivist approach as the pupils themselves are able to gain knowledge from the learning objective. As well as this, if children are able to have an input into the success criteria/ learning objective they are much more likely to understand what is asked of them through subjective representation. A visual learning objective allows children to make their own decision on how they would carry out the activity. James (2006, p55) states that experts organise knowledge in a way that makes it more retrievable and useful for others. This supports the idea that a good practitioner is able to make the pupils understand what is asked for them within a lesson and how they can complete it to a high standard. It could also be argued that this AFL strategy could be looked at in a behaviourist manner. One way in which this was observed during PTE was in the use of a multi-plenary approach by the classroom teacher. This technique showed the teacher asking pupils to reflect on what it is they are doing as well and how it has helped them achieve their goal (</w:t>
      </w:r>
      <w:r>
        <w:rPr>
          <w:rFonts w:ascii="Times New Roman" w:hAnsi="Times New Roman"/>
          <w:sz w:val="24"/>
          <w:szCs w:val="24"/>
          <w:u w:color="000000"/>
          <w:rtl w:val="0"/>
          <w:lang w:val="en-US"/>
        </w:rPr>
        <w:t>Smith and Gilbert 2010)</w:t>
      </w:r>
      <w:r>
        <w:rPr>
          <w:rFonts w:ascii="Times New Roman" w:hAnsi="Times New Roman"/>
          <w:sz w:val="24"/>
          <w:szCs w:val="24"/>
          <w:u w:color="000000"/>
          <w:rtl w:val="0"/>
          <w:lang w:val="en-US"/>
        </w:rPr>
        <w:t xml:space="preserve">. Smith and Gilbert (2010) also make reference to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Learning Loops</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which is where the behaviourist approach comes in to it. John Watson believed that repetition is key to a child</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s development because they are able to gain a better knowledge of a subject. </w:t>
      </w: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Allowing the children to have an input in the success criteria gives the children opportunity to have their voice heard. In a report carried out by Estyn (2018), the main findings of this were that with greater participation in lessons and planning meant there were improvements in health, wellbeing, engagement and behaviour. This suggests that children are more interested in what they are doing when they get to have an input because they have shared their knowledge of what they already know. </w:t>
      </w: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Whilst this strategy had been implemented within the Foundation Phase it became evident that the strategy had both positive and negative aspects to it. Looking at this approach from a pupils point of view, it gave pupils a clear learning outcome as suggested by Kerry (2002). This means that the children will have a much clearer vision of what they will need to do in order to complete the task successfully. This strategy also promotes independent learning as it allows the pupils to identify which skills they will need to learn. Moreover, Smith and Gilbert (2010) suggest that this enhances a pupils ability to work both curricular and cross-curricular. Two experts that agree with this suggestion are Donaldson (2015) and Barnes (2006), who both promote a cross-cross-curricular approach as it develops a child holistically, preparing them for the outside world.</w:t>
      </w: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An inclusive way of introducing this strategy to a class is to use language that the children are familiar with. By using language that the children are familiar with means that they are able to make sense of it with more ease. Reiterating what Smith and Gilbert (2010) have expressed the use of student friendly language is key. Furthermore, They also believe that a practitioner should not just leave reflection for the end of the lesson but should be revisited and revised throughout. </w:t>
      </w: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One draw back to this strategy that was observed was that if not implemented correctly it would make a lesson boring and would make the children unengaged. Expressed by Black et al., (2003) learners get a lot more pleasure out of learning when they ave a better understanding of what they are being taught. This said, when observed, the strategy was not implemented correctly which meant children were not interested in the lesson and the teacher could not gain control of the class.</w:t>
      </w: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Whilst this strategy worked well in the Foundation Phase it is apparent that it could be implemented well throughout the whole school. If it was used in a Key Stage Two environment there would have to be some changes made so that it can be used effectively. One recommendation for this would be that the language used would be of a higher order as the 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knowledge of a subject would be far greater. Another recommendation for this strategy to be used in Key Stage Two is that the learning objective needs to be in more depth and that also the success criteria could have less steps which go in to more depth. This would be because it promotes a more independent learning opportunity for the pupils. This means that the children would have more of a desire to find out what they need to know.</w:t>
      </w: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To summarise, after discussing all these points it is evident that AFL is a necessity for any school if they are to help learners achieve their maximum potential. Black and William (1998) have a mass of evidence that show the benefits of implementing effective AFL, alongside a positive climate within the school can pay major dividends in the future.</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Body"/>
        <w:bidi w:val="0"/>
        <w:spacing w:line="360" w:lineRule="auto"/>
        <w:ind w:left="720" w:right="0" w:firstLine="0"/>
        <w:jc w:val="left"/>
        <w:rPr>
          <w:rFonts w:ascii="Times New Roman" w:cs="Times New Roman" w:hAnsi="Times New Roman" w:eastAsia="Times New Roman"/>
          <w:sz w:val="24"/>
          <w:szCs w:val="24"/>
          <w:u w:val="single" w:color="000000"/>
          <w:rtl w:val="0"/>
        </w:rPr>
      </w:pPr>
      <w:r>
        <w:rPr>
          <w:rFonts w:ascii="Times New Roman" w:hAnsi="Times New Roman"/>
          <w:sz w:val="24"/>
          <w:szCs w:val="24"/>
          <w:u w:val="single" w:color="000000"/>
          <w:rtl w:val="0"/>
          <w:lang w:val="en-US"/>
        </w:rPr>
        <w:t>Reference List</w:t>
      </w: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Andrews, Robinson and Hutchinson (2017)</w:t>
      </w:r>
      <w:r>
        <w:rPr>
          <w:rFonts w:ascii="Times New Roman" w:hAnsi="Times New Roman"/>
          <w:i w:val="1"/>
          <w:iCs w:val="1"/>
          <w:sz w:val="24"/>
          <w:szCs w:val="24"/>
          <w:u w:color="000000"/>
          <w:rtl w:val="0"/>
          <w:lang w:val="en-US"/>
        </w:rPr>
        <w:t xml:space="preserve"> </w:t>
      </w:r>
      <w:r>
        <w:rPr>
          <w:rFonts w:ascii="Times New Roman" w:hAnsi="Times New Roman"/>
          <w:i w:val="1"/>
          <w:iCs w:val="1"/>
          <w:sz w:val="24"/>
          <w:szCs w:val="24"/>
          <w:u w:color="000000"/>
          <w:rtl w:val="0"/>
          <w:lang w:val="en-US"/>
        </w:rPr>
        <w:t>Closing the Gap? Trends in Educational Attainment and Disadvantage</w:t>
      </w:r>
      <w:r>
        <w:rPr>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en-US"/>
        </w:rPr>
        <w:t>Education Policy Institute.</w:t>
      </w: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lang w:val="en-US"/>
        </w:rPr>
        <w:t xml:space="preserve">Assessment Reform Group (1999) </w:t>
      </w:r>
      <w:r>
        <w:rPr>
          <w:rFonts w:ascii="Times New Roman" w:hAnsi="Times New Roman"/>
          <w:i w:val="1"/>
          <w:iCs w:val="1"/>
          <w:sz w:val="24"/>
          <w:szCs w:val="24"/>
          <w:shd w:val="clear" w:color="auto" w:fill="ffffff"/>
          <w:rtl w:val="0"/>
          <w:lang w:val="en-US"/>
        </w:rPr>
        <w:t>Assessment for learning: beyond the black box</w:t>
      </w:r>
      <w:r>
        <w:rPr>
          <w:rFonts w:ascii="Times New Roman" w:hAnsi="Times New Roman"/>
          <w:sz w:val="24"/>
          <w:szCs w:val="24"/>
          <w:shd w:val="clear" w:color="auto" w:fill="ffffff"/>
          <w:rtl w:val="0"/>
        </w:rPr>
        <w:t>.</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lang w:val="en-US"/>
        </w:rPr>
        <w:t>University of Cambridge, Faculty of Education.</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lang w:val="fr-FR"/>
        </w:rPr>
        <w:t>Barnes, J</w:t>
      </w:r>
      <w:r>
        <w:rPr>
          <w:rFonts w:ascii="Times New Roman" w:hAnsi="Times New Roman"/>
          <w:sz w:val="24"/>
          <w:szCs w:val="24"/>
          <w:shd w:val="clear" w:color="auto" w:fill="ffffff"/>
          <w:rtl w:val="0"/>
          <w:lang w:val="en-US"/>
        </w:rPr>
        <w:t xml:space="preserve"> </w:t>
      </w:r>
      <w:r>
        <w:rPr>
          <w:rFonts w:ascii="Times New Roman" w:hAnsi="Times New Roman"/>
          <w:sz w:val="24"/>
          <w:szCs w:val="24"/>
          <w:shd w:val="clear" w:color="auto" w:fill="ffffff"/>
          <w:rtl w:val="0"/>
        </w:rPr>
        <w:t xml:space="preserve">(2015). </w:t>
      </w:r>
      <w:r>
        <w:rPr>
          <w:rFonts w:ascii="Times New Roman" w:hAnsi="Times New Roman"/>
          <w:i w:val="1"/>
          <w:iCs w:val="1"/>
          <w:sz w:val="24"/>
          <w:szCs w:val="24"/>
          <w:shd w:val="clear" w:color="auto" w:fill="ffffff"/>
          <w:rtl w:val="0"/>
          <w:lang w:val="en-US"/>
        </w:rPr>
        <w:t>An Introduction to Cross-Curricular Learning</w:t>
      </w:r>
      <w:r>
        <w:rPr>
          <w:rFonts w:ascii="Times New Roman" w:hAnsi="Times New Roman"/>
          <w:sz w:val="24"/>
          <w:szCs w:val="24"/>
          <w:shd w:val="clear" w:color="auto" w:fill="ffffff"/>
          <w:rtl w:val="0"/>
        </w:rPr>
        <w:t xml:space="preserve">. </w:t>
      </w:r>
      <w:r>
        <w:rPr>
          <w:rFonts w:ascii="Times New Roman" w:hAnsi="Times New Roman"/>
          <w:sz w:val="24"/>
          <w:szCs w:val="24"/>
          <w:shd w:val="clear" w:color="auto" w:fill="ffffff"/>
          <w:rtl w:val="0"/>
          <w:lang w:val="en-US"/>
        </w:rPr>
        <w:t>SAGE.</w:t>
      </w: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lang w:val="en-US"/>
        </w:rPr>
        <w:t>Black</w:t>
      </w:r>
      <w:r>
        <w:rPr>
          <w:rFonts w:ascii="Times New Roman" w:hAnsi="Times New Roman"/>
          <w:sz w:val="24"/>
          <w:szCs w:val="24"/>
          <w:shd w:val="clear" w:color="auto" w:fill="ffffff"/>
          <w:rtl w:val="0"/>
          <w:lang w:val="en-US"/>
        </w:rPr>
        <w:t xml:space="preserve"> et al</w:t>
      </w:r>
      <w:r>
        <w:rPr>
          <w:rFonts w:ascii="Times New Roman" w:hAnsi="Times New Roman"/>
          <w:sz w:val="24"/>
          <w:szCs w:val="24"/>
          <w:shd w:val="clear" w:color="auto" w:fill="ffffff"/>
          <w:rtl w:val="0"/>
        </w:rPr>
        <w:t xml:space="preserve">. (2002) </w:t>
      </w:r>
      <w:r>
        <w:rPr>
          <w:rFonts w:ascii="Times New Roman" w:hAnsi="Times New Roman"/>
          <w:i w:val="1"/>
          <w:iCs w:val="1"/>
          <w:sz w:val="24"/>
          <w:szCs w:val="24"/>
          <w:shd w:val="clear" w:color="auto" w:fill="ffffff"/>
          <w:rtl w:val="0"/>
          <w:lang w:val="en-US"/>
        </w:rPr>
        <w:t>Working inside the black box</w:t>
      </w:r>
      <w:r>
        <w:rPr>
          <w:rFonts w:ascii="Times New Roman" w:hAnsi="Times New Roman"/>
          <w:sz w:val="24"/>
          <w:szCs w:val="24"/>
          <w:shd w:val="clear" w:color="auto" w:fill="ffffff"/>
          <w:rtl w:val="0"/>
          <w:lang w:val="en-US"/>
        </w:rPr>
        <w:t>. London: King's College London.</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i w:val="0"/>
          <w:iCs w:val="0"/>
          <w:sz w:val="24"/>
          <w:szCs w:val="24"/>
          <w:shd w:val="clear" w:color="auto" w:fill="ffffff"/>
          <w:rtl w:val="0"/>
        </w:rPr>
      </w:pPr>
      <w:r>
        <w:rPr>
          <w:rFonts w:ascii="Times New Roman" w:cs="Times New Roman" w:hAnsi="Times New Roman" w:eastAsia="Times New Roman"/>
          <w:i w:val="1"/>
          <w:iCs w:val="1"/>
          <w:sz w:val="24"/>
          <w:szCs w:val="24"/>
          <w:shd w:val="clear" w:color="auto" w:fill="ffffff"/>
          <w:rtl w:val="0"/>
        </w:rPr>
        <w:tab/>
      </w:r>
      <w:r>
        <w:rPr>
          <w:rFonts w:ascii="Times New Roman" w:hAnsi="Times New Roman"/>
          <w:i w:val="0"/>
          <w:iCs w:val="0"/>
          <w:sz w:val="24"/>
          <w:szCs w:val="24"/>
          <w:shd w:val="clear" w:color="auto" w:fill="ffffff"/>
          <w:rtl w:val="0"/>
          <w:lang w:val="en-US"/>
        </w:rPr>
        <w:t>Black, P., (2003)</w:t>
      </w:r>
      <w:r>
        <w:rPr>
          <w:rFonts w:ascii="Times New Roman" w:hAnsi="Times New Roman" w:hint="default"/>
          <w:i w:val="0"/>
          <w:iCs w:val="0"/>
          <w:sz w:val="24"/>
          <w:szCs w:val="24"/>
          <w:shd w:val="clear" w:color="auto" w:fill="ffffff"/>
          <w:rtl w:val="0"/>
        </w:rPr>
        <w:t> </w:t>
      </w:r>
      <w:r>
        <w:rPr>
          <w:rFonts w:ascii="Times New Roman" w:hAnsi="Times New Roman"/>
          <w:i w:val="1"/>
          <w:iCs w:val="1"/>
          <w:sz w:val="24"/>
          <w:szCs w:val="24"/>
          <w:shd w:val="clear" w:color="auto" w:fill="ffffff"/>
          <w:rtl w:val="0"/>
          <w:lang w:val="en-US"/>
        </w:rPr>
        <w:t>Assessment for Learning: Putting it into practice,</w:t>
      </w:r>
      <w:r>
        <w:rPr>
          <w:rFonts w:ascii="Times New Roman" w:hAnsi="Times New Roman" w:hint="default"/>
          <w:i w:val="1"/>
          <w:iCs w:val="1"/>
          <w:sz w:val="24"/>
          <w:szCs w:val="24"/>
          <w:shd w:val="clear" w:color="auto" w:fill="ffffff"/>
          <w:rtl w:val="0"/>
        </w:rPr>
        <w:t> </w:t>
      </w:r>
      <w:r>
        <w:rPr>
          <w:rFonts w:ascii="Times New Roman" w:hAnsi="Times New Roman"/>
          <w:i w:val="0"/>
          <w:iCs w:val="0"/>
          <w:sz w:val="24"/>
          <w:szCs w:val="24"/>
          <w:shd w:val="clear" w:color="auto" w:fill="ffffff"/>
          <w:rtl w:val="0"/>
          <w:lang w:val="en-US"/>
        </w:rPr>
        <w:t>Maidenhead. Open</w:t>
      </w:r>
    </w:p>
    <w:p>
      <w:pPr>
        <w:pStyle w:val="Default"/>
        <w:bidi w:val="0"/>
        <w:spacing w:line="360" w:lineRule="auto"/>
        <w:ind w:left="0" w:right="0" w:firstLine="0"/>
        <w:jc w:val="left"/>
        <w:rPr>
          <w:rFonts w:ascii="Times New Roman" w:cs="Times New Roman" w:hAnsi="Times New Roman" w:eastAsia="Times New Roman"/>
          <w:i w:val="1"/>
          <w:iCs w:val="1"/>
          <w:sz w:val="24"/>
          <w:szCs w:val="24"/>
          <w:shd w:val="clear" w:color="auto" w:fill="ffffff"/>
          <w:rtl w:val="0"/>
        </w:rPr>
      </w:pPr>
      <w:r>
        <w:rPr>
          <w:rFonts w:ascii="Times New Roman" w:cs="Times New Roman" w:hAnsi="Times New Roman" w:eastAsia="Times New Roman"/>
          <w:i w:val="0"/>
          <w:iCs w:val="0"/>
          <w:sz w:val="24"/>
          <w:szCs w:val="24"/>
          <w:shd w:val="clear" w:color="auto" w:fill="ffffff"/>
          <w:rtl w:val="0"/>
        </w:rPr>
        <w:tab/>
      </w:r>
      <w:r>
        <w:rPr>
          <w:rFonts w:ascii="Times New Roman" w:hAnsi="Times New Roman"/>
          <w:i w:val="0"/>
          <w:iCs w:val="0"/>
          <w:sz w:val="24"/>
          <w:szCs w:val="24"/>
          <w:shd w:val="clear" w:color="auto" w:fill="ffffff"/>
          <w:rtl w:val="0"/>
          <w:lang w:val="en-US"/>
        </w:rPr>
        <w:t>University Press.</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lang w:val="en-US"/>
        </w:rPr>
        <w:t xml:space="preserve">Black, P., Harrison, C., Lee, C., Marshall, B. and Wiliam, D. (2011) </w:t>
      </w:r>
      <w:r>
        <w:rPr>
          <w:rFonts w:ascii="Times New Roman" w:hAnsi="Times New Roman"/>
          <w:i w:val="1"/>
          <w:iCs w:val="1"/>
          <w:sz w:val="24"/>
          <w:szCs w:val="24"/>
          <w:shd w:val="clear" w:color="auto" w:fill="ffffff"/>
          <w:rtl w:val="0"/>
          <w:lang w:val="en-US"/>
        </w:rPr>
        <w:t xml:space="preserve">Assessment for </w:t>
      </w:r>
      <w:r>
        <w:rPr>
          <w:rFonts w:ascii="Times New Roman" w:cs="Times New Roman" w:hAnsi="Times New Roman" w:eastAsia="Times New Roman"/>
          <w:i w:val="1"/>
          <w:iCs w:val="1"/>
          <w:sz w:val="24"/>
          <w:szCs w:val="24"/>
          <w:shd w:val="clear" w:color="auto" w:fill="ffffff"/>
          <w:rtl w:val="0"/>
        </w:rPr>
        <w:tab/>
        <w:tab/>
        <w:tab/>
      </w:r>
      <w:r>
        <w:rPr>
          <w:rFonts w:ascii="Times New Roman" w:hAnsi="Times New Roman"/>
          <w:i w:val="1"/>
          <w:iCs w:val="1"/>
          <w:sz w:val="24"/>
          <w:szCs w:val="24"/>
          <w:shd w:val="clear" w:color="auto" w:fill="ffffff"/>
          <w:rtl w:val="0"/>
          <w:lang w:val="en-US"/>
        </w:rPr>
        <w:t>learning</w:t>
      </w:r>
      <w:r>
        <w:rPr>
          <w:rFonts w:ascii="Times New Roman" w:hAnsi="Times New Roman"/>
          <w:sz w:val="24"/>
          <w:szCs w:val="24"/>
          <w:shd w:val="clear" w:color="auto" w:fill="ffffff"/>
          <w:rtl w:val="0"/>
          <w:lang w:val="en-US"/>
        </w:rPr>
        <w:t>. 1st ed. Berkshire: Open University Press.</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i w:val="1"/>
          <w:iCs w:val="1"/>
          <w:sz w:val="24"/>
          <w:szCs w:val="24"/>
          <w:rtl w:val="0"/>
        </w:rPr>
      </w:pPr>
      <w:r>
        <w:rPr>
          <w:rFonts w:ascii="Times New Roman" w:cs="Times New Roman" w:hAnsi="Times New Roman" w:eastAsia="Times New Roman"/>
          <w:sz w:val="24"/>
          <w:szCs w:val="24"/>
          <w:rtl w:val="0"/>
          <w:lang w:val="en-US"/>
        </w:rPr>
        <w:tab/>
        <w:t xml:space="preserve">Butler, R. (1988) </w:t>
      </w:r>
      <w:r>
        <w:rPr>
          <w:rFonts w:ascii="Times New Roman" w:hAnsi="Times New Roman"/>
          <w:i w:val="1"/>
          <w:iCs w:val="1"/>
          <w:sz w:val="24"/>
          <w:szCs w:val="24"/>
          <w:rtl w:val="0"/>
          <w:lang w:val="en-US"/>
        </w:rPr>
        <w:t>Enhancing and Undermining Intrinsic Motivation: The Effects of Task-</w:t>
      </w:r>
    </w:p>
    <w:p>
      <w:pPr>
        <w:pStyle w:val="Default"/>
        <w:bidi w:val="0"/>
        <w:spacing w:line="360" w:lineRule="auto"/>
        <w:ind w:left="0" w:right="0" w:firstLine="0"/>
        <w:jc w:val="left"/>
        <w:rPr>
          <w:rFonts w:ascii="Times New Roman" w:cs="Times New Roman" w:hAnsi="Times New Roman" w:eastAsia="Times New Roman"/>
          <w:sz w:val="24"/>
          <w:szCs w:val="24"/>
          <w:rtl w:val="0"/>
        </w:rPr>
      </w:pPr>
      <w:r>
        <w:rPr>
          <w:rFonts w:ascii="Times New Roman" w:cs="Times New Roman" w:hAnsi="Times New Roman" w:eastAsia="Times New Roman"/>
          <w:i w:val="1"/>
          <w:iCs w:val="1"/>
          <w:sz w:val="24"/>
          <w:szCs w:val="24"/>
          <w:rtl w:val="0"/>
          <w:lang w:val="en-US"/>
        </w:rPr>
        <w:tab/>
        <w:t>involving and Ego-involving Evaluation on Interest and Performance.</w:t>
      </w:r>
      <w:r>
        <w:rPr>
          <w:rFonts w:ascii="Times New Roman" w:hAnsi="Times New Roman"/>
          <w:sz w:val="24"/>
          <w:szCs w:val="24"/>
          <w:rtl w:val="0"/>
          <w:lang w:val="en-US"/>
        </w:rPr>
        <w:t xml:space="preserve"> British Journal of</w:t>
      </w:r>
    </w:p>
    <w:p>
      <w:pPr>
        <w:pStyle w:val="Default"/>
        <w:bidi w:val="0"/>
        <w:spacing w:line="360" w:lineRule="auto"/>
        <w:ind w:left="0" w:right="0" w:firstLine="0"/>
        <w:jc w:val="left"/>
        <w:rPr>
          <w:rFonts w:ascii="Times New Roman" w:cs="Times New Roman" w:hAnsi="Times New Roman" w:eastAsia="Times New Roman"/>
          <w:sz w:val="24"/>
          <w:szCs w:val="24"/>
          <w:rtl w:val="0"/>
        </w:rPr>
      </w:pPr>
      <w:r>
        <w:rPr>
          <w:rFonts w:ascii="Times New Roman" w:cs="Times New Roman" w:hAnsi="Times New Roman" w:eastAsia="Times New Roman"/>
          <w:sz w:val="24"/>
          <w:szCs w:val="24"/>
          <w:rtl w:val="0"/>
          <w:lang w:val="en-US"/>
        </w:rPr>
        <w:tab/>
        <w:t>Educational Psychology.</w:t>
      </w: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Cambridge Assessment International Education (Unknown) </w:t>
      </w:r>
      <w:r>
        <w:rPr>
          <w:rFonts w:ascii="Times New Roman" w:hAnsi="Times New Roman"/>
          <w:i w:val="1"/>
          <w:iCs w:val="1"/>
          <w:sz w:val="24"/>
          <w:szCs w:val="24"/>
          <w:u w:color="000000"/>
          <w:rtl w:val="0"/>
          <w:lang w:val="en-US"/>
        </w:rPr>
        <w:t>Getting started with Assessment for Learning</w:t>
      </w:r>
      <w:r>
        <w:rPr>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en-US"/>
        </w:rPr>
        <w:t xml:space="preserve">Available at: </w:t>
      </w:r>
      <w:r>
        <w:rPr>
          <w:rStyle w:val="Hyperlink.0"/>
          <w:rFonts w:ascii="Times New Roman" w:cs="Times New Roman" w:hAnsi="Times New Roman" w:eastAsia="Times New Roman"/>
          <w:sz w:val="24"/>
          <w:szCs w:val="24"/>
          <w:u w:color="000000"/>
          <w:rtl w:val="0"/>
        </w:rPr>
        <w:fldChar w:fldCharType="begin" w:fldLock="0"/>
      </w:r>
      <w:r>
        <w:rPr>
          <w:rStyle w:val="Hyperlink.0"/>
          <w:rFonts w:ascii="Times New Roman" w:cs="Times New Roman" w:hAnsi="Times New Roman" w:eastAsia="Times New Roman"/>
          <w:sz w:val="24"/>
          <w:szCs w:val="24"/>
          <w:u w:color="000000"/>
          <w:rtl w:val="0"/>
        </w:rPr>
        <w:instrText xml:space="preserve"> HYPERLINK "https://cambridge-community.org.uk/professional-development/gswafl/index.html"</w:instrText>
      </w:r>
      <w:r>
        <w:rPr>
          <w:rStyle w:val="Hyperlink.0"/>
          <w:rFonts w:ascii="Times New Roman" w:cs="Times New Roman" w:hAnsi="Times New Roman" w:eastAsia="Times New Roman"/>
          <w:sz w:val="24"/>
          <w:szCs w:val="24"/>
          <w:u w:color="000000"/>
          <w:rtl w:val="0"/>
        </w:rPr>
        <w:fldChar w:fldCharType="separate" w:fldLock="0"/>
      </w:r>
      <w:r>
        <w:rPr>
          <w:rStyle w:val="Hyperlink.0"/>
          <w:rFonts w:ascii="Times New Roman" w:hAnsi="Times New Roman"/>
          <w:sz w:val="24"/>
          <w:szCs w:val="24"/>
          <w:u w:color="000000"/>
          <w:rtl w:val="0"/>
          <w:lang w:val="en-US"/>
        </w:rPr>
        <w:t>https://cambridge-community.org.uk/professional-development/gswafl/index.html</w:t>
      </w:r>
      <w:r>
        <w:rPr>
          <w:rFonts w:ascii="Times New Roman" w:cs="Times New Roman" w:hAnsi="Times New Roman" w:eastAsia="Times New Roman"/>
          <w:sz w:val="24"/>
          <w:szCs w:val="24"/>
          <w:u w:color="000000"/>
          <w:rtl w:val="0"/>
        </w:rPr>
        <w:fldChar w:fldCharType="end" w:fldLock="0"/>
      </w:r>
      <w:r>
        <w:rPr>
          <w:rFonts w:ascii="Times New Roman" w:hAnsi="Times New Roman"/>
          <w:sz w:val="24"/>
          <w:szCs w:val="24"/>
          <w:u w:color="000000"/>
          <w:rtl w:val="0"/>
          <w:lang w:val="en-US"/>
        </w:rPr>
        <w:t xml:space="preserve"> </w:t>
      </w: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Department for Children , Schools and Families (2007) </w:t>
      </w:r>
      <w:r>
        <w:rPr>
          <w:rFonts w:ascii="Times New Roman" w:hAnsi="Times New Roman"/>
          <w:i w:val="1"/>
          <w:iCs w:val="1"/>
          <w:sz w:val="24"/>
          <w:szCs w:val="24"/>
          <w:u w:color="000000"/>
          <w:rtl w:val="0"/>
          <w:lang w:val="en-US"/>
        </w:rPr>
        <w:t xml:space="preserve">Creating a Progress Culture, </w:t>
      </w:r>
      <w:r>
        <w:rPr>
          <w:rFonts w:ascii="Times New Roman" w:hAnsi="Times New Roman"/>
          <w:sz w:val="24"/>
          <w:szCs w:val="24"/>
          <w:u w:color="000000"/>
          <w:rtl w:val="0"/>
          <w:lang w:val="en-US"/>
        </w:rPr>
        <w:t>Secondary National Strategies, DCSF, London.</w:t>
      </w: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Donaldson, G. (2015) Successful Futures, Available at: </w:t>
      </w:r>
      <w:r>
        <w:rPr>
          <w:rStyle w:val="Hyperlink.0"/>
          <w:rFonts w:ascii="Times New Roman" w:cs="Times New Roman" w:hAnsi="Times New Roman" w:eastAsia="Times New Roman"/>
          <w:sz w:val="24"/>
          <w:szCs w:val="24"/>
          <w:u w:color="000000"/>
          <w:rtl w:val="0"/>
        </w:rPr>
        <w:fldChar w:fldCharType="begin" w:fldLock="0"/>
      </w:r>
      <w:r>
        <w:rPr>
          <w:rStyle w:val="Hyperlink.0"/>
          <w:rFonts w:ascii="Times New Roman" w:cs="Times New Roman" w:hAnsi="Times New Roman" w:eastAsia="Times New Roman"/>
          <w:sz w:val="24"/>
          <w:szCs w:val="24"/>
          <w:u w:color="000000"/>
          <w:rtl w:val="0"/>
        </w:rPr>
        <w:instrText xml:space="preserve"> HYPERLINK "https://gov.wales/docs/dcells/publications/150225-successful-futures-en.pdf"</w:instrText>
      </w:r>
      <w:r>
        <w:rPr>
          <w:rStyle w:val="Hyperlink.0"/>
          <w:rFonts w:ascii="Times New Roman" w:cs="Times New Roman" w:hAnsi="Times New Roman" w:eastAsia="Times New Roman"/>
          <w:sz w:val="24"/>
          <w:szCs w:val="24"/>
          <w:u w:color="000000"/>
          <w:rtl w:val="0"/>
        </w:rPr>
        <w:fldChar w:fldCharType="separate" w:fldLock="0"/>
      </w:r>
      <w:r>
        <w:rPr>
          <w:rStyle w:val="Hyperlink.0"/>
          <w:rFonts w:ascii="Times New Roman" w:hAnsi="Times New Roman"/>
          <w:sz w:val="24"/>
          <w:szCs w:val="24"/>
          <w:u w:color="000000"/>
          <w:rtl w:val="0"/>
          <w:lang w:val="en-US"/>
        </w:rPr>
        <w:t>https://gov.wales/docs/dcells/publications/150225-successful-futures-en.pdf</w:t>
      </w:r>
      <w:r>
        <w:rPr>
          <w:rFonts w:ascii="Times New Roman" w:cs="Times New Roman" w:hAnsi="Times New Roman" w:eastAsia="Times New Roman"/>
          <w:sz w:val="24"/>
          <w:szCs w:val="24"/>
          <w:u w:color="000000"/>
          <w:rtl w:val="0"/>
        </w:rPr>
        <w:fldChar w:fldCharType="end" w:fldLock="0"/>
      </w:r>
      <w:r>
        <w:rPr>
          <w:rFonts w:ascii="Times New Roman" w:hAnsi="Times New Roman"/>
          <w:sz w:val="24"/>
          <w:szCs w:val="24"/>
          <w:u w:color="000000"/>
          <w:rtl w:val="0"/>
          <w:lang w:val="en-US"/>
        </w:rPr>
        <w:t xml:space="preserve"> (Accessed 12 Dec. 2018).</w:t>
      </w: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rPr>
        <w:t xml:space="preserve">Estyn.gov.wales. (2018). </w:t>
      </w:r>
      <w:r>
        <w:rPr>
          <w:rFonts w:ascii="Times New Roman" w:hAnsi="Times New Roman" w:hint="default"/>
          <w:i w:val="1"/>
          <w:iCs w:val="1"/>
          <w:sz w:val="24"/>
          <w:szCs w:val="24"/>
          <w:shd w:val="clear" w:color="auto" w:fill="ffffff"/>
          <w:rtl w:val="0"/>
        </w:rPr>
        <w:t>‘</w:t>
      </w:r>
      <w:r>
        <w:rPr>
          <w:rFonts w:ascii="Times New Roman" w:hAnsi="Times New Roman"/>
          <w:i w:val="1"/>
          <w:iCs w:val="1"/>
          <w:sz w:val="24"/>
          <w:szCs w:val="24"/>
          <w:shd w:val="clear" w:color="auto" w:fill="ffffff"/>
          <w:rtl w:val="0"/>
        </w:rPr>
        <w:t>Pupil voice</w:t>
      </w:r>
      <w:r>
        <w:rPr>
          <w:rFonts w:ascii="Times New Roman" w:hAnsi="Times New Roman" w:hint="default"/>
          <w:i w:val="1"/>
          <w:iCs w:val="1"/>
          <w:sz w:val="24"/>
          <w:szCs w:val="24"/>
          <w:shd w:val="clear" w:color="auto" w:fill="ffffff"/>
          <w:rtl w:val="0"/>
        </w:rPr>
        <w:t xml:space="preserve">’ </w:t>
      </w:r>
      <w:r>
        <w:rPr>
          <w:rFonts w:ascii="Times New Roman" w:hAnsi="Times New Roman"/>
          <w:i w:val="1"/>
          <w:iCs w:val="1"/>
          <w:sz w:val="24"/>
          <w:szCs w:val="24"/>
          <w:shd w:val="clear" w:color="auto" w:fill="ffffff"/>
          <w:rtl w:val="0"/>
          <w:lang w:val="en-US"/>
        </w:rPr>
        <w:t>benefits pupils and helps schools to improve | Estyn</w:t>
      </w:r>
      <w:r>
        <w:rPr>
          <w:rFonts w:ascii="Times New Roman" w:hAnsi="Times New Roman"/>
          <w:sz w:val="24"/>
          <w:szCs w:val="24"/>
          <w:shd w:val="clear" w:color="auto" w:fill="ffffff"/>
          <w:rtl w:val="0"/>
        </w:rPr>
        <w:t>.</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lang w:val="en-US"/>
        </w:rPr>
        <w:t>[online] Available at: https://www.estyn.gov.wales/news/</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rPr>
        <w:t>pupil-voice</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-benefits-pupils-and</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lang w:val="en-US"/>
        </w:rPr>
        <w:t>helps-schools-improve [Accessed 11 Dec. 2018].</w:t>
      </w:r>
    </w:p>
    <w:p>
      <w:pPr>
        <w:pStyle w:val="Body"/>
        <w:bidi w:val="0"/>
        <w:spacing w:line="360" w:lineRule="auto"/>
        <w:ind w:left="720" w:right="0" w:firstLine="0"/>
        <w:jc w:val="left"/>
        <w:rPr>
          <w:rFonts w:ascii="Times New Roman" w:cs="Times New Roman" w:hAnsi="Times New Roman" w:eastAsia="Times New Roman"/>
          <w:sz w:val="24"/>
          <w:szCs w:val="24"/>
          <w:u w:color="000000"/>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rPr>
        <w:t xml:space="preserve">Hattie, J. (2010) </w:t>
      </w:r>
      <w:r>
        <w:rPr>
          <w:rFonts w:ascii="Times New Roman" w:hAnsi="Times New Roman"/>
          <w:i w:val="1"/>
          <w:iCs w:val="1"/>
          <w:sz w:val="24"/>
          <w:szCs w:val="24"/>
          <w:shd w:val="clear" w:color="auto" w:fill="ffffff"/>
          <w:rtl w:val="0"/>
          <w:lang w:val="en-US"/>
        </w:rPr>
        <w:t>Visible learning</w:t>
      </w:r>
      <w:r>
        <w:rPr>
          <w:rFonts w:ascii="Times New Roman" w:hAnsi="Times New Roman"/>
          <w:sz w:val="24"/>
          <w:szCs w:val="24"/>
          <w:shd w:val="clear" w:color="auto" w:fill="ffffff"/>
          <w:rtl w:val="0"/>
          <w:lang w:val="en-US"/>
        </w:rPr>
        <w:t>. London: Routledge.</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i w:val="0"/>
          <w:iCs w:val="0"/>
          <w:sz w:val="24"/>
          <w:szCs w:val="24"/>
          <w:shd w:val="clear" w:color="auto" w:fill="ffffff"/>
          <w:rtl w:val="0"/>
        </w:rPr>
      </w:pPr>
      <w:r>
        <w:rPr>
          <w:rFonts w:ascii="Times New Roman" w:cs="Times New Roman" w:hAnsi="Times New Roman" w:eastAsia="Times New Roman"/>
          <w:i w:val="1"/>
          <w:iCs w:val="1"/>
          <w:sz w:val="24"/>
          <w:szCs w:val="24"/>
          <w:shd w:val="clear" w:color="auto" w:fill="ffffff"/>
          <w:rtl w:val="0"/>
        </w:rPr>
        <w:tab/>
      </w:r>
      <w:r>
        <w:rPr>
          <w:rFonts w:ascii="Times New Roman" w:hAnsi="Times New Roman"/>
          <w:i w:val="0"/>
          <w:iCs w:val="0"/>
          <w:sz w:val="24"/>
          <w:szCs w:val="24"/>
          <w:shd w:val="clear" w:color="auto" w:fill="ffffff"/>
          <w:rtl w:val="0"/>
          <w:lang w:val="en-US"/>
        </w:rPr>
        <w:t xml:space="preserve">James, M (2006) in </w:t>
      </w:r>
      <w:r>
        <w:rPr>
          <w:rFonts w:ascii="Times New Roman" w:hAnsi="Times New Roman"/>
          <w:i w:val="0"/>
          <w:iCs w:val="0"/>
          <w:sz w:val="24"/>
          <w:szCs w:val="24"/>
          <w:shd w:val="clear" w:color="auto" w:fill="ffffff"/>
          <w:rtl w:val="0"/>
        </w:rPr>
        <w:t xml:space="preserve">Gardner, J. (2009). </w:t>
      </w:r>
      <w:r>
        <w:rPr>
          <w:rFonts w:ascii="Times New Roman" w:hAnsi="Times New Roman"/>
          <w:i w:val="1"/>
          <w:iCs w:val="1"/>
          <w:sz w:val="24"/>
          <w:szCs w:val="24"/>
          <w:shd w:val="clear" w:color="auto" w:fill="ffffff"/>
          <w:rtl w:val="0"/>
          <w:lang w:val="en-US"/>
        </w:rPr>
        <w:t>Assessment for learning</w:t>
      </w:r>
      <w:r>
        <w:rPr>
          <w:rFonts w:ascii="Times New Roman" w:hAnsi="Times New Roman"/>
          <w:i w:val="0"/>
          <w:iCs w:val="0"/>
          <w:sz w:val="24"/>
          <w:szCs w:val="24"/>
          <w:shd w:val="clear" w:color="auto" w:fill="ffffff"/>
          <w:rtl w:val="0"/>
          <w:lang w:val="de-DE"/>
        </w:rPr>
        <w:t>. London: SAGE.</w:t>
      </w:r>
    </w:p>
    <w:p>
      <w:pPr>
        <w:pStyle w:val="Default"/>
        <w:bidi w:val="0"/>
        <w:spacing w:line="360" w:lineRule="auto"/>
        <w:ind w:left="0" w:right="0" w:firstLine="0"/>
        <w:jc w:val="left"/>
        <w:rPr>
          <w:rFonts w:ascii="Times New Roman" w:cs="Times New Roman" w:hAnsi="Times New Roman" w:eastAsia="Times New Roman"/>
          <w:i w:val="0"/>
          <w:iCs w:val="0"/>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i w:val="0"/>
          <w:iCs w:val="0"/>
          <w:sz w:val="24"/>
          <w:szCs w:val="24"/>
          <w:shd w:val="clear" w:color="auto" w:fill="ffffff"/>
          <w:rtl w:val="0"/>
        </w:rPr>
      </w:pPr>
      <w:r>
        <w:rPr>
          <w:rFonts w:ascii="Times New Roman" w:cs="Times New Roman" w:hAnsi="Times New Roman" w:eastAsia="Times New Roman"/>
          <w:i w:val="0"/>
          <w:iCs w:val="0"/>
          <w:sz w:val="24"/>
          <w:szCs w:val="24"/>
          <w:shd w:val="clear" w:color="auto" w:fill="ffffff"/>
          <w:rtl w:val="0"/>
          <w:lang w:val="en-US"/>
        </w:rPr>
        <w:tab/>
        <w:t xml:space="preserve">Kerry, T. (2002) </w:t>
      </w:r>
      <w:r>
        <w:rPr>
          <w:rFonts w:ascii="Times New Roman" w:hAnsi="Times New Roman"/>
          <w:i w:val="1"/>
          <w:iCs w:val="1"/>
          <w:sz w:val="24"/>
          <w:szCs w:val="24"/>
          <w:shd w:val="clear" w:color="auto" w:fill="ffffff"/>
          <w:rtl w:val="0"/>
          <w:lang w:val="en-US"/>
        </w:rPr>
        <w:t xml:space="preserve">Learning Objective, Task Setting and Differentiation. </w:t>
      </w:r>
      <w:r>
        <w:rPr>
          <w:rFonts w:ascii="Times New Roman" w:hAnsi="Times New Roman"/>
          <w:i w:val="0"/>
          <w:iCs w:val="0"/>
          <w:sz w:val="24"/>
          <w:szCs w:val="24"/>
          <w:shd w:val="clear" w:color="auto" w:fill="ffffff"/>
          <w:rtl w:val="0"/>
          <w:lang w:val="en-US"/>
        </w:rPr>
        <w:t>Cheltenham: Nelson</w:t>
      </w:r>
    </w:p>
    <w:p>
      <w:pPr>
        <w:pStyle w:val="Default"/>
        <w:bidi w:val="0"/>
        <w:spacing w:line="360" w:lineRule="auto"/>
        <w:ind w:left="0" w:right="0" w:firstLine="0"/>
        <w:jc w:val="left"/>
        <w:rPr>
          <w:rFonts w:ascii="Times New Roman" w:cs="Times New Roman" w:hAnsi="Times New Roman" w:eastAsia="Times New Roman"/>
          <w:i w:val="1"/>
          <w:iCs w:val="1"/>
          <w:sz w:val="24"/>
          <w:szCs w:val="24"/>
          <w:shd w:val="clear" w:color="auto" w:fill="ffffff"/>
          <w:rtl w:val="0"/>
        </w:rPr>
      </w:pPr>
      <w:r>
        <w:rPr>
          <w:rFonts w:ascii="Times New Roman" w:cs="Times New Roman" w:hAnsi="Times New Roman" w:eastAsia="Times New Roman"/>
          <w:i w:val="0"/>
          <w:iCs w:val="0"/>
          <w:sz w:val="24"/>
          <w:szCs w:val="24"/>
          <w:shd w:val="clear" w:color="auto" w:fill="ffffff"/>
          <w:rtl w:val="0"/>
          <w:lang w:val="en-US"/>
        </w:rPr>
        <w:tab/>
        <w:t xml:space="preserve">Thornes.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rtl w:val="0"/>
        </w:rPr>
      </w:pPr>
      <w:r>
        <w:rPr>
          <w:rFonts w:ascii="Times New Roman" w:cs="Times New Roman" w:hAnsi="Times New Roman" w:eastAsia="Times New Roman"/>
          <w:sz w:val="24"/>
          <w:szCs w:val="24"/>
          <w:rtl w:val="0"/>
        </w:rPr>
        <w:tab/>
      </w:r>
      <w:r>
        <w:rPr>
          <w:rFonts w:ascii="Times New Roman" w:hAnsi="Times New Roman"/>
          <w:sz w:val="24"/>
          <w:szCs w:val="24"/>
          <w:rtl w:val="0"/>
        </w:rPr>
        <w:t xml:space="preserve">OFSTED (1998). </w:t>
      </w:r>
      <w:r>
        <w:rPr>
          <w:rFonts w:ascii="Times New Roman" w:hAnsi="Times New Roman"/>
          <w:i w:val="1"/>
          <w:iCs w:val="1"/>
          <w:sz w:val="24"/>
          <w:szCs w:val="24"/>
          <w:rtl w:val="0"/>
          <w:lang w:val="en-US"/>
        </w:rPr>
        <w:t>Standards and quality in Education</w:t>
      </w:r>
      <w:r>
        <w:rPr>
          <w:rFonts w:ascii="Times New Roman" w:hAnsi="Times New Roman"/>
          <w:sz w:val="24"/>
          <w:szCs w:val="24"/>
          <w:rtl w:val="0"/>
          <w:lang w:val="pt-PT"/>
        </w:rPr>
        <w:t>. [online]</w:t>
      </w:r>
    </w:p>
    <w:p>
      <w:pPr>
        <w:pStyle w:val="Default"/>
        <w:bidi w:val="0"/>
        <w:spacing w:line="360" w:lineRule="auto"/>
        <w:ind w:left="0" w:right="0" w:firstLine="0"/>
        <w:jc w:val="left"/>
        <w:rPr>
          <w:rFonts w:ascii="Times New Roman" w:cs="Times New Roman" w:hAnsi="Times New Roman" w:eastAsia="Times New Roman"/>
          <w:sz w:val="24"/>
          <w:szCs w:val="24"/>
          <w:rtl w:val="0"/>
        </w:rPr>
      </w:pPr>
      <w:r>
        <w:rPr>
          <w:rFonts w:ascii="Times New Roman" w:cs="Times New Roman" w:hAnsi="Times New Roman" w:eastAsia="Times New Roman"/>
          <w:sz w:val="24"/>
          <w:szCs w:val="24"/>
          <w:rtl w:val="0"/>
        </w:rPr>
        <w:tab/>
      </w:r>
      <w:r>
        <w:rPr>
          <w:rFonts w:ascii="Times New Roman" w:hAnsi="Times New Roman"/>
          <w:sz w:val="24"/>
          <w:szCs w:val="24"/>
          <w:rtl w:val="0"/>
          <w:lang w:val="en-US"/>
        </w:rPr>
        <w:t xml:space="preserve">Assets.publishing.service.gov.uk. Available at: </w:t>
      </w:r>
      <w:r>
        <w:rPr>
          <w:rStyle w:val="Hyperlink.0"/>
          <w:rFonts w:ascii="Times New Roman" w:cs="Times New Roman" w:hAnsi="Times New Roman" w:eastAsia="Times New Roman"/>
          <w:sz w:val="24"/>
          <w:szCs w:val="24"/>
          <w:rtl w:val="0"/>
        </w:rPr>
        <w:fldChar w:fldCharType="begin" w:fldLock="0"/>
      </w:r>
      <w:r>
        <w:rPr>
          <w:rStyle w:val="Hyperlink.0"/>
          <w:rFonts w:ascii="Times New Roman" w:cs="Times New Roman" w:hAnsi="Times New Roman" w:eastAsia="Times New Roman"/>
          <w:sz w:val="24"/>
          <w:szCs w:val="24"/>
          <w:rtl w:val="0"/>
        </w:rPr>
        <w:instrText xml:space="preserve"> HYPERLINK "https://assets.publishing.service.gov.uk"</w:instrText>
      </w:r>
      <w:r>
        <w:rPr>
          <w:rStyle w:val="Hyperlink.0"/>
          <w:rFonts w:ascii="Times New Roman" w:cs="Times New Roman" w:hAnsi="Times New Roman" w:eastAsia="Times New Roman"/>
          <w:sz w:val="24"/>
          <w:szCs w:val="24"/>
          <w:rtl w:val="0"/>
        </w:rPr>
        <w:fldChar w:fldCharType="separate" w:fldLock="0"/>
      </w:r>
      <w:r>
        <w:rPr>
          <w:rStyle w:val="Hyperlink.0"/>
          <w:rFonts w:ascii="Times New Roman" w:hAnsi="Times New Roman"/>
          <w:sz w:val="24"/>
          <w:szCs w:val="24"/>
          <w:rtl w:val="0"/>
        </w:rPr>
        <w:t>https://assets.publishing.service.gov.uk</w:t>
      </w:r>
      <w:r>
        <w:rPr>
          <w:rFonts w:ascii="Times New Roman" w:cs="Times New Roman" w:hAnsi="Times New Roman" w:eastAsia="Times New Roman"/>
          <w:sz w:val="24"/>
          <w:szCs w:val="24"/>
          <w:rtl w:val="0"/>
        </w:rPr>
        <w:fldChar w:fldCharType="end" w:fldLock="0"/>
      </w:r>
    </w:p>
    <w:p>
      <w:pPr>
        <w:pStyle w:val="Default"/>
        <w:bidi w:val="0"/>
        <w:spacing w:line="360" w:lineRule="auto"/>
        <w:ind w:left="0" w:right="0" w:firstLine="0"/>
        <w:jc w:val="left"/>
        <w:rPr>
          <w:rFonts w:ascii="Times New Roman" w:cs="Times New Roman" w:hAnsi="Times New Roman" w:eastAsia="Times New Roman"/>
          <w:sz w:val="24"/>
          <w:szCs w:val="24"/>
          <w:rtl w:val="0"/>
        </w:rPr>
      </w:pPr>
      <w:r>
        <w:rPr>
          <w:rFonts w:ascii="Times New Roman" w:cs="Times New Roman" w:hAnsi="Times New Roman" w:eastAsia="Times New Roman"/>
          <w:sz w:val="24"/>
          <w:szCs w:val="24"/>
          <w:rtl w:val="0"/>
        </w:rPr>
        <w:tab/>
      </w:r>
      <w:r>
        <w:rPr>
          <w:rFonts w:ascii="Times New Roman" w:hAnsi="Times New Roman"/>
          <w:sz w:val="24"/>
          <w:szCs w:val="24"/>
          <w:rtl w:val="0"/>
          <w:lang w:val="en-US"/>
        </w:rPr>
        <w:t>government/uploads/system/uploads/attachment_data/file/265506/129.pdf [Accessed 1</w:t>
      </w:r>
      <w:r>
        <w:rPr>
          <w:rFonts w:ascii="Times New Roman" w:hAnsi="Times New Roman"/>
          <w:sz w:val="24"/>
          <w:szCs w:val="24"/>
          <w:rtl w:val="0"/>
          <w:lang w:val="en-US"/>
        </w:rPr>
        <w:t>1</w:t>
      </w:r>
    </w:p>
    <w:p>
      <w:pPr>
        <w:pStyle w:val="Default"/>
        <w:bidi w:val="0"/>
        <w:spacing w:line="360" w:lineRule="auto"/>
        <w:ind w:left="0" w:right="0" w:firstLine="0"/>
        <w:jc w:val="left"/>
        <w:rPr>
          <w:rFonts w:ascii="Times New Roman" w:cs="Times New Roman" w:hAnsi="Times New Roman" w:eastAsia="Times New Roman"/>
          <w:sz w:val="24"/>
          <w:szCs w:val="24"/>
          <w:rtl w:val="0"/>
        </w:rPr>
      </w:pPr>
      <w:r>
        <w:rPr>
          <w:rFonts w:ascii="Times New Roman" w:cs="Times New Roman" w:hAnsi="Times New Roman" w:eastAsia="Times New Roman"/>
          <w:sz w:val="24"/>
          <w:szCs w:val="24"/>
          <w:rtl w:val="0"/>
        </w:rPr>
        <w:tab/>
      </w:r>
      <w:r>
        <w:rPr>
          <w:rFonts w:ascii="Times New Roman" w:hAnsi="Times New Roman"/>
          <w:sz w:val="24"/>
          <w:szCs w:val="24"/>
          <w:rtl w:val="0"/>
          <w:lang w:val="pt-PT"/>
        </w:rPr>
        <w:t>Dec. 2018].</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lang w:val="en-US"/>
        </w:rPr>
        <w:tab/>
        <w:t xml:space="preserve">Pollard, A. (2014) </w:t>
      </w:r>
      <w:r>
        <w:rPr>
          <w:rFonts w:ascii="Times New Roman" w:hAnsi="Times New Roman"/>
          <w:i w:val="1"/>
          <w:iCs w:val="1"/>
          <w:sz w:val="24"/>
          <w:szCs w:val="24"/>
          <w:shd w:val="clear" w:color="auto" w:fill="ffffff"/>
          <w:rtl w:val="0"/>
          <w:lang w:val="en-US"/>
        </w:rPr>
        <w:t>Reflective teaching in schools.</w:t>
      </w:r>
      <w:r>
        <w:rPr>
          <w:rFonts w:ascii="Times New Roman" w:hAnsi="Times New Roman"/>
          <w:sz w:val="24"/>
          <w:szCs w:val="24"/>
          <w:shd w:val="clear" w:color="auto" w:fill="ffffff"/>
          <w:rtl w:val="0"/>
          <w:lang w:val="en-US"/>
        </w:rPr>
        <w:t xml:space="preserve"> London. Bloomsbury.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lang w:val="en-US"/>
        </w:rPr>
        <w:t xml:space="preserve">Smith, J. and Gilbert, I. (2010). </w:t>
      </w:r>
      <w:r>
        <w:rPr>
          <w:rFonts w:ascii="Times New Roman" w:hAnsi="Times New Roman"/>
          <w:i w:val="1"/>
          <w:iCs w:val="1"/>
          <w:sz w:val="24"/>
          <w:szCs w:val="24"/>
          <w:shd w:val="clear" w:color="auto" w:fill="ffffff"/>
          <w:rtl w:val="0"/>
          <w:lang w:val="en-US"/>
        </w:rPr>
        <w:t>The lazy teacher's handbook</w:t>
      </w:r>
      <w:r>
        <w:rPr>
          <w:rFonts w:ascii="Times New Roman" w:hAnsi="Times New Roman"/>
          <w:sz w:val="24"/>
          <w:szCs w:val="24"/>
          <w:shd w:val="clear" w:color="auto" w:fill="ffffff"/>
          <w:rtl w:val="0"/>
          <w:lang w:val="en-US"/>
        </w:rPr>
        <w:t>. 1st ed.</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lang w:val="en-US"/>
        </w:rPr>
        <w:t xml:space="preserve">Wright, D. (2006). </w:t>
      </w:r>
      <w:r>
        <w:rPr>
          <w:rFonts w:ascii="Times New Roman" w:hAnsi="Times New Roman"/>
          <w:i w:val="1"/>
          <w:iCs w:val="1"/>
          <w:sz w:val="24"/>
          <w:szCs w:val="24"/>
          <w:shd w:val="clear" w:color="auto" w:fill="ffffff"/>
          <w:rtl w:val="0"/>
          <w:lang w:val="en-US"/>
        </w:rPr>
        <w:t>Classroom karma</w:t>
      </w:r>
      <w:r>
        <w:rPr>
          <w:rFonts w:ascii="Times New Roman" w:hAnsi="Times New Roman"/>
          <w:sz w:val="24"/>
          <w:szCs w:val="24"/>
          <w:shd w:val="clear" w:color="auto" w:fill="ffffff"/>
          <w:rtl w:val="0"/>
          <w:lang w:val="de-DE"/>
        </w:rPr>
        <w:t>. London: David Fulton.</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lang w:val="en-US"/>
        </w:rPr>
        <w:t>YouTube</w:t>
      </w:r>
      <w:r>
        <w:rPr>
          <w:rFonts w:ascii="Times New Roman" w:hAnsi="Times New Roman"/>
          <w:sz w:val="24"/>
          <w:szCs w:val="24"/>
          <w:shd w:val="clear" w:color="auto" w:fill="ffffff"/>
          <w:rtl w:val="0"/>
          <w:lang w:val="en-US"/>
        </w:rPr>
        <w:t xml:space="preserve"> (2010)</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lang w:val="de-DE"/>
        </w:rPr>
        <w:t>Carol Dweck: Mindset interview</w:t>
      </w:r>
      <w:r>
        <w:rPr>
          <w:rFonts w:ascii="Times New Roman" w:hAnsi="Times New Roman"/>
          <w:sz w:val="24"/>
          <w:szCs w:val="24"/>
          <w:shd w:val="clear" w:color="auto" w:fill="ffffff"/>
          <w:rtl w:val="0"/>
          <w:lang w:val="en-US"/>
        </w:rPr>
        <w:t>. [online] Available at: https:/</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Style w:val="Hyperlink.0"/>
          <w:rFonts w:ascii="Times New Roman" w:cs="Times New Roman" w:hAnsi="Times New Roman" w:eastAsia="Times New Roman"/>
          <w:sz w:val="24"/>
          <w:szCs w:val="24"/>
          <w:shd w:val="clear" w:color="auto" w:fill="ffffff"/>
          <w:rtl w:val="0"/>
        </w:rPr>
        <w:fldChar w:fldCharType="begin" w:fldLock="0"/>
      </w:r>
      <w:r>
        <w:rPr>
          <w:rStyle w:val="Hyperlink.0"/>
          <w:rFonts w:ascii="Times New Roman" w:cs="Times New Roman" w:hAnsi="Times New Roman" w:eastAsia="Times New Roman"/>
          <w:sz w:val="24"/>
          <w:szCs w:val="24"/>
          <w:shd w:val="clear" w:color="auto" w:fill="ffffff"/>
          <w:rtl w:val="0"/>
        </w:rPr>
        <w:instrText xml:space="preserve"> HYPERLINK "http://www.youtube.com/watch?time_continue=8&amp;v=ICILzbB1Obg"</w:instrText>
      </w:r>
      <w:r>
        <w:rPr>
          <w:rStyle w:val="Hyperlink.0"/>
          <w:rFonts w:ascii="Times New Roman" w:cs="Times New Roman" w:hAnsi="Times New Roman" w:eastAsia="Times New Roman"/>
          <w:sz w:val="24"/>
          <w:szCs w:val="24"/>
          <w:shd w:val="clear" w:color="auto" w:fill="ffffff"/>
          <w:rtl w:val="0"/>
        </w:rPr>
        <w:fldChar w:fldCharType="separate" w:fldLock="0"/>
      </w:r>
      <w:r>
        <w:rPr>
          <w:rStyle w:val="Hyperlink.0"/>
          <w:rFonts w:ascii="Times New Roman" w:hAnsi="Times New Roman"/>
          <w:sz w:val="24"/>
          <w:szCs w:val="24"/>
          <w:shd w:val="clear" w:color="auto" w:fill="ffffff"/>
          <w:rtl w:val="0"/>
          <w:lang w:val="en-US"/>
        </w:rPr>
        <w:t>www.youtube.com/watch?time_continue=8&amp;v=ICILzbB1Obg</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[Accessed 11 Dec. 2018].</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p>
    <w:sectPr>
      <w:headerReference w:type="default" r:id="rId11"/>
      <w:footerReference w:type="default" r:id="rId12"/>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r>
    <w:r>
      <w:rPr/>
      <w:fldChar w:fldCharType="begin" w:fldLock="0"/>
    </w:r>
    <w:r>
      <w:instrText xml:space="preserve"> PAGE </w:instrText>
    </w:r>
    <w:r>
      <w:rPr/>
      <w:fldChar w:fldCharType="separate" w:fldLock="0"/>
    </w:r>
    <w:r>
      <w:t>16</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1501341</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Link">
    <w:name w:val="Link"/>
    <w:rPr>
      <w:u w:val="single"/>
    </w:rPr>
  </w:style>
  <w:style w:type="character" w:styleId="Hyperlink.0">
    <w:name w:val="Hyperlink.0"/>
    <w:basedOn w:val="Link"/>
    <w:next w:val="Hyperlink.0"/>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