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365DC" w14:textId="2C577E0D" w:rsidR="00572B41" w:rsidRDefault="0085437A">
      <w:pPr>
        <w:rPr>
          <w:b/>
          <w:bCs/>
          <w:u w:val="single"/>
        </w:rPr>
      </w:pPr>
      <w:r w:rsidRPr="00A33786">
        <w:rPr>
          <w:b/>
          <w:bCs/>
          <w:u w:val="single"/>
        </w:rPr>
        <w:t>L</w:t>
      </w:r>
      <w:r w:rsidR="00AA03E0" w:rsidRPr="00A33786">
        <w:rPr>
          <w:b/>
          <w:bCs/>
          <w:u w:val="single"/>
        </w:rPr>
        <w:t>it</w:t>
      </w:r>
      <w:r w:rsidRPr="00A33786">
        <w:rPr>
          <w:b/>
          <w:bCs/>
          <w:u w:val="single"/>
        </w:rPr>
        <w:t xml:space="preserve">erature review </w:t>
      </w:r>
    </w:p>
    <w:p w14:paraId="5F83A972" w14:textId="77777777" w:rsidR="008F5F44" w:rsidRDefault="008F5F44">
      <w:pPr>
        <w:rPr>
          <w:b/>
          <w:bCs/>
          <w:u w:val="single"/>
        </w:rPr>
      </w:pPr>
    </w:p>
    <w:p w14:paraId="051C31C8" w14:textId="0A146F1A" w:rsidR="00572B41" w:rsidRPr="00572B41" w:rsidRDefault="00572B41" w:rsidP="00572B41">
      <w:pPr>
        <w:rPr>
          <w:sz w:val="22"/>
          <w:szCs w:val="22"/>
        </w:rPr>
      </w:pPr>
      <w:r>
        <w:rPr>
          <w:sz w:val="22"/>
          <w:szCs w:val="22"/>
          <w:lang w:val="en-US"/>
        </w:rPr>
        <w:t xml:space="preserve">Aim - </w:t>
      </w:r>
      <w:r w:rsidRPr="00572B41">
        <w:rPr>
          <w:sz w:val="22"/>
          <w:szCs w:val="22"/>
          <w:lang w:val="en-US"/>
        </w:rPr>
        <w:t xml:space="preserve">Create a website to develop St. josephs coaches technical and tactical awareness and the implementation it into their junior teams. </w:t>
      </w:r>
    </w:p>
    <w:p w14:paraId="28B690BC" w14:textId="77777777" w:rsidR="00A33786" w:rsidRPr="00A33786" w:rsidRDefault="00A33786">
      <w:pPr>
        <w:rPr>
          <w:b/>
          <w:bCs/>
          <w:u w:val="single"/>
        </w:rPr>
      </w:pPr>
    </w:p>
    <w:p w14:paraId="4F039ED9" w14:textId="0DC74E45" w:rsidR="00AE0E76" w:rsidRDefault="00AE0E76" w:rsidP="009E58E1">
      <w:pPr>
        <w:pStyle w:val="NormalWeb"/>
        <w:rPr>
          <w:rFonts w:asciiTheme="minorHAnsi" w:hAnsiTheme="minorHAnsi"/>
          <w:color w:val="000000"/>
          <w:sz w:val="22"/>
          <w:szCs w:val="22"/>
        </w:rPr>
      </w:pPr>
      <w:r w:rsidRPr="00AE0E76">
        <w:rPr>
          <w:rFonts w:asciiTheme="minorHAnsi" w:hAnsiTheme="minorHAnsi"/>
          <w:color w:val="000000"/>
          <w:sz w:val="22"/>
          <w:szCs w:val="22"/>
        </w:rPr>
        <w:t xml:space="preserve">Coaches play a vital role in the development of young football players. They influence not only technical skill acquisition but also tactical understanding, decision-making, and long-term engagement with the sport (Cushion et al., 2012). In youth football, the quality of coaching has been identified as a key determinant of player development, particularly during the early stages when technical and tactical foundations are established (Williams and Hodges, 2005). Consequently, the education and ongoing development of coaches has become a significant focus within sports coaching research. Traditionally, coach education in football has been delivered through formal, course-based programmes governed by national and international organisations, such as FAW Wales. </w:t>
      </w:r>
      <w:r w:rsidR="003375D7" w:rsidRPr="003375D7">
        <w:rPr>
          <w:rFonts w:asciiTheme="minorHAnsi" w:hAnsiTheme="minorHAnsi"/>
          <w:color w:val="000000"/>
          <w:sz w:val="22"/>
          <w:szCs w:val="22"/>
        </w:rPr>
        <w:t>These programmes provide essential foundational knowledge. However, research suggests they are often overly prescriptive and limited in their ability to support coaches in applying learning within real coaching environments</w:t>
      </w:r>
      <w:r w:rsidR="003375D7" w:rsidRPr="00AE0E76">
        <w:rPr>
          <w:rFonts w:asciiTheme="minorHAnsi" w:hAnsiTheme="minorHAnsi"/>
          <w:color w:val="000000"/>
          <w:sz w:val="22"/>
          <w:szCs w:val="22"/>
        </w:rPr>
        <w:t xml:space="preserve"> </w:t>
      </w:r>
      <w:r w:rsidRPr="00AE0E76">
        <w:rPr>
          <w:rFonts w:asciiTheme="minorHAnsi" w:hAnsiTheme="minorHAnsi"/>
          <w:color w:val="000000"/>
          <w:sz w:val="22"/>
          <w:szCs w:val="22"/>
        </w:rPr>
        <w:t xml:space="preserve">(Cushion, Armour and Jones, 2003; Nelson, Cushion and Potrac, 2013). Research indicates that coaches predominantly develop their practice through informal learning experiences. These include reflection, interaction with peers, and experiential learning within their own coaching contexts (Werthner and Trudel, 2006). This highlights the need for ongoing, accessible resources to support coaches beyond initial </w:t>
      </w:r>
      <w:r w:rsidRPr="00AE0E76">
        <w:rPr>
          <w:rFonts w:asciiTheme="minorHAnsi" w:hAnsiTheme="minorHAnsi"/>
          <w:color w:val="000000"/>
          <w:sz w:val="22"/>
          <w:szCs w:val="22"/>
        </w:rPr>
        <w:t>qualifications.</w:t>
      </w:r>
    </w:p>
    <w:p w14:paraId="2B1F6CD6" w14:textId="513A9A1E" w:rsidR="009E58E1" w:rsidRDefault="00AE0E76" w:rsidP="009E58E1">
      <w:pPr>
        <w:pStyle w:val="NormalWeb"/>
        <w:rPr>
          <w:rFonts w:asciiTheme="minorHAnsi" w:hAnsiTheme="minorHAnsi"/>
          <w:color w:val="000000"/>
          <w:sz w:val="22"/>
          <w:szCs w:val="22"/>
        </w:rPr>
      </w:pPr>
      <w:r w:rsidRPr="00AE0E76">
        <w:rPr>
          <w:rFonts w:asciiTheme="minorHAnsi" w:hAnsiTheme="minorHAnsi"/>
          <w:color w:val="000000"/>
          <w:sz w:val="22"/>
          <w:szCs w:val="22"/>
        </w:rPr>
        <w:t xml:space="preserve"> In</w:t>
      </w:r>
      <w:r w:rsidR="009E58E1" w:rsidRPr="009E58E1">
        <w:rPr>
          <w:rFonts w:asciiTheme="minorHAnsi" w:hAnsiTheme="minorHAnsi"/>
          <w:color w:val="000000"/>
          <w:sz w:val="22"/>
          <w:szCs w:val="22"/>
        </w:rPr>
        <w:t xml:space="preserve"> youth football, effective coaching requires a strong understanding of both technical skill development and tactical </w:t>
      </w:r>
      <w:r w:rsidR="00C07509" w:rsidRPr="009E58E1">
        <w:rPr>
          <w:rFonts w:asciiTheme="minorHAnsi" w:hAnsiTheme="minorHAnsi"/>
          <w:color w:val="000000"/>
          <w:sz w:val="22"/>
          <w:szCs w:val="22"/>
        </w:rPr>
        <w:t>awareness.</w:t>
      </w:r>
      <w:r w:rsidR="00C07509">
        <w:rPr>
          <w:rFonts w:asciiTheme="minorHAnsi" w:hAnsiTheme="minorHAnsi"/>
          <w:color w:val="000000"/>
          <w:sz w:val="22"/>
          <w:szCs w:val="22"/>
        </w:rPr>
        <w:t xml:space="preserve"> </w:t>
      </w:r>
      <w:r w:rsidR="00C07509" w:rsidRPr="009E58E1">
        <w:rPr>
          <w:rFonts w:asciiTheme="minorHAnsi" w:hAnsiTheme="minorHAnsi"/>
          <w:color w:val="000000"/>
          <w:sz w:val="22"/>
          <w:szCs w:val="22"/>
        </w:rPr>
        <w:t>Research</w:t>
      </w:r>
      <w:r w:rsidR="009E58E1" w:rsidRPr="009E58E1">
        <w:rPr>
          <w:rFonts w:asciiTheme="minorHAnsi" w:hAnsiTheme="minorHAnsi"/>
          <w:color w:val="000000"/>
          <w:sz w:val="22"/>
          <w:szCs w:val="22"/>
        </w:rPr>
        <w:t xml:space="preserve"> emphasises the importance of game</w:t>
      </w:r>
      <w:r w:rsidR="00C07509">
        <w:rPr>
          <w:rFonts w:asciiTheme="minorHAnsi" w:hAnsiTheme="minorHAnsi"/>
          <w:color w:val="000000"/>
          <w:sz w:val="22"/>
          <w:szCs w:val="22"/>
        </w:rPr>
        <w:t xml:space="preserve"> </w:t>
      </w:r>
      <w:r w:rsidR="009E58E1" w:rsidRPr="009E58E1">
        <w:rPr>
          <w:rFonts w:asciiTheme="minorHAnsi" w:hAnsiTheme="minorHAnsi"/>
          <w:color w:val="000000"/>
          <w:sz w:val="22"/>
          <w:szCs w:val="22"/>
        </w:rPr>
        <w:t xml:space="preserve">based approaches and representative learning environments in </w:t>
      </w:r>
      <w:r w:rsidR="00317C09">
        <w:rPr>
          <w:rFonts w:asciiTheme="minorHAnsi" w:hAnsiTheme="minorHAnsi"/>
          <w:color w:val="000000"/>
          <w:sz w:val="22"/>
          <w:szCs w:val="22"/>
        </w:rPr>
        <w:t xml:space="preserve">creating </w:t>
      </w:r>
      <w:r w:rsidR="009E58E1" w:rsidRPr="009E58E1">
        <w:rPr>
          <w:rFonts w:asciiTheme="minorHAnsi" w:hAnsiTheme="minorHAnsi"/>
          <w:color w:val="000000"/>
          <w:sz w:val="22"/>
          <w:szCs w:val="22"/>
        </w:rPr>
        <w:t>adaptable, intelligent players (Renshaw et al., 2015; O’Connor, Larkin and Williams, 2017). However, many grassroots coaches report a lack of confidence and clarity when attempting to design sessions that effectively integrate technical and tactical learning (Cushion et al., 2012).</w:t>
      </w:r>
      <w:r w:rsidR="001335D4">
        <w:rPr>
          <w:rFonts w:asciiTheme="minorHAnsi" w:hAnsiTheme="minorHAnsi"/>
          <w:color w:val="000000"/>
          <w:sz w:val="22"/>
          <w:szCs w:val="22"/>
        </w:rPr>
        <w:t xml:space="preserve"> </w:t>
      </w:r>
      <w:r w:rsidR="009E58E1" w:rsidRPr="009E58E1">
        <w:rPr>
          <w:rFonts w:asciiTheme="minorHAnsi" w:hAnsiTheme="minorHAnsi"/>
          <w:color w:val="000000"/>
          <w:sz w:val="22"/>
          <w:szCs w:val="22"/>
        </w:rPr>
        <w:t xml:space="preserve">Advances in digital technology present new opportunities to support coach development through flexible, self-directed learning platforms. Online resources and blended learning approaches have been shown to enhance accessibility and support continuous professional development when appropriately designed (Piggott, 2015). Therefore, the purpose of this literature review is to examine research relating to coach education, technical and tactical development in youth football, the implementation of learning into coaching practice, and the role of digital platforms in supporting coach development. This review will provide the theoretical foundation for the creation of a website aimed at enhancing </w:t>
      </w:r>
      <w:r w:rsidR="001335D4">
        <w:rPr>
          <w:rFonts w:asciiTheme="minorHAnsi" w:hAnsiTheme="minorHAnsi"/>
          <w:color w:val="000000"/>
          <w:sz w:val="22"/>
          <w:szCs w:val="22"/>
        </w:rPr>
        <w:t xml:space="preserve">St. josephs </w:t>
      </w:r>
      <w:r w:rsidR="009E58E1" w:rsidRPr="009E58E1">
        <w:rPr>
          <w:rFonts w:asciiTheme="minorHAnsi" w:hAnsiTheme="minorHAnsi"/>
          <w:color w:val="000000"/>
          <w:sz w:val="22"/>
          <w:szCs w:val="22"/>
        </w:rPr>
        <w:t>coaches’ technical and tactical awareness and supporting its application within junior football environments.</w:t>
      </w:r>
    </w:p>
    <w:p w14:paraId="5181922D" w14:textId="77777777" w:rsidR="006A2FCD" w:rsidRPr="006A2FCD" w:rsidRDefault="006A2FCD" w:rsidP="006A2FCD">
      <w:pPr>
        <w:pStyle w:val="NormalWeb"/>
        <w:rPr>
          <w:rFonts w:asciiTheme="minorHAnsi" w:hAnsiTheme="minorHAnsi"/>
          <w:color w:val="000000"/>
          <w:sz w:val="22"/>
          <w:szCs w:val="22"/>
        </w:rPr>
      </w:pPr>
      <w:r w:rsidRPr="006A2FCD">
        <w:rPr>
          <w:rFonts w:asciiTheme="minorHAnsi" w:hAnsiTheme="minorHAnsi"/>
          <w:color w:val="000000"/>
          <w:sz w:val="22"/>
          <w:szCs w:val="22"/>
        </w:rPr>
        <w:t xml:space="preserve">Coach education is widely recognised as a key factor in improving the quality of coaching in youth football. Effective coaching is linked to positive player development experiences and long-term participation in the sport (Lyle, 2002). National governing bodies have traditionally relied on formal coach education pathways, delivered through standard courses and qualifications, to prepare coaches for practice. These programmes aim to provide essential knowledge and structure. However, research raises concerns regarding their capacity to meet the complex, context-specific demands of grassroots youth football (Taylor and Garratt, 2010). Several authors argue that formal education often prioritises technical content and compliance over critical thinking and adaptability (Mallett et al., 2009). As a result, coaches may struggle to </w:t>
      </w:r>
      <w:r w:rsidRPr="006A2FCD">
        <w:rPr>
          <w:rFonts w:asciiTheme="minorHAnsi" w:hAnsiTheme="minorHAnsi"/>
          <w:color w:val="000000"/>
          <w:sz w:val="22"/>
          <w:szCs w:val="22"/>
        </w:rPr>
        <w:lastRenderedPageBreak/>
        <w:t>apply course content effectively when working with junior players who vary in age, ability, and developmental stage.</w:t>
      </w:r>
    </w:p>
    <w:p w14:paraId="72D1AD46" w14:textId="77777777" w:rsidR="006A2FCD" w:rsidRPr="006A2FCD" w:rsidRDefault="006A2FCD" w:rsidP="006A2FCD">
      <w:pPr>
        <w:pStyle w:val="NormalWeb"/>
        <w:rPr>
          <w:rFonts w:asciiTheme="minorHAnsi" w:hAnsiTheme="minorHAnsi"/>
          <w:color w:val="000000"/>
          <w:sz w:val="22"/>
          <w:szCs w:val="22"/>
        </w:rPr>
      </w:pPr>
      <w:r w:rsidRPr="006A2FCD">
        <w:rPr>
          <w:rFonts w:asciiTheme="minorHAnsi" w:hAnsiTheme="minorHAnsi"/>
          <w:color w:val="000000"/>
          <w:sz w:val="22"/>
          <w:szCs w:val="22"/>
        </w:rPr>
        <w:t>This issue is compounded by contextual factors common in grassroots football. Coaching environments are frequently influenced by parental expectations, limited training time, and the voluntary status of coaches. Consequently, formal qualifications alone may be insufficient to support ongoing professional development. Research increasingly emphasises the importance of informal learning processes in coach development. Trudel and Gilbert (2006) suggest that coaches acquire knowledge through experience, reflection, and interaction with others, rather than formal education alone. In practice, this often involves trial and error, observation of peers, and adaptation based on player responses. While valuable, informal learning can also reinforce outdated practices if not guided by contemporary coaching principles (Mallett et al., 2009).</w:t>
      </w:r>
    </w:p>
    <w:p w14:paraId="70F149F7" w14:textId="1B0CD3EC" w:rsidR="006A2FCD" w:rsidRPr="006A2FCD" w:rsidRDefault="006A2FCD" w:rsidP="006A2FCD">
      <w:pPr>
        <w:pStyle w:val="NormalWeb"/>
        <w:rPr>
          <w:rFonts w:asciiTheme="minorHAnsi" w:hAnsiTheme="minorHAnsi"/>
          <w:color w:val="000000"/>
          <w:sz w:val="22"/>
          <w:szCs w:val="22"/>
        </w:rPr>
      </w:pPr>
      <w:r w:rsidRPr="006A2FCD">
        <w:rPr>
          <w:rFonts w:asciiTheme="minorHAnsi" w:hAnsiTheme="minorHAnsi"/>
          <w:color w:val="000000"/>
          <w:sz w:val="22"/>
          <w:szCs w:val="22"/>
        </w:rPr>
        <w:t xml:space="preserve">Reflective practice is a key mechanism for enhancing coach expertise. Schön (1983) proposed that professionals develop expertise through reflection on action and reflection in action, enabling adaptation to complex situations. In youth football, reflective practice allows coaches to evaluate session effectiveness and adjust approaches to better support technical and tactical development. </w:t>
      </w:r>
      <w:r w:rsidR="00D936BD">
        <w:rPr>
          <w:rFonts w:asciiTheme="minorHAnsi" w:hAnsiTheme="minorHAnsi"/>
          <w:color w:val="000000"/>
          <w:sz w:val="22"/>
          <w:szCs w:val="22"/>
        </w:rPr>
        <w:t>Despite this</w:t>
      </w:r>
      <w:r w:rsidRPr="006A2FCD">
        <w:rPr>
          <w:rFonts w:asciiTheme="minorHAnsi" w:hAnsiTheme="minorHAnsi"/>
          <w:color w:val="000000"/>
          <w:sz w:val="22"/>
          <w:szCs w:val="22"/>
        </w:rPr>
        <w:t>, studies suggest that many grassroots coaches lack the knowledge, time, or tools required for meaningful reflection (Taylor and Garratt, 2010). Social learning also plays a significant role, as interaction with mentors, peers, and support networks can enhance confidence and promote the sharing of practical knowledge (Jones, Armour and Potrac, 2004). Despite this, structured collaboration opportunities are often limited in volunteer</w:t>
      </w:r>
      <w:r w:rsidR="00D936BD">
        <w:rPr>
          <w:rFonts w:asciiTheme="minorHAnsi" w:hAnsiTheme="minorHAnsi"/>
          <w:color w:val="000000"/>
          <w:sz w:val="22"/>
          <w:szCs w:val="22"/>
        </w:rPr>
        <w:t xml:space="preserve"> </w:t>
      </w:r>
      <w:r w:rsidRPr="006A2FCD">
        <w:rPr>
          <w:rFonts w:asciiTheme="minorHAnsi" w:hAnsiTheme="minorHAnsi"/>
          <w:color w:val="000000"/>
          <w:sz w:val="22"/>
          <w:szCs w:val="22"/>
        </w:rPr>
        <w:t>based clubs, which can result in isolated practice and inconsistent learning experiences.</w:t>
      </w:r>
    </w:p>
    <w:p w14:paraId="73AF8C60" w14:textId="2BADAA6F" w:rsidR="006A2FCD" w:rsidRPr="006A2FCD" w:rsidRDefault="00D91E16" w:rsidP="006A2FCD">
      <w:pPr>
        <w:pStyle w:val="NormalWeb"/>
        <w:rPr>
          <w:rFonts w:asciiTheme="minorHAnsi" w:hAnsiTheme="minorHAnsi"/>
          <w:color w:val="000000"/>
          <w:sz w:val="22"/>
          <w:szCs w:val="22"/>
        </w:rPr>
      </w:pPr>
      <w:r>
        <w:rPr>
          <w:rFonts w:asciiTheme="minorHAnsi" w:hAnsiTheme="minorHAnsi"/>
          <w:color w:val="000000"/>
          <w:sz w:val="22"/>
          <w:szCs w:val="22"/>
        </w:rPr>
        <w:t>Current research supports</w:t>
      </w:r>
      <w:r w:rsidR="006A2FCD" w:rsidRPr="006A2FCD">
        <w:rPr>
          <w:rFonts w:asciiTheme="minorHAnsi" w:hAnsiTheme="minorHAnsi"/>
          <w:color w:val="000000"/>
          <w:sz w:val="22"/>
          <w:szCs w:val="22"/>
        </w:rPr>
        <w:t xml:space="preserve"> for coach education models that integrate formal learning with ongoing, practice-based support (Callary, Werthner and Trudel, 2012). Digital technologies have been identified as a potential means of facilitating this support, providing accessible materials and opportunities for self</w:t>
      </w:r>
      <w:r w:rsidR="00AD4A2C">
        <w:rPr>
          <w:rFonts w:asciiTheme="minorHAnsi" w:hAnsiTheme="minorHAnsi"/>
          <w:color w:val="000000"/>
          <w:sz w:val="22"/>
          <w:szCs w:val="22"/>
        </w:rPr>
        <w:t xml:space="preserve"> </w:t>
      </w:r>
      <w:r w:rsidR="006A2FCD" w:rsidRPr="006A2FCD">
        <w:rPr>
          <w:rFonts w:asciiTheme="minorHAnsi" w:hAnsiTheme="minorHAnsi"/>
          <w:color w:val="000000"/>
          <w:sz w:val="22"/>
          <w:szCs w:val="22"/>
        </w:rPr>
        <w:t>directed learning (Stoszkowski and Collins, 2016). However, the effectiveness of such platforms depends on their design and the encouragement of active engagement rather than passive consumption of information.</w:t>
      </w:r>
    </w:p>
    <w:p w14:paraId="30A944A0" w14:textId="7943F020" w:rsidR="006A2FCD" w:rsidRPr="006A2FCD" w:rsidRDefault="006A2FCD" w:rsidP="006A2FCD">
      <w:pPr>
        <w:pStyle w:val="NormalWeb"/>
        <w:rPr>
          <w:rFonts w:asciiTheme="minorHAnsi" w:hAnsiTheme="minorHAnsi"/>
          <w:color w:val="000000"/>
          <w:sz w:val="22"/>
          <w:szCs w:val="22"/>
        </w:rPr>
      </w:pPr>
      <w:r w:rsidRPr="006A2FCD">
        <w:rPr>
          <w:rFonts w:asciiTheme="minorHAnsi" w:hAnsiTheme="minorHAnsi"/>
          <w:color w:val="000000"/>
          <w:sz w:val="22"/>
          <w:szCs w:val="22"/>
        </w:rPr>
        <w:t>Overall, while formal coach education provides a foundational understanding, coaches</w:t>
      </w:r>
      <w:r w:rsidR="00AD4A2C">
        <w:rPr>
          <w:rFonts w:asciiTheme="minorHAnsi" w:hAnsiTheme="minorHAnsi"/>
          <w:color w:val="000000"/>
          <w:sz w:val="22"/>
          <w:szCs w:val="22"/>
        </w:rPr>
        <w:t xml:space="preserve"> still </w:t>
      </w:r>
      <w:r w:rsidRPr="006A2FCD">
        <w:rPr>
          <w:rFonts w:asciiTheme="minorHAnsi" w:hAnsiTheme="minorHAnsi"/>
          <w:color w:val="000000"/>
          <w:sz w:val="22"/>
          <w:szCs w:val="22"/>
        </w:rPr>
        <w:t>predominantly develop through informal, reflective, and socially mediated processes. Addressing contextual constraints and offering applied, accessible support is therefore essential. Developing such capacity is particularly critical for enabling coaches to implement technical and tactical learning effectively</w:t>
      </w:r>
      <w:r w:rsidR="008477D0">
        <w:rPr>
          <w:rFonts w:asciiTheme="minorHAnsi" w:hAnsiTheme="minorHAnsi"/>
          <w:color w:val="000000"/>
          <w:sz w:val="22"/>
          <w:szCs w:val="22"/>
        </w:rPr>
        <w:t xml:space="preserve"> into their junior teams</w:t>
      </w:r>
      <w:r w:rsidRPr="006A2FCD">
        <w:rPr>
          <w:rFonts w:asciiTheme="minorHAnsi" w:hAnsiTheme="minorHAnsi"/>
          <w:color w:val="000000"/>
          <w:sz w:val="22"/>
          <w:szCs w:val="22"/>
        </w:rPr>
        <w:t>. The following section will explore</w:t>
      </w:r>
      <w:r w:rsidRPr="006A2FCD">
        <w:rPr>
          <w:rStyle w:val="apple-converted-space"/>
          <w:rFonts w:asciiTheme="minorHAnsi" w:eastAsiaTheme="majorEastAsia" w:hAnsiTheme="minorHAnsi"/>
          <w:color w:val="000000"/>
          <w:sz w:val="22"/>
          <w:szCs w:val="22"/>
        </w:rPr>
        <w:t> </w:t>
      </w:r>
      <w:r w:rsidRPr="006A2FCD">
        <w:rPr>
          <w:rStyle w:val="Strong"/>
          <w:rFonts w:asciiTheme="minorHAnsi" w:eastAsiaTheme="majorEastAsia" w:hAnsiTheme="minorHAnsi"/>
          <w:b w:val="0"/>
          <w:bCs w:val="0"/>
          <w:color w:val="000000"/>
          <w:sz w:val="22"/>
          <w:szCs w:val="22"/>
        </w:rPr>
        <w:t>technical skill development</w:t>
      </w:r>
      <w:r w:rsidRPr="006A2FCD">
        <w:rPr>
          <w:rFonts w:asciiTheme="minorHAnsi" w:hAnsiTheme="minorHAnsi"/>
          <w:b/>
          <w:bCs/>
          <w:color w:val="000000"/>
          <w:sz w:val="22"/>
          <w:szCs w:val="22"/>
        </w:rPr>
        <w:t>,</w:t>
      </w:r>
      <w:r w:rsidRPr="006A2FCD">
        <w:rPr>
          <w:rFonts w:asciiTheme="minorHAnsi" w:hAnsiTheme="minorHAnsi"/>
          <w:color w:val="000000"/>
          <w:sz w:val="22"/>
          <w:szCs w:val="22"/>
        </w:rPr>
        <w:t xml:space="preserve"> demonstrating how coach learning translates into the practical design of junior football sessions.</w:t>
      </w:r>
    </w:p>
    <w:p w14:paraId="25CAFA79" w14:textId="6EFF70E2" w:rsidR="00BB13FE" w:rsidRDefault="009325B2" w:rsidP="009325B2">
      <w:pPr>
        <w:pStyle w:val="NormalWeb"/>
        <w:rPr>
          <w:rFonts w:asciiTheme="minorHAnsi" w:hAnsiTheme="minorHAnsi"/>
          <w:color w:val="000000"/>
          <w:sz w:val="22"/>
          <w:szCs w:val="22"/>
        </w:rPr>
      </w:pPr>
      <w:r w:rsidRPr="009325B2">
        <w:rPr>
          <w:rFonts w:asciiTheme="minorHAnsi" w:hAnsiTheme="minorHAnsi"/>
          <w:color w:val="000000"/>
          <w:sz w:val="22"/>
          <w:szCs w:val="22"/>
        </w:rPr>
        <w:t>Technical skill development is a fundamental component of youth football coaching, underpinning players’ ability to perform effectively within game situations. Technical skills such as passing, dribbling, receiving</w:t>
      </w:r>
      <w:r w:rsidR="002B786C">
        <w:rPr>
          <w:rFonts w:asciiTheme="minorHAnsi" w:hAnsiTheme="minorHAnsi"/>
          <w:color w:val="000000"/>
          <w:sz w:val="22"/>
          <w:szCs w:val="22"/>
        </w:rPr>
        <w:t xml:space="preserve"> the ball</w:t>
      </w:r>
      <w:r w:rsidRPr="009325B2">
        <w:rPr>
          <w:rFonts w:asciiTheme="minorHAnsi" w:hAnsiTheme="minorHAnsi"/>
          <w:color w:val="000000"/>
          <w:sz w:val="22"/>
          <w:szCs w:val="22"/>
        </w:rPr>
        <w:t xml:space="preserve">, and shooting form the foundation upon which tactical understanding and decision-making are built (Ali, 2011). As a result, the </w:t>
      </w:r>
      <w:r w:rsidR="008477D0">
        <w:rPr>
          <w:rFonts w:asciiTheme="minorHAnsi" w:hAnsiTheme="minorHAnsi"/>
          <w:color w:val="000000"/>
          <w:sz w:val="22"/>
          <w:szCs w:val="22"/>
        </w:rPr>
        <w:t>way</w:t>
      </w:r>
      <w:r w:rsidRPr="009325B2">
        <w:rPr>
          <w:rFonts w:asciiTheme="minorHAnsi" w:hAnsiTheme="minorHAnsi"/>
          <w:color w:val="000000"/>
          <w:sz w:val="22"/>
          <w:szCs w:val="22"/>
        </w:rPr>
        <w:t xml:space="preserve"> coaches design and deliver training sessions during the junior stages is critical to long-term player development.</w:t>
      </w:r>
      <w:r w:rsidR="002B786C">
        <w:rPr>
          <w:rFonts w:asciiTheme="minorHAnsi" w:hAnsiTheme="minorHAnsi"/>
          <w:color w:val="000000"/>
          <w:sz w:val="22"/>
          <w:szCs w:val="22"/>
        </w:rPr>
        <w:t xml:space="preserve"> </w:t>
      </w:r>
      <w:r w:rsidRPr="009325B2">
        <w:rPr>
          <w:rFonts w:asciiTheme="minorHAnsi" w:hAnsiTheme="minorHAnsi"/>
          <w:color w:val="000000"/>
          <w:sz w:val="22"/>
          <w:szCs w:val="22"/>
        </w:rPr>
        <w:t>Traditional approaches to technical coaching in football have often emphasised repetitive, isolated drills aimed at improving movement efficiency and execution consistency (Williams and Hodges, 2005). While such practices may lead to short-term improvements in technique, research has questioned their effectiveness in promoting skill transfer to match situations. Skill execution in football is highly</w:t>
      </w:r>
      <w:r w:rsidR="00DE341B">
        <w:rPr>
          <w:rFonts w:asciiTheme="minorHAnsi" w:hAnsiTheme="minorHAnsi"/>
          <w:color w:val="000000"/>
          <w:sz w:val="22"/>
          <w:szCs w:val="22"/>
        </w:rPr>
        <w:t xml:space="preserve"> </w:t>
      </w:r>
      <w:r w:rsidRPr="009325B2">
        <w:rPr>
          <w:rFonts w:asciiTheme="minorHAnsi" w:hAnsiTheme="minorHAnsi"/>
          <w:color w:val="000000"/>
          <w:sz w:val="22"/>
          <w:szCs w:val="22"/>
        </w:rPr>
        <w:t xml:space="preserve">dependent, requiring players to adapt their </w:t>
      </w:r>
      <w:r w:rsidRPr="009325B2">
        <w:rPr>
          <w:rFonts w:asciiTheme="minorHAnsi" w:hAnsiTheme="minorHAnsi"/>
          <w:color w:val="000000"/>
          <w:sz w:val="22"/>
          <w:szCs w:val="22"/>
        </w:rPr>
        <w:lastRenderedPageBreak/>
        <w:t xml:space="preserve">techniques in response to </w:t>
      </w:r>
      <w:r w:rsidR="00DE341B">
        <w:rPr>
          <w:rFonts w:asciiTheme="minorHAnsi" w:hAnsiTheme="minorHAnsi"/>
          <w:color w:val="000000"/>
          <w:sz w:val="22"/>
          <w:szCs w:val="22"/>
        </w:rPr>
        <w:t xml:space="preserve">game </w:t>
      </w:r>
      <w:r w:rsidRPr="009325B2">
        <w:rPr>
          <w:rFonts w:asciiTheme="minorHAnsi" w:hAnsiTheme="minorHAnsi"/>
          <w:color w:val="000000"/>
          <w:sz w:val="22"/>
          <w:szCs w:val="22"/>
        </w:rPr>
        <w:t>constraints such as opponents, space, and time pressure (Davids, Araújo and Shuttleworth, 2005).</w:t>
      </w:r>
      <w:r w:rsidR="002B696D">
        <w:rPr>
          <w:rFonts w:asciiTheme="minorHAnsi" w:hAnsiTheme="minorHAnsi"/>
          <w:color w:val="000000"/>
          <w:sz w:val="22"/>
          <w:szCs w:val="22"/>
        </w:rPr>
        <w:t xml:space="preserve"> </w:t>
      </w:r>
    </w:p>
    <w:p w14:paraId="1763EDAD" w14:textId="3C41078A" w:rsidR="00CC5EE1" w:rsidRDefault="009325B2" w:rsidP="009325B2">
      <w:pPr>
        <w:pStyle w:val="NormalWeb"/>
        <w:rPr>
          <w:rFonts w:asciiTheme="minorHAnsi" w:hAnsiTheme="minorHAnsi"/>
          <w:color w:val="000000"/>
          <w:sz w:val="22"/>
          <w:szCs w:val="22"/>
        </w:rPr>
      </w:pPr>
      <w:r w:rsidRPr="009325B2">
        <w:rPr>
          <w:rFonts w:asciiTheme="minorHAnsi" w:hAnsiTheme="minorHAnsi"/>
          <w:color w:val="000000"/>
          <w:sz w:val="22"/>
          <w:szCs w:val="22"/>
        </w:rPr>
        <w:t>Contemporary skill acquisition research advocates for the use of representative learning environments that closely reflect the demands of competitive play (Araújo, Davids and Hristovski, 2006). Within junior football, this has led to increased support for game</w:t>
      </w:r>
      <w:r w:rsidR="002B696D">
        <w:rPr>
          <w:rFonts w:asciiTheme="minorHAnsi" w:hAnsiTheme="minorHAnsi"/>
          <w:color w:val="000000"/>
          <w:sz w:val="22"/>
          <w:szCs w:val="22"/>
        </w:rPr>
        <w:t xml:space="preserve"> </w:t>
      </w:r>
      <w:r w:rsidRPr="009325B2">
        <w:rPr>
          <w:rFonts w:asciiTheme="minorHAnsi" w:hAnsiTheme="minorHAnsi"/>
          <w:color w:val="000000"/>
          <w:sz w:val="22"/>
          <w:szCs w:val="22"/>
        </w:rPr>
        <w:t>based and constraints-led coaching approaches. The constraints-led approach suggests that technical skills emerge naturally through appropriately designed practices that manipulate task, environmental, and individual constraints (Davids et al., 2013). For example, modifying pitch size, player numbers, or scoring conditions can encourage players to develop specific technical behaviours without the need for explicit instruction.</w:t>
      </w:r>
      <w:r w:rsidR="002B696D">
        <w:rPr>
          <w:rFonts w:asciiTheme="minorHAnsi" w:hAnsiTheme="minorHAnsi"/>
          <w:color w:val="000000"/>
          <w:sz w:val="22"/>
          <w:szCs w:val="22"/>
        </w:rPr>
        <w:t xml:space="preserve"> </w:t>
      </w:r>
      <w:r w:rsidRPr="009325B2">
        <w:rPr>
          <w:rFonts w:asciiTheme="minorHAnsi" w:hAnsiTheme="minorHAnsi"/>
          <w:color w:val="000000"/>
          <w:sz w:val="22"/>
          <w:szCs w:val="22"/>
        </w:rPr>
        <w:t>Small-sided games have been widely identified as an effective method for promoting technical development in youth football. Research indicates that small-sided formats increase ball contacts, decision-making opportunities, and technical actions compared to full-sized games (Clemente, Couceiro and Martins, 2012). These environments allow junior players to repeatedly practise core technical skills under realistic levels of pressure, supporting the development of adaptable and transferable technique. However, the effectiveness of small-sided games is largely dependent on the coach’s ability to design practices with clear technical objectives (Owen, Twist and Ford, 2004).</w:t>
      </w:r>
      <w:r w:rsidR="00530311">
        <w:rPr>
          <w:rFonts w:asciiTheme="minorHAnsi" w:hAnsiTheme="minorHAnsi"/>
          <w:color w:val="000000"/>
          <w:sz w:val="22"/>
          <w:szCs w:val="22"/>
        </w:rPr>
        <w:t xml:space="preserve"> </w:t>
      </w:r>
    </w:p>
    <w:p w14:paraId="25D89849" w14:textId="5723C639" w:rsidR="009325B2" w:rsidRPr="009325B2" w:rsidRDefault="009325B2" w:rsidP="009325B2">
      <w:pPr>
        <w:pStyle w:val="NormalWeb"/>
        <w:rPr>
          <w:rFonts w:asciiTheme="minorHAnsi" w:hAnsiTheme="minorHAnsi"/>
          <w:color w:val="000000"/>
          <w:sz w:val="22"/>
          <w:szCs w:val="22"/>
        </w:rPr>
      </w:pPr>
      <w:r w:rsidRPr="009325B2">
        <w:rPr>
          <w:rFonts w:asciiTheme="minorHAnsi" w:hAnsiTheme="minorHAnsi"/>
          <w:color w:val="000000"/>
          <w:sz w:val="22"/>
          <w:szCs w:val="22"/>
        </w:rPr>
        <w:t>Player age and developmental stage are also critical considerations in technical coaching. Long-term athlete development models emphasise the importance of prioritising fundamental movement skills and basic techniques during childhood, before progressing towards more complex and position-specific skills during adolescence (Balyi, Way and Higgs, 2013). Failure to align coaching practices with developmental readiness can hinder skill acquisition and negatively affect player motivation. Despite this, studies s</w:t>
      </w:r>
      <w:r w:rsidR="00F64CC3">
        <w:rPr>
          <w:rFonts w:asciiTheme="minorHAnsi" w:hAnsiTheme="minorHAnsi"/>
          <w:color w:val="000000"/>
          <w:sz w:val="22"/>
          <w:szCs w:val="22"/>
        </w:rPr>
        <w:t>how</w:t>
      </w:r>
      <w:r w:rsidRPr="009325B2">
        <w:rPr>
          <w:rFonts w:asciiTheme="minorHAnsi" w:hAnsiTheme="minorHAnsi"/>
          <w:color w:val="000000"/>
          <w:sz w:val="22"/>
          <w:szCs w:val="22"/>
        </w:rPr>
        <w:t xml:space="preserve"> that many grassroots coaches lack a clear understanding of age-appropriate technical development principles, often adopting practices based on adult football models (Ford et al., 2010</w:t>
      </w:r>
      <w:r w:rsidR="00F64CC3" w:rsidRPr="009325B2">
        <w:rPr>
          <w:rFonts w:asciiTheme="minorHAnsi" w:hAnsiTheme="minorHAnsi"/>
          <w:color w:val="000000"/>
          <w:sz w:val="22"/>
          <w:szCs w:val="22"/>
        </w:rPr>
        <w:t>). The</w:t>
      </w:r>
      <w:r w:rsidRPr="009325B2">
        <w:rPr>
          <w:rFonts w:asciiTheme="minorHAnsi" w:hAnsiTheme="minorHAnsi"/>
          <w:color w:val="000000"/>
          <w:sz w:val="22"/>
          <w:szCs w:val="22"/>
        </w:rPr>
        <w:t xml:space="preserve"> role of the coach in </w:t>
      </w:r>
      <w:r w:rsidR="00EB7E50">
        <w:rPr>
          <w:rFonts w:asciiTheme="minorHAnsi" w:hAnsiTheme="minorHAnsi"/>
          <w:color w:val="000000"/>
          <w:sz w:val="22"/>
          <w:szCs w:val="22"/>
        </w:rPr>
        <w:t xml:space="preserve">implementing </w:t>
      </w:r>
      <w:r w:rsidRPr="009325B2">
        <w:rPr>
          <w:rFonts w:asciiTheme="minorHAnsi" w:hAnsiTheme="minorHAnsi"/>
          <w:color w:val="000000"/>
          <w:sz w:val="22"/>
          <w:szCs w:val="22"/>
        </w:rPr>
        <w:t>technical development extends beyond practice design to include the use of instruction and feedback. Excessive prescriptive feedback has been shown to limit players’ ability to explore movement solutions and develop autonomy.</w:t>
      </w:r>
      <w:r w:rsidR="001B4DE7">
        <w:rPr>
          <w:rFonts w:asciiTheme="minorHAnsi" w:hAnsiTheme="minorHAnsi"/>
          <w:color w:val="000000"/>
          <w:sz w:val="22"/>
          <w:szCs w:val="22"/>
        </w:rPr>
        <w:t xml:space="preserve"> On the other hand</w:t>
      </w:r>
      <w:r w:rsidRPr="009325B2">
        <w:rPr>
          <w:rFonts w:asciiTheme="minorHAnsi" w:hAnsiTheme="minorHAnsi"/>
          <w:color w:val="000000"/>
          <w:sz w:val="22"/>
          <w:szCs w:val="22"/>
        </w:rPr>
        <w:t>, guided discovery and questioning techniques can encourage players to reflect on their technical actions and adapt their behaviour within game contexts. This requires coaches to possess a strong understanding of both technical mechanics and learning processes.</w:t>
      </w:r>
    </w:p>
    <w:p w14:paraId="0156EE0F" w14:textId="77777777" w:rsidR="009325B2" w:rsidRPr="009325B2" w:rsidRDefault="009325B2" w:rsidP="009325B2">
      <w:pPr>
        <w:pStyle w:val="NormalWeb"/>
        <w:rPr>
          <w:rFonts w:asciiTheme="minorHAnsi" w:hAnsiTheme="minorHAnsi"/>
          <w:color w:val="000000"/>
          <w:sz w:val="22"/>
          <w:szCs w:val="22"/>
        </w:rPr>
      </w:pPr>
      <w:r w:rsidRPr="009325B2">
        <w:rPr>
          <w:rFonts w:asciiTheme="minorHAnsi" w:hAnsiTheme="minorHAnsi"/>
          <w:color w:val="000000"/>
          <w:sz w:val="22"/>
          <w:szCs w:val="22"/>
        </w:rPr>
        <w:t>In summary, effective technical skill development in junior football is best supported through game-based, developmentally appropriate coaching approaches that reflect the dynamic nature of the sport. While research provides clear guidance on best practice, the successful implementation of these principles is heavily dependent on coach knowledge and understanding. This highlights the need for accessible resources that support youth football coaches in designing technically focused, representative practices. A digital platform offering applied explanations, session examples, and age-appropriate guidance may therefore play a valuable role in enhancing coaches’ capacity to support technical development within junior team environments.</w:t>
      </w:r>
    </w:p>
    <w:p w14:paraId="1D19660C" w14:textId="6D545015" w:rsidR="00A038EF" w:rsidRPr="00A038EF" w:rsidRDefault="00A038EF" w:rsidP="00A038EF">
      <w:pPr>
        <w:pStyle w:val="NormalWeb"/>
        <w:rPr>
          <w:rFonts w:asciiTheme="minorHAnsi" w:hAnsiTheme="minorHAnsi"/>
          <w:color w:val="000000"/>
          <w:sz w:val="22"/>
          <w:szCs w:val="22"/>
        </w:rPr>
      </w:pPr>
      <w:r w:rsidRPr="00A038EF">
        <w:rPr>
          <w:rFonts w:asciiTheme="minorHAnsi" w:hAnsiTheme="minorHAnsi"/>
          <w:color w:val="000000"/>
          <w:sz w:val="22"/>
          <w:szCs w:val="22"/>
        </w:rPr>
        <w:t xml:space="preserve">Tactical awareness is a </w:t>
      </w:r>
      <w:r>
        <w:rPr>
          <w:rFonts w:asciiTheme="minorHAnsi" w:hAnsiTheme="minorHAnsi"/>
          <w:color w:val="000000"/>
          <w:sz w:val="22"/>
          <w:szCs w:val="22"/>
        </w:rPr>
        <w:t>vital</w:t>
      </w:r>
      <w:r w:rsidRPr="00A038EF">
        <w:rPr>
          <w:rFonts w:asciiTheme="minorHAnsi" w:hAnsiTheme="minorHAnsi"/>
          <w:color w:val="000000"/>
          <w:sz w:val="22"/>
          <w:szCs w:val="22"/>
        </w:rPr>
        <w:t xml:space="preserve"> component of football performance, encompassing players’ ability to perceive information, make decisions, and execute appropriate actions in dynamic game environments. In youth football, the development of tactical understanding is influenced by cognitive development, playing experience, and the learning environments created by coaches (McPherson and Thomas, 1989). As such, coaches play a crucial role in supporting young players’ understanding of the game beyond technical execution </w:t>
      </w:r>
      <w:r w:rsidR="007903AF" w:rsidRPr="00A038EF">
        <w:rPr>
          <w:rFonts w:asciiTheme="minorHAnsi" w:hAnsiTheme="minorHAnsi"/>
          <w:color w:val="000000"/>
          <w:sz w:val="22"/>
          <w:szCs w:val="22"/>
        </w:rPr>
        <w:t>alone.</w:t>
      </w:r>
      <w:r w:rsidR="007903AF">
        <w:rPr>
          <w:rFonts w:asciiTheme="minorHAnsi" w:hAnsiTheme="minorHAnsi"/>
          <w:color w:val="000000"/>
          <w:sz w:val="22"/>
          <w:szCs w:val="22"/>
        </w:rPr>
        <w:t xml:space="preserve"> </w:t>
      </w:r>
      <w:r w:rsidR="007903AF" w:rsidRPr="00A038EF">
        <w:rPr>
          <w:rFonts w:asciiTheme="minorHAnsi" w:hAnsiTheme="minorHAnsi"/>
          <w:color w:val="000000"/>
          <w:sz w:val="22"/>
          <w:szCs w:val="22"/>
        </w:rPr>
        <w:t>Tactical</w:t>
      </w:r>
      <w:r w:rsidRPr="00A038EF">
        <w:rPr>
          <w:rFonts w:asciiTheme="minorHAnsi" w:hAnsiTheme="minorHAnsi"/>
          <w:color w:val="000000"/>
          <w:sz w:val="22"/>
          <w:szCs w:val="22"/>
        </w:rPr>
        <w:t xml:space="preserve"> coaching in </w:t>
      </w:r>
      <w:r w:rsidRPr="00A038EF">
        <w:rPr>
          <w:rFonts w:asciiTheme="minorHAnsi" w:hAnsiTheme="minorHAnsi"/>
          <w:color w:val="000000"/>
          <w:sz w:val="22"/>
          <w:szCs w:val="22"/>
        </w:rPr>
        <w:lastRenderedPageBreak/>
        <w:t>football has relied heavily on explicit instruction and the rehearsal of predetermined patterns of play. While this approach may offer structure, research suggests it can limit players’ adaptability and problem-solving abilities when faced with unpredictable match situations (</w:t>
      </w:r>
      <w:proofErr w:type="spellStart"/>
      <w:r w:rsidRPr="00A038EF">
        <w:rPr>
          <w:rFonts w:asciiTheme="minorHAnsi" w:hAnsiTheme="minorHAnsi"/>
          <w:color w:val="000000"/>
          <w:sz w:val="22"/>
          <w:szCs w:val="22"/>
        </w:rPr>
        <w:t>Gréhaigne</w:t>
      </w:r>
      <w:proofErr w:type="spellEnd"/>
      <w:r w:rsidRPr="00A038EF">
        <w:rPr>
          <w:rFonts w:asciiTheme="minorHAnsi" w:hAnsiTheme="minorHAnsi"/>
          <w:color w:val="000000"/>
          <w:sz w:val="22"/>
          <w:szCs w:val="22"/>
        </w:rPr>
        <w:t xml:space="preserve">, Godbout and </w:t>
      </w:r>
      <w:proofErr w:type="spellStart"/>
      <w:r w:rsidRPr="00A038EF">
        <w:rPr>
          <w:rFonts w:asciiTheme="minorHAnsi" w:hAnsiTheme="minorHAnsi"/>
          <w:color w:val="000000"/>
          <w:sz w:val="22"/>
          <w:szCs w:val="22"/>
        </w:rPr>
        <w:t>Bouthier</w:t>
      </w:r>
      <w:proofErr w:type="spellEnd"/>
      <w:r w:rsidRPr="00A038EF">
        <w:rPr>
          <w:rFonts w:asciiTheme="minorHAnsi" w:hAnsiTheme="minorHAnsi"/>
          <w:color w:val="000000"/>
          <w:sz w:val="22"/>
          <w:szCs w:val="22"/>
        </w:rPr>
        <w:t>, 2001). Tactical behaviour in football is</w:t>
      </w:r>
      <w:r w:rsidR="007903AF">
        <w:rPr>
          <w:rFonts w:asciiTheme="minorHAnsi" w:hAnsiTheme="minorHAnsi"/>
          <w:color w:val="000000"/>
          <w:sz w:val="22"/>
          <w:szCs w:val="22"/>
        </w:rPr>
        <w:t xml:space="preserve"> </w:t>
      </w:r>
      <w:r w:rsidRPr="00A038EF">
        <w:rPr>
          <w:rFonts w:asciiTheme="minorHAnsi" w:hAnsiTheme="minorHAnsi"/>
          <w:color w:val="000000"/>
          <w:sz w:val="22"/>
          <w:szCs w:val="22"/>
        </w:rPr>
        <w:t>dependent, requiring players to interpret information related to opposition positioning, available space, and game objectives. Therefore, effective tactical learning must allow players to engage with these contextual demands.</w:t>
      </w:r>
    </w:p>
    <w:p w14:paraId="726CA3B6" w14:textId="77AFF891" w:rsidR="00A038EF" w:rsidRPr="00A038EF" w:rsidRDefault="00A038EF" w:rsidP="00A038EF">
      <w:pPr>
        <w:pStyle w:val="NormalWeb"/>
        <w:rPr>
          <w:rFonts w:asciiTheme="minorHAnsi" w:hAnsiTheme="minorHAnsi"/>
          <w:color w:val="000000"/>
          <w:sz w:val="22"/>
          <w:szCs w:val="22"/>
        </w:rPr>
      </w:pPr>
      <w:r w:rsidRPr="00A038EF">
        <w:rPr>
          <w:rFonts w:asciiTheme="minorHAnsi" w:hAnsiTheme="minorHAnsi"/>
          <w:color w:val="000000"/>
          <w:sz w:val="22"/>
          <w:szCs w:val="22"/>
        </w:rPr>
        <w:t>Game</w:t>
      </w:r>
      <w:r w:rsidR="007903AF">
        <w:rPr>
          <w:rFonts w:asciiTheme="minorHAnsi" w:hAnsiTheme="minorHAnsi"/>
          <w:color w:val="000000"/>
          <w:sz w:val="22"/>
          <w:szCs w:val="22"/>
        </w:rPr>
        <w:t xml:space="preserve"> </w:t>
      </w:r>
      <w:r w:rsidRPr="00A038EF">
        <w:rPr>
          <w:rFonts w:asciiTheme="minorHAnsi" w:hAnsiTheme="minorHAnsi"/>
          <w:color w:val="000000"/>
          <w:sz w:val="22"/>
          <w:szCs w:val="22"/>
        </w:rPr>
        <w:t>based pedagogical models, such as Teaching Games for Understanding and Game Sense, emphasise the development of tactical awareness through player</w:t>
      </w:r>
      <w:r w:rsidR="007903AF">
        <w:rPr>
          <w:rFonts w:asciiTheme="minorHAnsi" w:hAnsiTheme="minorHAnsi"/>
          <w:color w:val="000000"/>
          <w:sz w:val="22"/>
          <w:szCs w:val="22"/>
        </w:rPr>
        <w:t xml:space="preserve"> </w:t>
      </w:r>
      <w:r w:rsidRPr="00A038EF">
        <w:rPr>
          <w:rFonts w:asciiTheme="minorHAnsi" w:hAnsiTheme="minorHAnsi"/>
          <w:color w:val="000000"/>
          <w:sz w:val="22"/>
          <w:szCs w:val="22"/>
        </w:rPr>
        <w:t>centred learning experiences (Kirk and MacPhail, 2002; Light, 2013). These approaches focus on presenting players with tactical problems and encouraging exploration and discussion, rather than prescribing solutions. Research indicates that such methods can enhance players’ tactical understanding by promoting active engagement and deeper cognitive processing (Harvey and Light, 2015). Central to this process is the coach’s use of questioning, which helps players reflect on their decisions and recognise tactical principles such as width, depth, and support.</w:t>
      </w:r>
    </w:p>
    <w:p w14:paraId="1AC1AFF9" w14:textId="05DCFED1" w:rsidR="00A038EF" w:rsidRPr="00A038EF" w:rsidRDefault="00A038EF" w:rsidP="00A038EF">
      <w:pPr>
        <w:pStyle w:val="NormalWeb"/>
        <w:rPr>
          <w:rFonts w:asciiTheme="minorHAnsi" w:hAnsiTheme="minorHAnsi"/>
          <w:color w:val="000000"/>
          <w:sz w:val="22"/>
          <w:szCs w:val="22"/>
        </w:rPr>
      </w:pPr>
      <w:r w:rsidRPr="00A038EF">
        <w:rPr>
          <w:rFonts w:asciiTheme="minorHAnsi" w:hAnsiTheme="minorHAnsi"/>
          <w:color w:val="000000"/>
          <w:sz w:val="22"/>
          <w:szCs w:val="22"/>
        </w:rPr>
        <w:t>Another key factor in tactical development is the use of match analysis and guided observation. Even at junior levels, encouraging players to observe game situations, either live or through simple video clips, can support the development of tactical knowledge (O’Connor, Larkin and Williams, 2017). This approach allows players to recognise patterns of play, understand decision</w:t>
      </w:r>
      <w:r w:rsidR="00D92C7C">
        <w:rPr>
          <w:rFonts w:asciiTheme="minorHAnsi" w:hAnsiTheme="minorHAnsi"/>
          <w:color w:val="000000"/>
          <w:sz w:val="22"/>
          <w:szCs w:val="22"/>
        </w:rPr>
        <w:t xml:space="preserve"> </w:t>
      </w:r>
      <w:r w:rsidRPr="00A038EF">
        <w:rPr>
          <w:rFonts w:asciiTheme="minorHAnsi" w:hAnsiTheme="minorHAnsi"/>
          <w:color w:val="000000"/>
          <w:sz w:val="22"/>
          <w:szCs w:val="22"/>
        </w:rPr>
        <w:t xml:space="preserve">making, and link tactical concepts to real game </w:t>
      </w:r>
      <w:r w:rsidR="00D92C7C">
        <w:rPr>
          <w:rFonts w:asciiTheme="minorHAnsi" w:hAnsiTheme="minorHAnsi"/>
          <w:color w:val="000000"/>
          <w:sz w:val="22"/>
          <w:szCs w:val="22"/>
        </w:rPr>
        <w:t>situations</w:t>
      </w:r>
      <w:r w:rsidRPr="00A038EF">
        <w:rPr>
          <w:rFonts w:asciiTheme="minorHAnsi" w:hAnsiTheme="minorHAnsi"/>
          <w:color w:val="000000"/>
          <w:sz w:val="22"/>
          <w:szCs w:val="22"/>
        </w:rPr>
        <w:t>. However, the effectiveness of observational learning is largely dependent on the coach’s ability to discuss</w:t>
      </w:r>
      <w:r w:rsidR="00D92C7C">
        <w:rPr>
          <w:rFonts w:asciiTheme="minorHAnsi" w:hAnsiTheme="minorHAnsi"/>
          <w:color w:val="000000"/>
          <w:sz w:val="22"/>
          <w:szCs w:val="22"/>
        </w:rPr>
        <w:t xml:space="preserve"> </w:t>
      </w:r>
      <w:r w:rsidRPr="00A038EF">
        <w:rPr>
          <w:rFonts w:asciiTheme="minorHAnsi" w:hAnsiTheme="minorHAnsi"/>
          <w:color w:val="000000"/>
          <w:sz w:val="22"/>
          <w:szCs w:val="22"/>
        </w:rPr>
        <w:t>and highlight relevant tactical information.</w:t>
      </w:r>
      <w:r w:rsidR="00D92C7C">
        <w:rPr>
          <w:rFonts w:asciiTheme="minorHAnsi" w:hAnsiTheme="minorHAnsi"/>
          <w:color w:val="000000"/>
          <w:sz w:val="22"/>
          <w:szCs w:val="22"/>
        </w:rPr>
        <w:t xml:space="preserve"> </w:t>
      </w:r>
      <w:r w:rsidRPr="00A038EF">
        <w:rPr>
          <w:rFonts w:asciiTheme="minorHAnsi" w:hAnsiTheme="minorHAnsi"/>
          <w:color w:val="000000"/>
          <w:sz w:val="22"/>
          <w:szCs w:val="22"/>
        </w:rPr>
        <w:t xml:space="preserve">A recurring challenge within youth football is coaches’ confidence in teaching tactical concepts. Studies suggest that many grassroots coaches feel underprepared to explain tactical principles or facilitate tactical discussions, often due to limited education in this area (Light, 2013). As a result, tactical learning opportunities may be underutilised or replaced by direct instruction, reducing player autonomy. This highlights the importance of developing coaches’ tactical </w:t>
      </w:r>
      <w:r w:rsidR="006106FB">
        <w:rPr>
          <w:rFonts w:asciiTheme="minorHAnsi" w:hAnsiTheme="minorHAnsi"/>
          <w:color w:val="000000"/>
          <w:sz w:val="22"/>
          <w:szCs w:val="22"/>
        </w:rPr>
        <w:t xml:space="preserve">understanding </w:t>
      </w:r>
      <w:r w:rsidRPr="00A038EF">
        <w:rPr>
          <w:rFonts w:asciiTheme="minorHAnsi" w:hAnsiTheme="minorHAnsi"/>
          <w:color w:val="000000"/>
          <w:sz w:val="22"/>
          <w:szCs w:val="22"/>
        </w:rPr>
        <w:t xml:space="preserve">and their understanding of how to support </w:t>
      </w:r>
      <w:r w:rsidR="003E3A6C">
        <w:rPr>
          <w:rFonts w:asciiTheme="minorHAnsi" w:hAnsiTheme="minorHAnsi"/>
          <w:color w:val="000000"/>
          <w:sz w:val="22"/>
          <w:szCs w:val="22"/>
        </w:rPr>
        <w:t xml:space="preserve">junior </w:t>
      </w:r>
      <w:r w:rsidRPr="00A038EF">
        <w:rPr>
          <w:rFonts w:asciiTheme="minorHAnsi" w:hAnsiTheme="minorHAnsi"/>
          <w:color w:val="000000"/>
          <w:sz w:val="22"/>
          <w:szCs w:val="22"/>
        </w:rPr>
        <w:t>player learning through questioning and guided discovery.</w:t>
      </w:r>
    </w:p>
    <w:p w14:paraId="1388ABFE" w14:textId="14C00A6A" w:rsidR="00A038EF" w:rsidRDefault="006E516E" w:rsidP="00A038EF">
      <w:pPr>
        <w:pStyle w:val="NormalWeb"/>
        <w:rPr>
          <w:rFonts w:asciiTheme="minorHAnsi" w:hAnsiTheme="minorHAnsi"/>
          <w:color w:val="000000"/>
          <w:sz w:val="22"/>
          <w:szCs w:val="22"/>
        </w:rPr>
      </w:pPr>
      <w:r>
        <w:rPr>
          <w:rFonts w:asciiTheme="minorHAnsi" w:hAnsiTheme="minorHAnsi"/>
          <w:color w:val="000000"/>
          <w:sz w:val="22"/>
          <w:szCs w:val="22"/>
        </w:rPr>
        <w:t>Overall, t</w:t>
      </w:r>
      <w:r w:rsidR="00A038EF" w:rsidRPr="00A038EF">
        <w:rPr>
          <w:rFonts w:asciiTheme="minorHAnsi" w:hAnsiTheme="minorHAnsi"/>
          <w:color w:val="000000"/>
          <w:sz w:val="22"/>
          <w:szCs w:val="22"/>
        </w:rPr>
        <w:t>actical awareness in youth football is best developed through player</w:t>
      </w:r>
      <w:r>
        <w:rPr>
          <w:rFonts w:asciiTheme="minorHAnsi" w:hAnsiTheme="minorHAnsi"/>
          <w:color w:val="000000"/>
          <w:sz w:val="22"/>
          <w:szCs w:val="22"/>
        </w:rPr>
        <w:t xml:space="preserve"> </w:t>
      </w:r>
      <w:r w:rsidR="00A038EF" w:rsidRPr="00A038EF">
        <w:rPr>
          <w:rFonts w:asciiTheme="minorHAnsi" w:hAnsiTheme="minorHAnsi"/>
          <w:color w:val="000000"/>
          <w:sz w:val="22"/>
          <w:szCs w:val="22"/>
        </w:rPr>
        <w:t>centred approaches that encourage decision</w:t>
      </w:r>
      <w:r>
        <w:rPr>
          <w:rFonts w:asciiTheme="minorHAnsi" w:hAnsiTheme="minorHAnsi"/>
          <w:color w:val="000000"/>
          <w:sz w:val="22"/>
          <w:szCs w:val="22"/>
        </w:rPr>
        <w:t xml:space="preserve"> </w:t>
      </w:r>
      <w:r w:rsidR="00A038EF" w:rsidRPr="00A038EF">
        <w:rPr>
          <w:rFonts w:asciiTheme="minorHAnsi" w:hAnsiTheme="minorHAnsi"/>
          <w:color w:val="000000"/>
          <w:sz w:val="22"/>
          <w:szCs w:val="22"/>
        </w:rPr>
        <w:t>making, reflection, and understanding of game principles. Effective tactical coaching requires coaches to move beyond directive instruction and create learning environments that support exploration and discussion. This reinforces the need for accessible resources that support youth football coaches in developing their own tactical understanding and confidently applying these principles within junior team environments.</w:t>
      </w:r>
    </w:p>
    <w:p w14:paraId="30163E1E" w14:textId="526F4D79" w:rsidR="009B11CE" w:rsidRPr="009B11CE" w:rsidRDefault="009B11CE" w:rsidP="009B11CE">
      <w:pPr>
        <w:pStyle w:val="NormalWeb"/>
        <w:rPr>
          <w:rFonts w:asciiTheme="minorHAnsi" w:hAnsiTheme="minorHAnsi"/>
          <w:color w:val="000000"/>
          <w:sz w:val="22"/>
          <w:szCs w:val="22"/>
        </w:rPr>
      </w:pPr>
      <w:r w:rsidRPr="009B11CE">
        <w:rPr>
          <w:rFonts w:asciiTheme="minorHAnsi" w:hAnsiTheme="minorHAnsi"/>
          <w:color w:val="000000"/>
          <w:sz w:val="22"/>
          <w:szCs w:val="22"/>
        </w:rPr>
        <w:t>While coach education and learning are essential components of effective youth football coaching, research consistently highlights a gap between the knowledge and its practical application within coaching environments. The ability of coaches to implement technical and tactical concepts into training sessions is influenced by a range of personal and organisational factors (Cushion, 2010). As a result, coach learning should not be evaluated solely on knowledge gained, but on how effectively it translates into coaching practice.</w:t>
      </w:r>
      <w:r w:rsidR="008358EA">
        <w:rPr>
          <w:rFonts w:asciiTheme="minorHAnsi" w:hAnsiTheme="minorHAnsi"/>
          <w:color w:val="000000"/>
          <w:sz w:val="22"/>
          <w:szCs w:val="22"/>
        </w:rPr>
        <w:t xml:space="preserve"> </w:t>
      </w:r>
      <w:r w:rsidRPr="009B11CE">
        <w:rPr>
          <w:rFonts w:asciiTheme="minorHAnsi" w:hAnsiTheme="minorHAnsi"/>
          <w:color w:val="000000"/>
          <w:sz w:val="22"/>
          <w:szCs w:val="22"/>
        </w:rPr>
        <w:t xml:space="preserve">Experiential learning theory provides a useful framework for understanding how coaches apply learning in practice. </w:t>
      </w:r>
      <w:r w:rsidR="008358EA">
        <w:rPr>
          <w:rFonts w:asciiTheme="minorHAnsi" w:hAnsiTheme="minorHAnsi"/>
          <w:color w:val="000000"/>
          <w:sz w:val="22"/>
          <w:szCs w:val="22"/>
        </w:rPr>
        <w:t>(</w:t>
      </w:r>
      <w:r w:rsidRPr="009B11CE">
        <w:rPr>
          <w:rFonts w:asciiTheme="minorHAnsi" w:hAnsiTheme="minorHAnsi"/>
          <w:color w:val="000000"/>
          <w:sz w:val="22"/>
          <w:szCs w:val="22"/>
        </w:rPr>
        <w:t>Kolb</w:t>
      </w:r>
      <w:r w:rsidR="008358EA">
        <w:rPr>
          <w:rFonts w:asciiTheme="minorHAnsi" w:hAnsiTheme="minorHAnsi"/>
          <w:color w:val="000000"/>
          <w:sz w:val="22"/>
          <w:szCs w:val="22"/>
        </w:rPr>
        <w:t>,</w:t>
      </w:r>
      <w:r w:rsidRPr="009B11CE">
        <w:rPr>
          <w:rFonts w:asciiTheme="minorHAnsi" w:hAnsiTheme="minorHAnsi"/>
          <w:color w:val="000000"/>
          <w:sz w:val="22"/>
          <w:szCs w:val="22"/>
        </w:rPr>
        <w:t>1984) proposed that learning occurs through a cyclical process involving experience, reflection, conceptualisation, and experimentation. Within youth football, coaches often gain experience through session delivery</w:t>
      </w:r>
      <w:r w:rsidR="008358EA">
        <w:rPr>
          <w:rFonts w:asciiTheme="minorHAnsi" w:hAnsiTheme="minorHAnsi"/>
          <w:color w:val="000000"/>
          <w:sz w:val="22"/>
          <w:szCs w:val="22"/>
        </w:rPr>
        <w:t>,</w:t>
      </w:r>
      <w:r w:rsidRPr="009B11CE">
        <w:rPr>
          <w:rFonts w:asciiTheme="minorHAnsi" w:hAnsiTheme="minorHAnsi"/>
          <w:color w:val="000000"/>
          <w:sz w:val="22"/>
          <w:szCs w:val="22"/>
        </w:rPr>
        <w:t xml:space="preserve"> however, without structured opportunities for reflection and feedback, learning may remain s</w:t>
      </w:r>
      <w:r w:rsidR="008358EA">
        <w:rPr>
          <w:rFonts w:asciiTheme="minorHAnsi" w:hAnsiTheme="minorHAnsi"/>
          <w:color w:val="000000"/>
          <w:sz w:val="22"/>
          <w:szCs w:val="22"/>
        </w:rPr>
        <w:t>low</w:t>
      </w:r>
      <w:r w:rsidRPr="009B11CE">
        <w:rPr>
          <w:rFonts w:asciiTheme="minorHAnsi" w:hAnsiTheme="minorHAnsi"/>
          <w:color w:val="000000"/>
          <w:sz w:val="22"/>
          <w:szCs w:val="22"/>
        </w:rPr>
        <w:t xml:space="preserve">. Studies suggest that grassroots coaches frequently lack the time, confidence, or guidance required to critically reflect on their practice, limiting the effectiveness of experiential learning (Knowles, </w:t>
      </w:r>
      <w:proofErr w:type="spellStart"/>
      <w:r w:rsidRPr="009B11CE">
        <w:rPr>
          <w:rFonts w:asciiTheme="minorHAnsi" w:hAnsiTheme="minorHAnsi"/>
          <w:color w:val="000000"/>
          <w:sz w:val="22"/>
          <w:szCs w:val="22"/>
        </w:rPr>
        <w:t>Gilbourne</w:t>
      </w:r>
      <w:proofErr w:type="spellEnd"/>
      <w:r w:rsidRPr="009B11CE">
        <w:rPr>
          <w:rFonts w:asciiTheme="minorHAnsi" w:hAnsiTheme="minorHAnsi"/>
          <w:color w:val="000000"/>
          <w:sz w:val="22"/>
          <w:szCs w:val="22"/>
        </w:rPr>
        <w:t xml:space="preserve">, </w:t>
      </w:r>
      <w:proofErr w:type="spellStart"/>
      <w:r w:rsidRPr="009B11CE">
        <w:rPr>
          <w:rFonts w:asciiTheme="minorHAnsi" w:hAnsiTheme="minorHAnsi"/>
          <w:color w:val="000000"/>
          <w:sz w:val="22"/>
          <w:szCs w:val="22"/>
        </w:rPr>
        <w:t>Borrie</w:t>
      </w:r>
      <w:proofErr w:type="spellEnd"/>
      <w:r w:rsidRPr="009B11CE">
        <w:rPr>
          <w:rFonts w:asciiTheme="minorHAnsi" w:hAnsiTheme="minorHAnsi"/>
          <w:color w:val="000000"/>
          <w:sz w:val="22"/>
          <w:szCs w:val="22"/>
        </w:rPr>
        <w:t xml:space="preserve"> and Nevill, 2001).</w:t>
      </w:r>
    </w:p>
    <w:p w14:paraId="6059E208" w14:textId="05EF57CB" w:rsidR="009B11CE" w:rsidRPr="009B11CE" w:rsidRDefault="009B11CE" w:rsidP="009B11CE">
      <w:pPr>
        <w:pStyle w:val="NormalWeb"/>
        <w:rPr>
          <w:rFonts w:asciiTheme="minorHAnsi" w:hAnsiTheme="minorHAnsi"/>
          <w:color w:val="000000"/>
          <w:sz w:val="22"/>
          <w:szCs w:val="22"/>
        </w:rPr>
      </w:pPr>
      <w:r w:rsidRPr="009B11CE">
        <w:rPr>
          <w:rFonts w:asciiTheme="minorHAnsi" w:hAnsiTheme="minorHAnsi"/>
          <w:color w:val="000000"/>
          <w:sz w:val="22"/>
          <w:szCs w:val="22"/>
        </w:rPr>
        <w:lastRenderedPageBreak/>
        <w:t xml:space="preserve">Reflective practice has been identified as a key mechanism for supporting the implementation of coach learning. Schön (1983) argued that reflection enables practitioners to adapt their behaviours in response to complex and unpredictable situations. In youth football, reflective approaches can help coaches evaluate whether their sessions effectively support technical and tactical learning. Despite its recognised importance, reflective practice is often </w:t>
      </w:r>
      <w:r w:rsidR="001721CC">
        <w:rPr>
          <w:rFonts w:asciiTheme="minorHAnsi" w:hAnsiTheme="minorHAnsi"/>
          <w:color w:val="000000"/>
          <w:sz w:val="22"/>
          <w:szCs w:val="22"/>
        </w:rPr>
        <w:t>wasted</w:t>
      </w:r>
      <w:r w:rsidRPr="009B11CE">
        <w:rPr>
          <w:rFonts w:asciiTheme="minorHAnsi" w:hAnsiTheme="minorHAnsi"/>
          <w:color w:val="000000"/>
          <w:sz w:val="22"/>
          <w:szCs w:val="22"/>
        </w:rPr>
        <w:t xml:space="preserve"> by youth coaches due to limited education in reflective methods and a lack of accessible support tools (Taylor and Garratt, 2010).</w:t>
      </w:r>
    </w:p>
    <w:p w14:paraId="29F32B76" w14:textId="50549BCD" w:rsidR="009B11CE" w:rsidRPr="009B11CE" w:rsidRDefault="009B11CE" w:rsidP="009B11CE">
      <w:pPr>
        <w:pStyle w:val="NormalWeb"/>
        <w:rPr>
          <w:rFonts w:asciiTheme="minorHAnsi" w:hAnsiTheme="minorHAnsi"/>
          <w:color w:val="000000"/>
          <w:sz w:val="22"/>
          <w:szCs w:val="22"/>
        </w:rPr>
      </w:pPr>
      <w:r w:rsidRPr="009B11CE">
        <w:rPr>
          <w:rFonts w:asciiTheme="minorHAnsi" w:hAnsiTheme="minorHAnsi"/>
          <w:color w:val="000000"/>
          <w:sz w:val="22"/>
          <w:szCs w:val="22"/>
        </w:rPr>
        <w:t>Contextual barriers also play a significant role in shaping coaches’ ability to implement learning. Volunteer status, limited contact time, parental expectations, and resource constraints can restrict coaches’ capacity to experiment with new approaches (Lyle, 2002). In such environments, coaches may default to familiar practices rather than applying recently acquired knowledge, particularly when outcomes such as match results are prioritised over long-term development (Cushion et al., 2012).</w:t>
      </w:r>
      <w:r w:rsidR="00865E5E">
        <w:rPr>
          <w:rFonts w:asciiTheme="minorHAnsi" w:hAnsiTheme="minorHAnsi"/>
          <w:color w:val="000000"/>
          <w:sz w:val="22"/>
          <w:szCs w:val="22"/>
        </w:rPr>
        <w:t xml:space="preserve"> </w:t>
      </w:r>
      <w:r w:rsidRPr="009B11CE">
        <w:rPr>
          <w:rFonts w:asciiTheme="minorHAnsi" w:hAnsiTheme="minorHAnsi"/>
          <w:color w:val="000000"/>
          <w:sz w:val="22"/>
          <w:szCs w:val="22"/>
        </w:rPr>
        <w:t>Recent literature suggests that ongoing, practice-based support can enhance the transfer of learning into coaching practice. Resources that provide applied examples, session frameworks, and prompts for reflection can support coaches in bridging the gap between theory and practice (Stoszkowski and Collins, 2016). Digital platforms, offer flexible opportunities for coaches to access guidance at the point of need, supporting experimentation and adaptation within their own coaching.</w:t>
      </w:r>
    </w:p>
    <w:p w14:paraId="70D70649" w14:textId="1392BEF8" w:rsidR="009B11CE" w:rsidRDefault="009B11CE" w:rsidP="009B11CE">
      <w:pPr>
        <w:pStyle w:val="NormalWeb"/>
        <w:rPr>
          <w:rFonts w:asciiTheme="minorHAnsi" w:hAnsiTheme="minorHAnsi"/>
          <w:color w:val="000000"/>
          <w:sz w:val="22"/>
          <w:szCs w:val="22"/>
        </w:rPr>
      </w:pPr>
      <w:r w:rsidRPr="009B11CE">
        <w:rPr>
          <w:rFonts w:asciiTheme="minorHAnsi" w:hAnsiTheme="minorHAnsi"/>
          <w:color w:val="000000"/>
          <w:sz w:val="22"/>
          <w:szCs w:val="22"/>
        </w:rPr>
        <w:t xml:space="preserve">Taken together, the </w:t>
      </w:r>
      <w:r w:rsidR="006C3B50">
        <w:rPr>
          <w:rFonts w:asciiTheme="minorHAnsi" w:hAnsiTheme="minorHAnsi"/>
          <w:color w:val="000000"/>
          <w:sz w:val="22"/>
          <w:szCs w:val="22"/>
        </w:rPr>
        <w:t>research shows</w:t>
      </w:r>
      <w:r w:rsidRPr="009B11CE">
        <w:rPr>
          <w:rFonts w:asciiTheme="minorHAnsi" w:hAnsiTheme="minorHAnsi"/>
          <w:color w:val="000000"/>
          <w:sz w:val="22"/>
          <w:szCs w:val="22"/>
        </w:rPr>
        <w:t xml:space="preserve"> that effective implementation of coach learning in youth football requires more than formal education alone. Coaches benefit from accessible, context-specific support that encourages reflection and practical application. This supports the development of tools such as a dedicated website, designed to assist youth football coaches in translating technical and tactical knowledge into effective coaching practice within junior team environments.</w:t>
      </w:r>
    </w:p>
    <w:p w14:paraId="790D3B42" w14:textId="27392DBF" w:rsidR="00EC63C8" w:rsidRPr="00EC63C8" w:rsidRDefault="00EC63C8" w:rsidP="00EC63C8">
      <w:pPr>
        <w:pStyle w:val="NormalWeb"/>
        <w:rPr>
          <w:rFonts w:asciiTheme="minorHAnsi" w:hAnsiTheme="minorHAnsi"/>
          <w:color w:val="000000"/>
          <w:sz w:val="22"/>
          <w:szCs w:val="22"/>
        </w:rPr>
      </w:pPr>
      <w:r w:rsidRPr="00EC63C8">
        <w:rPr>
          <w:rFonts w:asciiTheme="minorHAnsi" w:hAnsiTheme="minorHAnsi"/>
          <w:color w:val="000000"/>
          <w:sz w:val="22"/>
          <w:szCs w:val="22"/>
        </w:rPr>
        <w:t>Advancements in digital technology have significantly influenced the delivery of coach education, providing new opportunities to support coach learning beyond traditional face</w:t>
      </w:r>
      <w:r w:rsidR="005656F6">
        <w:rPr>
          <w:rFonts w:asciiTheme="minorHAnsi" w:hAnsiTheme="minorHAnsi"/>
          <w:color w:val="000000"/>
          <w:sz w:val="22"/>
          <w:szCs w:val="22"/>
        </w:rPr>
        <w:t xml:space="preserve"> </w:t>
      </w:r>
      <w:r w:rsidRPr="00EC63C8">
        <w:rPr>
          <w:rFonts w:asciiTheme="minorHAnsi" w:hAnsiTheme="minorHAnsi"/>
          <w:color w:val="000000"/>
          <w:sz w:val="22"/>
          <w:szCs w:val="22"/>
        </w:rPr>
        <w:t>to</w:t>
      </w:r>
      <w:r w:rsidR="005656F6">
        <w:rPr>
          <w:rFonts w:asciiTheme="minorHAnsi" w:hAnsiTheme="minorHAnsi"/>
          <w:color w:val="000000"/>
          <w:sz w:val="22"/>
          <w:szCs w:val="22"/>
        </w:rPr>
        <w:t xml:space="preserve"> </w:t>
      </w:r>
      <w:r w:rsidRPr="00EC63C8">
        <w:rPr>
          <w:rFonts w:asciiTheme="minorHAnsi" w:hAnsiTheme="minorHAnsi"/>
          <w:color w:val="000000"/>
          <w:sz w:val="22"/>
          <w:szCs w:val="22"/>
        </w:rPr>
        <w:t xml:space="preserve">face models. In youth football, where many coaches operate on a voluntary basis and face time constraints, online learning platforms offer flexible and accessible alternatives for continuing professional development (CPD) (Moule, 2017). Digital learning environments allow coaches to engage with educational content at their own pace, supporting </w:t>
      </w:r>
      <w:r w:rsidR="005656F6" w:rsidRPr="00EC63C8">
        <w:rPr>
          <w:rFonts w:asciiTheme="minorHAnsi" w:hAnsiTheme="minorHAnsi"/>
          <w:color w:val="000000"/>
          <w:sz w:val="22"/>
          <w:szCs w:val="22"/>
        </w:rPr>
        <w:t>self</w:t>
      </w:r>
      <w:r w:rsidR="005656F6">
        <w:rPr>
          <w:rFonts w:asciiTheme="minorHAnsi" w:hAnsiTheme="minorHAnsi"/>
          <w:color w:val="000000"/>
          <w:sz w:val="22"/>
          <w:szCs w:val="22"/>
        </w:rPr>
        <w:t>-</w:t>
      </w:r>
      <w:r w:rsidR="005656F6" w:rsidRPr="00EC63C8">
        <w:rPr>
          <w:rFonts w:asciiTheme="minorHAnsi" w:hAnsiTheme="minorHAnsi"/>
          <w:color w:val="000000"/>
          <w:sz w:val="22"/>
          <w:szCs w:val="22"/>
        </w:rPr>
        <w:t>directed</w:t>
      </w:r>
      <w:r w:rsidRPr="00EC63C8">
        <w:rPr>
          <w:rFonts w:asciiTheme="minorHAnsi" w:hAnsiTheme="minorHAnsi"/>
          <w:color w:val="000000"/>
          <w:sz w:val="22"/>
          <w:szCs w:val="22"/>
        </w:rPr>
        <w:t xml:space="preserve"> learning within real coaching contexts.</w:t>
      </w:r>
    </w:p>
    <w:p w14:paraId="7C944490" w14:textId="23E4BCA4" w:rsidR="00EC63C8" w:rsidRPr="00EC63C8" w:rsidRDefault="00EC63C8" w:rsidP="00EC63C8">
      <w:pPr>
        <w:pStyle w:val="NormalWeb"/>
        <w:rPr>
          <w:rFonts w:asciiTheme="minorHAnsi" w:hAnsiTheme="minorHAnsi"/>
          <w:color w:val="000000"/>
          <w:sz w:val="22"/>
          <w:szCs w:val="22"/>
        </w:rPr>
      </w:pPr>
      <w:r w:rsidRPr="00EC63C8">
        <w:rPr>
          <w:rFonts w:asciiTheme="minorHAnsi" w:hAnsiTheme="minorHAnsi"/>
          <w:color w:val="000000"/>
          <w:sz w:val="22"/>
          <w:szCs w:val="22"/>
        </w:rPr>
        <w:t>Research into online coach education highlights several potential benefits, including increased accessibility, consistency of content delivery, and opportunities for ongoing engagement (Jones et al., 2019). Unlike one</w:t>
      </w:r>
      <w:r w:rsidR="005656F6">
        <w:rPr>
          <w:rFonts w:asciiTheme="minorHAnsi" w:hAnsiTheme="minorHAnsi"/>
          <w:color w:val="000000"/>
          <w:sz w:val="22"/>
          <w:szCs w:val="22"/>
        </w:rPr>
        <w:t xml:space="preserve"> </w:t>
      </w:r>
      <w:r w:rsidRPr="00EC63C8">
        <w:rPr>
          <w:rFonts w:asciiTheme="minorHAnsi" w:hAnsiTheme="minorHAnsi"/>
          <w:color w:val="000000"/>
          <w:sz w:val="22"/>
          <w:szCs w:val="22"/>
        </w:rPr>
        <w:t xml:space="preserve">off </w:t>
      </w:r>
      <w:proofErr w:type="gramStart"/>
      <w:r w:rsidRPr="00EC63C8">
        <w:rPr>
          <w:rFonts w:asciiTheme="minorHAnsi" w:hAnsiTheme="minorHAnsi"/>
          <w:color w:val="000000"/>
          <w:sz w:val="22"/>
          <w:szCs w:val="22"/>
        </w:rPr>
        <w:t>courses</w:t>
      </w:r>
      <w:proofErr w:type="gramEnd"/>
      <w:r w:rsidR="005656F6">
        <w:rPr>
          <w:rFonts w:asciiTheme="minorHAnsi" w:hAnsiTheme="minorHAnsi"/>
          <w:color w:val="000000"/>
          <w:sz w:val="22"/>
          <w:szCs w:val="22"/>
        </w:rPr>
        <w:t xml:space="preserve"> ran by companies like FAW o</w:t>
      </w:r>
      <w:r w:rsidR="00C370F6">
        <w:rPr>
          <w:rFonts w:asciiTheme="minorHAnsi" w:hAnsiTheme="minorHAnsi"/>
          <w:color w:val="000000"/>
          <w:sz w:val="22"/>
          <w:szCs w:val="22"/>
        </w:rPr>
        <w:t>r the English FA</w:t>
      </w:r>
      <w:r w:rsidRPr="00EC63C8">
        <w:rPr>
          <w:rFonts w:asciiTheme="minorHAnsi" w:hAnsiTheme="minorHAnsi"/>
          <w:color w:val="000000"/>
          <w:sz w:val="22"/>
          <w:szCs w:val="22"/>
        </w:rPr>
        <w:t>, digital platforms can provide coaches with continuous access to resources such as session ideas, tactical explanations, and reflective prompts. This ongoing availability supports learning at the point of need, enabling coaches to apply knowledge directly to their coaching practice (Carson and Collins, 2016).</w:t>
      </w:r>
      <w:r w:rsidR="00122512">
        <w:rPr>
          <w:rFonts w:asciiTheme="minorHAnsi" w:hAnsiTheme="minorHAnsi"/>
          <w:color w:val="000000"/>
          <w:sz w:val="22"/>
          <w:szCs w:val="22"/>
        </w:rPr>
        <w:t xml:space="preserve"> </w:t>
      </w:r>
      <w:r w:rsidRPr="00EC63C8">
        <w:rPr>
          <w:rFonts w:asciiTheme="minorHAnsi" w:hAnsiTheme="minorHAnsi"/>
          <w:color w:val="000000"/>
          <w:sz w:val="22"/>
          <w:szCs w:val="22"/>
        </w:rPr>
        <w:t>However, the effectiveness of online learning is dependent on how platforms are designed and used. Studies suggest that passive consumption of information, such as watching videos without guided reflection or application, has limited impact on coach behaviour (Fleming, Cushion and Jones, 2014). To be effective, digital coach education should encourage active engagement through applied tasks, problem-solving activities, and opportunities for reflection. This aligns with constructivist learning theories, which emphasise that learners actively construct knowledge through interaction and experience (Moon, 2004).</w:t>
      </w:r>
      <w:r w:rsidR="00122512">
        <w:rPr>
          <w:rFonts w:asciiTheme="minorHAnsi" w:hAnsiTheme="minorHAnsi"/>
          <w:color w:val="000000"/>
          <w:sz w:val="22"/>
          <w:szCs w:val="22"/>
        </w:rPr>
        <w:t xml:space="preserve"> </w:t>
      </w:r>
      <w:r w:rsidRPr="00EC63C8">
        <w:rPr>
          <w:rFonts w:asciiTheme="minorHAnsi" w:hAnsiTheme="minorHAnsi"/>
          <w:color w:val="000000"/>
          <w:sz w:val="22"/>
          <w:szCs w:val="22"/>
        </w:rPr>
        <w:t xml:space="preserve">Blended learning approaches, which combine digital resources with practical coaching experience, are increasingly recommended within coach education literature (Bush et al., 2013). Such models recognise that while online platforms can support knowledge acquisition </w:t>
      </w:r>
      <w:r w:rsidRPr="00EC63C8">
        <w:rPr>
          <w:rFonts w:asciiTheme="minorHAnsi" w:hAnsiTheme="minorHAnsi"/>
          <w:color w:val="000000"/>
          <w:sz w:val="22"/>
          <w:szCs w:val="22"/>
        </w:rPr>
        <w:lastRenderedPageBreak/>
        <w:t>and reflection, learning is most effective when integrated with coaching practice. Within youth football, digital platforms may therefore be best utilised as tools that reinforce learning from formal education and on</w:t>
      </w:r>
      <w:r w:rsidR="00122512">
        <w:rPr>
          <w:rFonts w:asciiTheme="minorHAnsi" w:hAnsiTheme="minorHAnsi"/>
          <w:color w:val="000000"/>
          <w:sz w:val="22"/>
          <w:szCs w:val="22"/>
        </w:rPr>
        <w:t xml:space="preserve"> </w:t>
      </w:r>
      <w:r w:rsidRPr="00EC63C8">
        <w:rPr>
          <w:rFonts w:asciiTheme="minorHAnsi" w:hAnsiTheme="minorHAnsi"/>
          <w:color w:val="000000"/>
          <w:sz w:val="22"/>
          <w:szCs w:val="22"/>
        </w:rPr>
        <w:t>field experience.</w:t>
      </w:r>
    </w:p>
    <w:p w14:paraId="5F174D9C" w14:textId="1C660F53" w:rsidR="00EC63C8" w:rsidRDefault="003A5D01" w:rsidP="00EC63C8">
      <w:pPr>
        <w:pStyle w:val="NormalWeb"/>
        <w:rPr>
          <w:rFonts w:asciiTheme="minorHAnsi" w:hAnsiTheme="minorHAnsi"/>
          <w:color w:val="000000"/>
          <w:sz w:val="22"/>
          <w:szCs w:val="22"/>
        </w:rPr>
      </w:pPr>
      <w:r>
        <w:rPr>
          <w:rFonts w:asciiTheme="minorHAnsi" w:hAnsiTheme="minorHAnsi"/>
          <w:color w:val="000000"/>
          <w:sz w:val="22"/>
          <w:szCs w:val="22"/>
        </w:rPr>
        <w:t>This</w:t>
      </w:r>
      <w:r w:rsidR="00EC63C8" w:rsidRPr="00EC63C8">
        <w:rPr>
          <w:rFonts w:asciiTheme="minorHAnsi" w:hAnsiTheme="minorHAnsi"/>
          <w:color w:val="000000"/>
          <w:sz w:val="22"/>
          <w:szCs w:val="22"/>
        </w:rPr>
        <w:t xml:space="preserve"> suggests that</w:t>
      </w:r>
      <w:r>
        <w:rPr>
          <w:rFonts w:asciiTheme="minorHAnsi" w:hAnsiTheme="minorHAnsi"/>
          <w:color w:val="000000"/>
          <w:sz w:val="22"/>
          <w:szCs w:val="22"/>
        </w:rPr>
        <w:t xml:space="preserve"> </w:t>
      </w:r>
      <w:r w:rsidR="00EC63C8" w:rsidRPr="00EC63C8">
        <w:rPr>
          <w:rFonts w:asciiTheme="minorHAnsi" w:hAnsiTheme="minorHAnsi"/>
          <w:color w:val="000000"/>
          <w:sz w:val="22"/>
          <w:szCs w:val="22"/>
        </w:rPr>
        <w:t>well</w:t>
      </w:r>
      <w:r w:rsidR="008F5F44">
        <w:rPr>
          <w:rFonts w:asciiTheme="minorHAnsi" w:hAnsiTheme="minorHAnsi"/>
          <w:color w:val="000000"/>
          <w:sz w:val="22"/>
          <w:szCs w:val="22"/>
        </w:rPr>
        <w:t xml:space="preserve"> </w:t>
      </w:r>
      <w:r w:rsidR="00EC63C8" w:rsidRPr="00EC63C8">
        <w:rPr>
          <w:rFonts w:asciiTheme="minorHAnsi" w:hAnsiTheme="minorHAnsi"/>
          <w:color w:val="000000"/>
          <w:sz w:val="22"/>
          <w:szCs w:val="22"/>
        </w:rPr>
        <w:t>designed digital learning platforms can play a valuable role in supporting coach development in youth football. By providing accessible, applied, and reflective resources, online tools may help bridge the gap between theory and practice. This supports the development of a dedicated website aimed at enhancing coaches’ technical and tactical understanding and supporting its implementation within junior team environments.</w:t>
      </w:r>
    </w:p>
    <w:p w14:paraId="1EB794D8" w14:textId="2665C109" w:rsidR="008A5357" w:rsidRDefault="00015EBC" w:rsidP="009E58E1">
      <w:pPr>
        <w:pStyle w:val="NormalWeb"/>
        <w:rPr>
          <w:rFonts w:asciiTheme="minorHAnsi" w:hAnsiTheme="minorHAnsi"/>
          <w:color w:val="000000"/>
          <w:sz w:val="22"/>
          <w:szCs w:val="22"/>
        </w:rPr>
      </w:pPr>
      <w:r w:rsidRPr="00015EBC">
        <w:rPr>
          <w:rFonts w:asciiTheme="minorHAnsi" w:hAnsiTheme="minorHAnsi"/>
          <w:color w:val="000000"/>
          <w:sz w:val="22"/>
          <w:szCs w:val="22"/>
        </w:rPr>
        <w:t xml:space="preserve">This literature review demonstrates that effective youth football coaching extends beyond formal qualifications and requires the </w:t>
      </w:r>
      <w:r w:rsidR="0054516A">
        <w:rPr>
          <w:rFonts w:asciiTheme="minorHAnsi" w:hAnsiTheme="minorHAnsi"/>
          <w:color w:val="000000"/>
          <w:sz w:val="22"/>
          <w:szCs w:val="22"/>
        </w:rPr>
        <w:t>alignment</w:t>
      </w:r>
      <w:r w:rsidRPr="00015EBC">
        <w:rPr>
          <w:rFonts w:asciiTheme="minorHAnsi" w:hAnsiTheme="minorHAnsi"/>
          <w:color w:val="000000"/>
          <w:sz w:val="22"/>
          <w:szCs w:val="22"/>
        </w:rPr>
        <w:t xml:space="preserve"> of technical, tactical, and reflective learning processes. Research consistently highlights that coaches primarily develop through experiential, informal, and socially mediated learning, yet often face constraints such as limited time, volunteer status, and a lack of structured support. Game-based approaches, representative learning environments, and guided reflection are identified as essential for promoting adaptable technical and tactical behaviours in junior players. Additionally, digital learning platforms offer flexible and accessible opportunities for ongoing coach development, supporting the transfer of knowledge into practice. In the context of St. Joseph’s Football Club, these findings provide a clear rationale for the development of a dedicated website to support junior coaches. By offering applied, evidence-based resources focused on technical and tactical awareness and their implementation within training sessions</w:t>
      </w:r>
      <w:r w:rsidR="00D5363C">
        <w:rPr>
          <w:rFonts w:asciiTheme="minorHAnsi" w:hAnsiTheme="minorHAnsi"/>
          <w:color w:val="000000"/>
          <w:sz w:val="22"/>
          <w:szCs w:val="22"/>
        </w:rPr>
        <w:t xml:space="preserve"> and games</w:t>
      </w:r>
      <w:r w:rsidRPr="00015EBC">
        <w:rPr>
          <w:rFonts w:asciiTheme="minorHAnsi" w:hAnsiTheme="minorHAnsi"/>
          <w:color w:val="000000"/>
          <w:sz w:val="22"/>
          <w:szCs w:val="22"/>
        </w:rPr>
        <w:t>, the website aims to enhance coaching practice and positively impact player development within junior teams.</w:t>
      </w:r>
    </w:p>
    <w:p w14:paraId="06B5B8C2" w14:textId="77777777" w:rsidR="008F5F44" w:rsidRPr="00015EBC" w:rsidRDefault="008F5F44" w:rsidP="009E58E1">
      <w:pPr>
        <w:pStyle w:val="NormalWeb"/>
        <w:rPr>
          <w:rFonts w:asciiTheme="minorHAnsi" w:hAnsiTheme="minorHAnsi"/>
          <w:color w:val="000000"/>
          <w:sz w:val="22"/>
          <w:szCs w:val="22"/>
        </w:rPr>
      </w:pPr>
    </w:p>
    <w:p w14:paraId="44034E2A" w14:textId="5B0CA2E5" w:rsidR="001335D4" w:rsidRDefault="00231585" w:rsidP="009E58E1">
      <w:pPr>
        <w:pStyle w:val="NormalWeb"/>
        <w:rPr>
          <w:rFonts w:asciiTheme="minorHAnsi" w:hAnsiTheme="minorHAnsi"/>
          <w:color w:val="000000"/>
          <w:sz w:val="22"/>
          <w:szCs w:val="22"/>
        </w:rPr>
      </w:pPr>
      <w:r>
        <w:rPr>
          <w:rFonts w:asciiTheme="minorHAnsi" w:hAnsiTheme="minorHAnsi"/>
          <w:color w:val="000000"/>
          <w:sz w:val="22"/>
          <w:szCs w:val="22"/>
        </w:rPr>
        <w:t xml:space="preserve">Reference </w:t>
      </w:r>
      <w:r w:rsidR="00CE343B">
        <w:rPr>
          <w:rFonts w:asciiTheme="minorHAnsi" w:hAnsiTheme="minorHAnsi"/>
          <w:color w:val="000000"/>
          <w:sz w:val="22"/>
          <w:szCs w:val="22"/>
        </w:rPr>
        <w:t>list.</w:t>
      </w:r>
    </w:p>
    <w:p w14:paraId="49FE3CA0"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Araújo, D., Davids, K. and Hristovski, R. (2006) ‘The ecological dynamics of decision making in sport’,</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Psychology of Sport and Exercise</w:t>
      </w:r>
      <w:r w:rsidRPr="00872C87">
        <w:rPr>
          <w:rFonts w:asciiTheme="minorHAnsi" w:hAnsiTheme="minorHAnsi"/>
          <w:color w:val="000000"/>
          <w:sz w:val="22"/>
          <w:szCs w:val="22"/>
        </w:rPr>
        <w:t>, 7(6), pp. 653–676.</w:t>
      </w:r>
    </w:p>
    <w:p w14:paraId="39689A6C"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Balyi, I., Way, R. and Higgs, C. (2013)</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Long-term athlete development</w:t>
      </w:r>
      <w:r w:rsidRPr="00872C87">
        <w:rPr>
          <w:rFonts w:asciiTheme="minorHAnsi" w:hAnsiTheme="minorHAnsi"/>
          <w:color w:val="000000"/>
          <w:sz w:val="22"/>
          <w:szCs w:val="22"/>
        </w:rPr>
        <w:t>. Champaign, IL: Human Kinetics.</w:t>
      </w:r>
    </w:p>
    <w:p w14:paraId="7CF8E1F8"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Bush, A., Moyes, S. and Campbell, M. (2013) ‘An evaluation of the quality of coach education provision’,</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Sports Coaching Review</w:t>
      </w:r>
      <w:r w:rsidRPr="00872C87">
        <w:rPr>
          <w:rFonts w:asciiTheme="minorHAnsi" w:hAnsiTheme="minorHAnsi"/>
          <w:color w:val="000000"/>
          <w:sz w:val="22"/>
          <w:szCs w:val="22"/>
        </w:rPr>
        <w:t>, 2(2), pp. 83–99.</w:t>
      </w:r>
    </w:p>
    <w:p w14:paraId="7301E4E5"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Callary, B., Werthner, P. and Trudel, P. (2012) ‘The lived experiences of a coach developer’,</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International Journal of Sports Science &amp; Coaching</w:t>
      </w:r>
      <w:r w:rsidRPr="00872C87">
        <w:rPr>
          <w:rFonts w:asciiTheme="minorHAnsi" w:hAnsiTheme="minorHAnsi"/>
          <w:color w:val="000000"/>
          <w:sz w:val="22"/>
          <w:szCs w:val="22"/>
        </w:rPr>
        <w:t>, 7(1), pp. 1–20.</w:t>
      </w:r>
    </w:p>
    <w:p w14:paraId="2AB7247F"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Carson, H.J. and Collins, D. (2016) ‘The fourth dimension: A motoric perspective on learning and performance’,</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International Review of Sport and Exercise Psychology</w:t>
      </w:r>
      <w:r w:rsidRPr="00872C87">
        <w:rPr>
          <w:rFonts w:asciiTheme="minorHAnsi" w:hAnsiTheme="minorHAnsi"/>
          <w:color w:val="000000"/>
          <w:sz w:val="22"/>
          <w:szCs w:val="22"/>
        </w:rPr>
        <w:t>, 9(1), pp. 1–21.</w:t>
      </w:r>
    </w:p>
    <w:p w14:paraId="4EFFE6FD"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Chow, J.Y., Davids, K., Button, C. and Renshaw, I. (2016)</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Nonlinear pedagogy in skill acquisition</w:t>
      </w:r>
      <w:r w:rsidRPr="00872C87">
        <w:rPr>
          <w:rFonts w:asciiTheme="minorHAnsi" w:hAnsiTheme="minorHAnsi"/>
          <w:color w:val="000000"/>
          <w:sz w:val="22"/>
          <w:szCs w:val="22"/>
        </w:rPr>
        <w:t>. London: Routledge.</w:t>
      </w:r>
    </w:p>
    <w:p w14:paraId="4A4D635B"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Cushion, C.J. (2010) ‘Coach behaviour’, in Lyle, J. and Cushion, C. (eds.)</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Sports coaching: Professionalisation and practice</w:t>
      </w:r>
      <w:r w:rsidRPr="00872C87">
        <w:rPr>
          <w:rFonts w:asciiTheme="minorHAnsi" w:hAnsiTheme="minorHAnsi"/>
          <w:color w:val="000000"/>
          <w:sz w:val="22"/>
          <w:szCs w:val="22"/>
        </w:rPr>
        <w:t>. London: Elsevier, pp. 43–61.</w:t>
      </w:r>
    </w:p>
    <w:p w14:paraId="15E98608"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Cushion, C.J., Armour, K.M. and Jones, R.L. (2003) ‘Coach education and continuing professional development’,</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Quest</w:t>
      </w:r>
      <w:r w:rsidRPr="00872C87">
        <w:rPr>
          <w:rFonts w:asciiTheme="minorHAnsi" w:hAnsiTheme="minorHAnsi"/>
          <w:color w:val="000000"/>
          <w:sz w:val="22"/>
          <w:szCs w:val="22"/>
        </w:rPr>
        <w:t>, 55(3), pp. 215–230.</w:t>
      </w:r>
    </w:p>
    <w:p w14:paraId="3AC7B0EE"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Cushion, C.J., Ford, P.R. and Williams, A.M. (2012) ‘Coach behaviours and practice structures in youth soccer’,</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Journal of Sports Sciences</w:t>
      </w:r>
      <w:r w:rsidRPr="00872C87">
        <w:rPr>
          <w:rFonts w:asciiTheme="minorHAnsi" w:hAnsiTheme="minorHAnsi"/>
          <w:color w:val="000000"/>
          <w:sz w:val="22"/>
          <w:szCs w:val="22"/>
        </w:rPr>
        <w:t>, 30(15), pp. 1631–1641.</w:t>
      </w:r>
    </w:p>
    <w:p w14:paraId="19DB7401"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Davids, K., Araújo, D. and Shuttleworth, R. (2005) ‘Applications of dynamical systems theory to football’,</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Sports Medicine</w:t>
      </w:r>
      <w:r w:rsidRPr="00872C87">
        <w:rPr>
          <w:rFonts w:asciiTheme="minorHAnsi" w:hAnsiTheme="minorHAnsi"/>
          <w:color w:val="000000"/>
          <w:sz w:val="22"/>
          <w:szCs w:val="22"/>
        </w:rPr>
        <w:t>, 35(6), pp. 527–537.</w:t>
      </w:r>
    </w:p>
    <w:p w14:paraId="12FE002A"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lastRenderedPageBreak/>
        <w:t>Davids, K., Button, C. and Bennett, S. (2013)</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Dynamics of skill acquisition</w:t>
      </w:r>
      <w:r w:rsidRPr="00872C87">
        <w:rPr>
          <w:rFonts w:asciiTheme="minorHAnsi" w:hAnsiTheme="minorHAnsi"/>
          <w:color w:val="000000"/>
          <w:sz w:val="22"/>
          <w:szCs w:val="22"/>
        </w:rPr>
        <w:t>. Champaign, IL: Human Kinetics.</w:t>
      </w:r>
    </w:p>
    <w:p w14:paraId="35590EC5"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Fleming, S., Cushion, C.J. and Jones, R.L. (2014) ‘Coach learning: A question of efficacy’,</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 Education and Society</w:t>
      </w:r>
      <w:r w:rsidRPr="00872C87">
        <w:rPr>
          <w:rFonts w:asciiTheme="minorHAnsi" w:hAnsiTheme="minorHAnsi"/>
          <w:color w:val="000000"/>
          <w:sz w:val="22"/>
          <w:szCs w:val="22"/>
        </w:rPr>
        <w:t>, 19(3), pp. 308–330.</w:t>
      </w:r>
    </w:p>
    <w:p w14:paraId="3498684B"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Ford, P.R., Ward, P., Hodges, N.J. and Williams, A.M. (2010) ‘The role of deliberate practice and play’,</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High Ability Studies</w:t>
      </w:r>
      <w:r w:rsidRPr="00872C87">
        <w:rPr>
          <w:rFonts w:asciiTheme="minorHAnsi" w:hAnsiTheme="minorHAnsi"/>
          <w:color w:val="000000"/>
          <w:sz w:val="22"/>
          <w:szCs w:val="22"/>
        </w:rPr>
        <w:t>, 20(1), pp. 65–75.</w:t>
      </w:r>
    </w:p>
    <w:p w14:paraId="55E5DF16" w14:textId="77777777" w:rsidR="00872C87" w:rsidRPr="00872C87" w:rsidRDefault="00872C87" w:rsidP="00872C87">
      <w:pPr>
        <w:pStyle w:val="NormalWeb"/>
        <w:numPr>
          <w:ilvl w:val="0"/>
          <w:numId w:val="3"/>
        </w:numPr>
        <w:rPr>
          <w:rFonts w:asciiTheme="minorHAnsi" w:hAnsiTheme="minorHAnsi"/>
          <w:color w:val="000000"/>
          <w:sz w:val="22"/>
          <w:szCs w:val="22"/>
        </w:rPr>
      </w:pPr>
      <w:proofErr w:type="spellStart"/>
      <w:r w:rsidRPr="00872C87">
        <w:rPr>
          <w:rFonts w:asciiTheme="minorHAnsi" w:hAnsiTheme="minorHAnsi"/>
          <w:color w:val="000000"/>
          <w:sz w:val="22"/>
          <w:szCs w:val="22"/>
        </w:rPr>
        <w:t>Gréhaigne</w:t>
      </w:r>
      <w:proofErr w:type="spellEnd"/>
      <w:r w:rsidRPr="00872C87">
        <w:rPr>
          <w:rFonts w:asciiTheme="minorHAnsi" w:hAnsiTheme="minorHAnsi"/>
          <w:color w:val="000000"/>
          <w:sz w:val="22"/>
          <w:szCs w:val="22"/>
        </w:rPr>
        <w:t xml:space="preserve">, J.F., Godbout, P. and </w:t>
      </w:r>
      <w:proofErr w:type="spellStart"/>
      <w:r w:rsidRPr="00872C87">
        <w:rPr>
          <w:rFonts w:asciiTheme="minorHAnsi" w:hAnsiTheme="minorHAnsi"/>
          <w:color w:val="000000"/>
          <w:sz w:val="22"/>
          <w:szCs w:val="22"/>
        </w:rPr>
        <w:t>Bouthier</w:t>
      </w:r>
      <w:proofErr w:type="spellEnd"/>
      <w:r w:rsidRPr="00872C87">
        <w:rPr>
          <w:rFonts w:asciiTheme="minorHAnsi" w:hAnsiTheme="minorHAnsi"/>
          <w:color w:val="000000"/>
          <w:sz w:val="22"/>
          <w:szCs w:val="22"/>
        </w:rPr>
        <w:t>, D. (2001) ‘The teaching and learning of decision making in team sports’,</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Quest</w:t>
      </w:r>
      <w:r w:rsidRPr="00872C87">
        <w:rPr>
          <w:rFonts w:asciiTheme="minorHAnsi" w:hAnsiTheme="minorHAnsi"/>
          <w:color w:val="000000"/>
          <w:sz w:val="22"/>
          <w:szCs w:val="22"/>
        </w:rPr>
        <w:t>, 53(1), pp. 59–76.</w:t>
      </w:r>
    </w:p>
    <w:p w14:paraId="6EAC20A9"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Harvey, S. and Light, R.L. (2015)</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Questioning for learning in game-based approaches</w:t>
      </w:r>
      <w:r w:rsidRPr="00872C87">
        <w:rPr>
          <w:rFonts w:asciiTheme="minorHAnsi" w:hAnsiTheme="minorHAnsi"/>
          <w:color w:val="000000"/>
          <w:sz w:val="22"/>
          <w:szCs w:val="22"/>
        </w:rPr>
        <w:t>. London: Routledge.</w:t>
      </w:r>
    </w:p>
    <w:p w14:paraId="5C6DF325"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 xml:space="preserve">Jones, L., Edwards, M. and </w:t>
      </w:r>
      <w:proofErr w:type="spellStart"/>
      <w:r w:rsidRPr="00872C87">
        <w:rPr>
          <w:rFonts w:asciiTheme="minorHAnsi" w:hAnsiTheme="minorHAnsi"/>
          <w:color w:val="000000"/>
          <w:sz w:val="22"/>
          <w:szCs w:val="22"/>
        </w:rPr>
        <w:t>Viotto</w:t>
      </w:r>
      <w:proofErr w:type="spellEnd"/>
      <w:r w:rsidRPr="00872C87">
        <w:rPr>
          <w:rFonts w:asciiTheme="minorHAnsi" w:hAnsiTheme="minorHAnsi"/>
          <w:color w:val="000000"/>
          <w:sz w:val="22"/>
          <w:szCs w:val="22"/>
        </w:rPr>
        <w:t xml:space="preserve"> Filho, I.A.T. (2019) ‘Online learning in coach education’,</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Physical Education and Sport Pedagogy</w:t>
      </w:r>
      <w:r w:rsidRPr="00872C87">
        <w:rPr>
          <w:rFonts w:asciiTheme="minorHAnsi" w:hAnsiTheme="minorHAnsi"/>
          <w:color w:val="000000"/>
          <w:sz w:val="22"/>
          <w:szCs w:val="22"/>
        </w:rPr>
        <w:t>, 24(2), pp. 1–15.</w:t>
      </w:r>
    </w:p>
    <w:p w14:paraId="0115C71C"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Jones, R.L., Armour, K.M. and Potrac, P. (2004)</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Sports coaching cultures</w:t>
      </w:r>
      <w:r w:rsidRPr="00872C87">
        <w:rPr>
          <w:rFonts w:asciiTheme="minorHAnsi" w:hAnsiTheme="minorHAnsi"/>
          <w:color w:val="000000"/>
          <w:sz w:val="22"/>
          <w:szCs w:val="22"/>
        </w:rPr>
        <w:t>. London: Routledge.</w:t>
      </w:r>
    </w:p>
    <w:p w14:paraId="3B842988"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 xml:space="preserve">Knowles, Z., </w:t>
      </w:r>
      <w:proofErr w:type="spellStart"/>
      <w:r w:rsidRPr="00872C87">
        <w:rPr>
          <w:rFonts w:asciiTheme="minorHAnsi" w:hAnsiTheme="minorHAnsi"/>
          <w:color w:val="000000"/>
          <w:sz w:val="22"/>
          <w:szCs w:val="22"/>
        </w:rPr>
        <w:t>Gilbourne</w:t>
      </w:r>
      <w:proofErr w:type="spellEnd"/>
      <w:r w:rsidRPr="00872C87">
        <w:rPr>
          <w:rFonts w:asciiTheme="minorHAnsi" w:hAnsiTheme="minorHAnsi"/>
          <w:color w:val="000000"/>
          <w:sz w:val="22"/>
          <w:szCs w:val="22"/>
        </w:rPr>
        <w:t xml:space="preserve">, D., </w:t>
      </w:r>
      <w:proofErr w:type="spellStart"/>
      <w:r w:rsidRPr="00872C87">
        <w:rPr>
          <w:rFonts w:asciiTheme="minorHAnsi" w:hAnsiTheme="minorHAnsi"/>
          <w:color w:val="000000"/>
          <w:sz w:val="22"/>
          <w:szCs w:val="22"/>
        </w:rPr>
        <w:t>Borrie</w:t>
      </w:r>
      <w:proofErr w:type="spellEnd"/>
      <w:r w:rsidRPr="00872C87">
        <w:rPr>
          <w:rFonts w:asciiTheme="minorHAnsi" w:hAnsiTheme="minorHAnsi"/>
          <w:color w:val="000000"/>
          <w:sz w:val="22"/>
          <w:szCs w:val="22"/>
        </w:rPr>
        <w:t>, A. and Nevill, A. (2001) ‘Developing the reflective sports coach’,</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Journal of Sports Sciences</w:t>
      </w:r>
      <w:r w:rsidRPr="00872C87">
        <w:rPr>
          <w:rFonts w:asciiTheme="minorHAnsi" w:hAnsiTheme="minorHAnsi"/>
          <w:color w:val="000000"/>
          <w:sz w:val="22"/>
          <w:szCs w:val="22"/>
        </w:rPr>
        <w:t>, 19(7), pp. 497–509.</w:t>
      </w:r>
    </w:p>
    <w:p w14:paraId="583A0E43"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Kolb, D.A. (1984)</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Experiential learning</w:t>
      </w:r>
      <w:r w:rsidRPr="00872C87">
        <w:rPr>
          <w:rFonts w:asciiTheme="minorHAnsi" w:hAnsiTheme="minorHAnsi"/>
          <w:color w:val="000000"/>
          <w:sz w:val="22"/>
          <w:szCs w:val="22"/>
        </w:rPr>
        <w:t>. Englewood Cliffs, NJ: Prentice Hall.</w:t>
      </w:r>
    </w:p>
    <w:p w14:paraId="46420D10"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Light, R. (2013)</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Game sense</w:t>
      </w:r>
      <w:r w:rsidRPr="00872C87">
        <w:rPr>
          <w:rFonts w:asciiTheme="minorHAnsi" w:hAnsiTheme="minorHAnsi"/>
          <w:color w:val="000000"/>
          <w:sz w:val="22"/>
          <w:szCs w:val="22"/>
        </w:rPr>
        <w:t>. London: Routledge.</w:t>
      </w:r>
    </w:p>
    <w:p w14:paraId="6EFBE7CA"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Lyle, J. (2002)</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Sports coaching concepts</w:t>
      </w:r>
      <w:r w:rsidRPr="00872C87">
        <w:rPr>
          <w:rFonts w:asciiTheme="minorHAnsi" w:hAnsiTheme="minorHAnsi"/>
          <w:color w:val="000000"/>
          <w:sz w:val="22"/>
          <w:szCs w:val="22"/>
        </w:rPr>
        <w:t>. London: Routledge.</w:t>
      </w:r>
    </w:p>
    <w:p w14:paraId="50F82D70"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Moon, J.A. (2004)</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A handbook of reflective and experiential learning</w:t>
      </w:r>
      <w:r w:rsidRPr="00872C87">
        <w:rPr>
          <w:rFonts w:asciiTheme="minorHAnsi" w:hAnsiTheme="minorHAnsi"/>
          <w:color w:val="000000"/>
          <w:sz w:val="22"/>
          <w:szCs w:val="22"/>
        </w:rPr>
        <w:t>. London: Routledge.</w:t>
      </w:r>
    </w:p>
    <w:p w14:paraId="5BF401AB"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Nelson, L.J., Cushion, C.J. and Potrac, P. (2013)</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Enhancing the coach–athlete relationship</w:t>
      </w:r>
      <w:r w:rsidRPr="00872C87">
        <w:rPr>
          <w:rFonts w:asciiTheme="minorHAnsi" w:hAnsiTheme="minorHAnsi"/>
          <w:color w:val="000000"/>
          <w:sz w:val="22"/>
          <w:szCs w:val="22"/>
        </w:rPr>
        <w:t>. London: Routledge.</w:t>
      </w:r>
    </w:p>
    <w:p w14:paraId="3AF0F11C"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O’Connor, D., Larkin, P. and Williams, A.M. (2017) ‘What learning environments improve decision making?’,</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Journal of Sports Sciences</w:t>
      </w:r>
      <w:r w:rsidRPr="00872C87">
        <w:rPr>
          <w:rFonts w:asciiTheme="minorHAnsi" w:hAnsiTheme="minorHAnsi"/>
          <w:color w:val="000000"/>
          <w:sz w:val="22"/>
          <w:szCs w:val="22"/>
        </w:rPr>
        <w:t>, 35(7), pp. 647–654.</w:t>
      </w:r>
    </w:p>
    <w:p w14:paraId="485E9FE7"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Piggott, D. (2015) ‘The Open Society and coach education’,</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Physical Education and Sport Pedagogy</w:t>
      </w:r>
      <w:r w:rsidRPr="00872C87">
        <w:rPr>
          <w:rFonts w:asciiTheme="minorHAnsi" w:hAnsiTheme="minorHAnsi"/>
          <w:color w:val="000000"/>
          <w:sz w:val="22"/>
          <w:szCs w:val="22"/>
        </w:rPr>
        <w:t>, 20(3), pp. 283–298.</w:t>
      </w:r>
    </w:p>
    <w:p w14:paraId="71294DDC"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Renshaw, I., Davids, K., Newcombe, D. and Roberts, W. (2015)</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The constraints-led approach</w:t>
      </w:r>
      <w:r w:rsidRPr="00872C87">
        <w:rPr>
          <w:rFonts w:asciiTheme="minorHAnsi" w:hAnsiTheme="minorHAnsi"/>
          <w:color w:val="000000"/>
          <w:sz w:val="22"/>
          <w:szCs w:val="22"/>
        </w:rPr>
        <w:t>. London: Routledge.</w:t>
      </w:r>
    </w:p>
    <w:p w14:paraId="589CF52B"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Schön, D.A. (1983)</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The reflective practitioner</w:t>
      </w:r>
      <w:r w:rsidRPr="00872C87">
        <w:rPr>
          <w:rFonts w:asciiTheme="minorHAnsi" w:hAnsiTheme="minorHAnsi"/>
          <w:color w:val="000000"/>
          <w:sz w:val="22"/>
          <w:szCs w:val="22"/>
        </w:rPr>
        <w:t>. New York: Basic Books.</w:t>
      </w:r>
    </w:p>
    <w:p w14:paraId="18766364"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Stoszkowski, J. and Collins, D. (2016) ‘Sources and use of knowledge by coaches’,</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Journal of Sports Sciences</w:t>
      </w:r>
      <w:r w:rsidRPr="00872C87">
        <w:rPr>
          <w:rFonts w:asciiTheme="minorHAnsi" w:hAnsiTheme="minorHAnsi"/>
          <w:color w:val="000000"/>
          <w:sz w:val="22"/>
          <w:szCs w:val="22"/>
        </w:rPr>
        <w:t>, 34(9), pp. 794–802.</w:t>
      </w:r>
    </w:p>
    <w:p w14:paraId="10CFB4F8"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Trudel, P. and Gilbert, W. (2006) ‘Coaching and coach education’, in Kirk, D., Macdonald, D. and O’Sullivan, M. (eds.)</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The handbook of physical education</w:t>
      </w:r>
      <w:r w:rsidRPr="00872C87">
        <w:rPr>
          <w:rFonts w:asciiTheme="minorHAnsi" w:hAnsiTheme="minorHAnsi"/>
          <w:color w:val="000000"/>
          <w:sz w:val="22"/>
          <w:szCs w:val="22"/>
        </w:rPr>
        <w:t>. London: Sage, pp. 516–539.</w:t>
      </w:r>
    </w:p>
    <w:p w14:paraId="0B5E4612" w14:textId="77777777" w:rsidR="00872C87" w:rsidRPr="00872C87" w:rsidRDefault="00872C87" w:rsidP="00872C87">
      <w:pPr>
        <w:pStyle w:val="NormalWeb"/>
        <w:numPr>
          <w:ilvl w:val="0"/>
          <w:numId w:val="3"/>
        </w:numPr>
        <w:rPr>
          <w:rFonts w:asciiTheme="minorHAnsi" w:hAnsiTheme="minorHAnsi"/>
          <w:color w:val="000000"/>
          <w:sz w:val="22"/>
          <w:szCs w:val="22"/>
        </w:rPr>
      </w:pPr>
      <w:r w:rsidRPr="00872C87">
        <w:rPr>
          <w:rFonts w:asciiTheme="minorHAnsi" w:hAnsiTheme="minorHAnsi"/>
          <w:color w:val="000000"/>
          <w:sz w:val="22"/>
          <w:szCs w:val="22"/>
        </w:rPr>
        <w:t>Williams, A.M. and Hodges, N.J. (2005) ‘Practice, instruction and skill acquisition in soccer’,</w:t>
      </w:r>
      <w:r w:rsidRPr="00872C87">
        <w:rPr>
          <w:rStyle w:val="apple-converted-space"/>
          <w:rFonts w:asciiTheme="minorHAnsi" w:eastAsiaTheme="majorEastAsia" w:hAnsiTheme="minorHAnsi"/>
          <w:color w:val="000000"/>
          <w:sz w:val="22"/>
          <w:szCs w:val="22"/>
        </w:rPr>
        <w:t> </w:t>
      </w:r>
      <w:r w:rsidRPr="00872C87">
        <w:rPr>
          <w:rStyle w:val="Emphasis"/>
          <w:rFonts w:asciiTheme="minorHAnsi" w:eastAsiaTheme="majorEastAsia" w:hAnsiTheme="minorHAnsi"/>
          <w:color w:val="000000"/>
          <w:sz w:val="22"/>
          <w:szCs w:val="22"/>
        </w:rPr>
        <w:t>Journal of Sports Sciences</w:t>
      </w:r>
      <w:r w:rsidRPr="00872C87">
        <w:rPr>
          <w:rFonts w:asciiTheme="minorHAnsi" w:hAnsiTheme="minorHAnsi"/>
          <w:color w:val="000000"/>
          <w:sz w:val="22"/>
          <w:szCs w:val="22"/>
        </w:rPr>
        <w:t>, 23(6), pp. 637–650.</w:t>
      </w:r>
    </w:p>
    <w:p w14:paraId="39FDCA1F" w14:textId="77777777" w:rsidR="00A33786" w:rsidRPr="00872C87" w:rsidRDefault="00A33786" w:rsidP="00A33786">
      <w:pPr>
        <w:rPr>
          <w:sz w:val="22"/>
          <w:szCs w:val="22"/>
        </w:rPr>
      </w:pPr>
    </w:p>
    <w:p w14:paraId="7DDB1649" w14:textId="4392843F" w:rsidR="0085437A" w:rsidRPr="00872C87" w:rsidRDefault="0085437A">
      <w:pPr>
        <w:rPr>
          <w:sz w:val="22"/>
          <w:szCs w:val="22"/>
        </w:rPr>
      </w:pPr>
    </w:p>
    <w:sectPr w:rsidR="0085437A" w:rsidRPr="00872C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33AC6"/>
    <w:multiLevelType w:val="hybridMultilevel"/>
    <w:tmpl w:val="4DE6C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F7D2F"/>
    <w:multiLevelType w:val="hybridMultilevel"/>
    <w:tmpl w:val="9800D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E102E"/>
    <w:multiLevelType w:val="hybridMultilevel"/>
    <w:tmpl w:val="EF3C9580"/>
    <w:lvl w:ilvl="0" w:tplc="CE74D83C">
      <w:start w:val="1"/>
      <w:numFmt w:val="bullet"/>
      <w:lvlText w:val="•"/>
      <w:lvlJc w:val="left"/>
      <w:pPr>
        <w:tabs>
          <w:tab w:val="num" w:pos="720"/>
        </w:tabs>
        <w:ind w:left="720" w:hanging="360"/>
      </w:pPr>
      <w:rPr>
        <w:rFonts w:ascii="Arial" w:hAnsi="Arial" w:hint="default"/>
      </w:rPr>
    </w:lvl>
    <w:lvl w:ilvl="1" w:tplc="37AE922C" w:tentative="1">
      <w:start w:val="1"/>
      <w:numFmt w:val="bullet"/>
      <w:lvlText w:val="•"/>
      <w:lvlJc w:val="left"/>
      <w:pPr>
        <w:tabs>
          <w:tab w:val="num" w:pos="1440"/>
        </w:tabs>
        <w:ind w:left="1440" w:hanging="360"/>
      </w:pPr>
      <w:rPr>
        <w:rFonts w:ascii="Arial" w:hAnsi="Arial" w:hint="default"/>
      </w:rPr>
    </w:lvl>
    <w:lvl w:ilvl="2" w:tplc="066217B2" w:tentative="1">
      <w:start w:val="1"/>
      <w:numFmt w:val="bullet"/>
      <w:lvlText w:val="•"/>
      <w:lvlJc w:val="left"/>
      <w:pPr>
        <w:tabs>
          <w:tab w:val="num" w:pos="2160"/>
        </w:tabs>
        <w:ind w:left="2160" w:hanging="360"/>
      </w:pPr>
      <w:rPr>
        <w:rFonts w:ascii="Arial" w:hAnsi="Arial" w:hint="default"/>
      </w:rPr>
    </w:lvl>
    <w:lvl w:ilvl="3" w:tplc="6F9C371A" w:tentative="1">
      <w:start w:val="1"/>
      <w:numFmt w:val="bullet"/>
      <w:lvlText w:val="•"/>
      <w:lvlJc w:val="left"/>
      <w:pPr>
        <w:tabs>
          <w:tab w:val="num" w:pos="2880"/>
        </w:tabs>
        <w:ind w:left="2880" w:hanging="360"/>
      </w:pPr>
      <w:rPr>
        <w:rFonts w:ascii="Arial" w:hAnsi="Arial" w:hint="default"/>
      </w:rPr>
    </w:lvl>
    <w:lvl w:ilvl="4" w:tplc="28CEDB88" w:tentative="1">
      <w:start w:val="1"/>
      <w:numFmt w:val="bullet"/>
      <w:lvlText w:val="•"/>
      <w:lvlJc w:val="left"/>
      <w:pPr>
        <w:tabs>
          <w:tab w:val="num" w:pos="3600"/>
        </w:tabs>
        <w:ind w:left="3600" w:hanging="360"/>
      </w:pPr>
      <w:rPr>
        <w:rFonts w:ascii="Arial" w:hAnsi="Arial" w:hint="default"/>
      </w:rPr>
    </w:lvl>
    <w:lvl w:ilvl="5" w:tplc="7756B3DA" w:tentative="1">
      <w:start w:val="1"/>
      <w:numFmt w:val="bullet"/>
      <w:lvlText w:val="•"/>
      <w:lvlJc w:val="left"/>
      <w:pPr>
        <w:tabs>
          <w:tab w:val="num" w:pos="4320"/>
        </w:tabs>
        <w:ind w:left="4320" w:hanging="360"/>
      </w:pPr>
      <w:rPr>
        <w:rFonts w:ascii="Arial" w:hAnsi="Arial" w:hint="default"/>
      </w:rPr>
    </w:lvl>
    <w:lvl w:ilvl="6" w:tplc="6082FA1A" w:tentative="1">
      <w:start w:val="1"/>
      <w:numFmt w:val="bullet"/>
      <w:lvlText w:val="•"/>
      <w:lvlJc w:val="left"/>
      <w:pPr>
        <w:tabs>
          <w:tab w:val="num" w:pos="5040"/>
        </w:tabs>
        <w:ind w:left="5040" w:hanging="360"/>
      </w:pPr>
      <w:rPr>
        <w:rFonts w:ascii="Arial" w:hAnsi="Arial" w:hint="default"/>
      </w:rPr>
    </w:lvl>
    <w:lvl w:ilvl="7" w:tplc="731A1ECA" w:tentative="1">
      <w:start w:val="1"/>
      <w:numFmt w:val="bullet"/>
      <w:lvlText w:val="•"/>
      <w:lvlJc w:val="left"/>
      <w:pPr>
        <w:tabs>
          <w:tab w:val="num" w:pos="5760"/>
        </w:tabs>
        <w:ind w:left="5760" w:hanging="360"/>
      </w:pPr>
      <w:rPr>
        <w:rFonts w:ascii="Arial" w:hAnsi="Arial" w:hint="default"/>
      </w:rPr>
    </w:lvl>
    <w:lvl w:ilvl="8" w:tplc="87484D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24639A"/>
    <w:multiLevelType w:val="hybridMultilevel"/>
    <w:tmpl w:val="98C2F27C"/>
    <w:lvl w:ilvl="0" w:tplc="18886B8A">
      <w:start w:val="1"/>
      <w:numFmt w:val="bullet"/>
      <w:lvlText w:val="•"/>
      <w:lvlJc w:val="left"/>
      <w:pPr>
        <w:tabs>
          <w:tab w:val="num" w:pos="720"/>
        </w:tabs>
        <w:ind w:left="720" w:hanging="360"/>
      </w:pPr>
      <w:rPr>
        <w:rFonts w:ascii="Arial" w:hAnsi="Arial" w:hint="default"/>
      </w:rPr>
    </w:lvl>
    <w:lvl w:ilvl="1" w:tplc="20E41E72" w:tentative="1">
      <w:start w:val="1"/>
      <w:numFmt w:val="bullet"/>
      <w:lvlText w:val="•"/>
      <w:lvlJc w:val="left"/>
      <w:pPr>
        <w:tabs>
          <w:tab w:val="num" w:pos="1440"/>
        </w:tabs>
        <w:ind w:left="1440" w:hanging="360"/>
      </w:pPr>
      <w:rPr>
        <w:rFonts w:ascii="Arial" w:hAnsi="Arial" w:hint="default"/>
      </w:rPr>
    </w:lvl>
    <w:lvl w:ilvl="2" w:tplc="8548BE0C" w:tentative="1">
      <w:start w:val="1"/>
      <w:numFmt w:val="bullet"/>
      <w:lvlText w:val="•"/>
      <w:lvlJc w:val="left"/>
      <w:pPr>
        <w:tabs>
          <w:tab w:val="num" w:pos="2160"/>
        </w:tabs>
        <w:ind w:left="2160" w:hanging="360"/>
      </w:pPr>
      <w:rPr>
        <w:rFonts w:ascii="Arial" w:hAnsi="Arial" w:hint="default"/>
      </w:rPr>
    </w:lvl>
    <w:lvl w:ilvl="3" w:tplc="621EB76A" w:tentative="1">
      <w:start w:val="1"/>
      <w:numFmt w:val="bullet"/>
      <w:lvlText w:val="•"/>
      <w:lvlJc w:val="left"/>
      <w:pPr>
        <w:tabs>
          <w:tab w:val="num" w:pos="2880"/>
        </w:tabs>
        <w:ind w:left="2880" w:hanging="360"/>
      </w:pPr>
      <w:rPr>
        <w:rFonts w:ascii="Arial" w:hAnsi="Arial" w:hint="default"/>
      </w:rPr>
    </w:lvl>
    <w:lvl w:ilvl="4" w:tplc="0FA234A6" w:tentative="1">
      <w:start w:val="1"/>
      <w:numFmt w:val="bullet"/>
      <w:lvlText w:val="•"/>
      <w:lvlJc w:val="left"/>
      <w:pPr>
        <w:tabs>
          <w:tab w:val="num" w:pos="3600"/>
        </w:tabs>
        <w:ind w:left="3600" w:hanging="360"/>
      </w:pPr>
      <w:rPr>
        <w:rFonts w:ascii="Arial" w:hAnsi="Arial" w:hint="default"/>
      </w:rPr>
    </w:lvl>
    <w:lvl w:ilvl="5" w:tplc="220EE61A" w:tentative="1">
      <w:start w:val="1"/>
      <w:numFmt w:val="bullet"/>
      <w:lvlText w:val="•"/>
      <w:lvlJc w:val="left"/>
      <w:pPr>
        <w:tabs>
          <w:tab w:val="num" w:pos="4320"/>
        </w:tabs>
        <w:ind w:left="4320" w:hanging="360"/>
      </w:pPr>
      <w:rPr>
        <w:rFonts w:ascii="Arial" w:hAnsi="Arial" w:hint="default"/>
      </w:rPr>
    </w:lvl>
    <w:lvl w:ilvl="6" w:tplc="04F0C574" w:tentative="1">
      <w:start w:val="1"/>
      <w:numFmt w:val="bullet"/>
      <w:lvlText w:val="•"/>
      <w:lvlJc w:val="left"/>
      <w:pPr>
        <w:tabs>
          <w:tab w:val="num" w:pos="5040"/>
        </w:tabs>
        <w:ind w:left="5040" w:hanging="360"/>
      </w:pPr>
      <w:rPr>
        <w:rFonts w:ascii="Arial" w:hAnsi="Arial" w:hint="default"/>
      </w:rPr>
    </w:lvl>
    <w:lvl w:ilvl="7" w:tplc="87AEA92A" w:tentative="1">
      <w:start w:val="1"/>
      <w:numFmt w:val="bullet"/>
      <w:lvlText w:val="•"/>
      <w:lvlJc w:val="left"/>
      <w:pPr>
        <w:tabs>
          <w:tab w:val="num" w:pos="5760"/>
        </w:tabs>
        <w:ind w:left="5760" w:hanging="360"/>
      </w:pPr>
      <w:rPr>
        <w:rFonts w:ascii="Arial" w:hAnsi="Arial" w:hint="default"/>
      </w:rPr>
    </w:lvl>
    <w:lvl w:ilvl="8" w:tplc="269C9EDE" w:tentative="1">
      <w:start w:val="1"/>
      <w:numFmt w:val="bullet"/>
      <w:lvlText w:val="•"/>
      <w:lvlJc w:val="left"/>
      <w:pPr>
        <w:tabs>
          <w:tab w:val="num" w:pos="6480"/>
        </w:tabs>
        <w:ind w:left="6480" w:hanging="360"/>
      </w:pPr>
      <w:rPr>
        <w:rFonts w:ascii="Arial" w:hAnsi="Arial" w:hint="default"/>
      </w:rPr>
    </w:lvl>
  </w:abstractNum>
  <w:num w:numId="1" w16cid:durableId="684136895">
    <w:abstractNumId w:val="3"/>
  </w:num>
  <w:num w:numId="2" w16cid:durableId="1800226600">
    <w:abstractNumId w:val="0"/>
  </w:num>
  <w:num w:numId="3" w16cid:durableId="1468740321">
    <w:abstractNumId w:val="1"/>
  </w:num>
  <w:num w:numId="4" w16cid:durableId="338968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D0"/>
    <w:rsid w:val="00015EBC"/>
    <w:rsid w:val="0001701A"/>
    <w:rsid w:val="000A0FC3"/>
    <w:rsid w:val="000A5706"/>
    <w:rsid w:val="000F0751"/>
    <w:rsid w:val="00122512"/>
    <w:rsid w:val="001335D4"/>
    <w:rsid w:val="00156115"/>
    <w:rsid w:val="0015644F"/>
    <w:rsid w:val="001721CC"/>
    <w:rsid w:val="0019708A"/>
    <w:rsid w:val="001B4DE7"/>
    <w:rsid w:val="00211065"/>
    <w:rsid w:val="00231585"/>
    <w:rsid w:val="00243B1F"/>
    <w:rsid w:val="00244498"/>
    <w:rsid w:val="0028042A"/>
    <w:rsid w:val="002B696D"/>
    <w:rsid w:val="002B786C"/>
    <w:rsid w:val="002F5E72"/>
    <w:rsid w:val="00317C09"/>
    <w:rsid w:val="003375D7"/>
    <w:rsid w:val="003A5C29"/>
    <w:rsid w:val="003A5D01"/>
    <w:rsid w:val="003E3A6C"/>
    <w:rsid w:val="003E6E72"/>
    <w:rsid w:val="00402C32"/>
    <w:rsid w:val="0042442B"/>
    <w:rsid w:val="004677EC"/>
    <w:rsid w:val="004B4CEE"/>
    <w:rsid w:val="004F4B58"/>
    <w:rsid w:val="00530311"/>
    <w:rsid w:val="0054516A"/>
    <w:rsid w:val="005656F6"/>
    <w:rsid w:val="00572B41"/>
    <w:rsid w:val="005D2459"/>
    <w:rsid w:val="006106FB"/>
    <w:rsid w:val="00634468"/>
    <w:rsid w:val="00684ED0"/>
    <w:rsid w:val="006A2FCD"/>
    <w:rsid w:val="006C3B50"/>
    <w:rsid w:val="006E516E"/>
    <w:rsid w:val="00734100"/>
    <w:rsid w:val="007368A5"/>
    <w:rsid w:val="007903AF"/>
    <w:rsid w:val="007A34B1"/>
    <w:rsid w:val="007B2C02"/>
    <w:rsid w:val="007F2E6D"/>
    <w:rsid w:val="008358EA"/>
    <w:rsid w:val="00836FFC"/>
    <w:rsid w:val="008477D0"/>
    <w:rsid w:val="0085437A"/>
    <w:rsid w:val="00865E5E"/>
    <w:rsid w:val="00872C87"/>
    <w:rsid w:val="008A5357"/>
    <w:rsid w:val="008F5F44"/>
    <w:rsid w:val="009325B2"/>
    <w:rsid w:val="00962BE4"/>
    <w:rsid w:val="00997681"/>
    <w:rsid w:val="009B11CE"/>
    <w:rsid w:val="009C4018"/>
    <w:rsid w:val="009D71D0"/>
    <w:rsid w:val="009E58E1"/>
    <w:rsid w:val="009F4286"/>
    <w:rsid w:val="00A038EF"/>
    <w:rsid w:val="00A33786"/>
    <w:rsid w:val="00A62FF0"/>
    <w:rsid w:val="00AA03E0"/>
    <w:rsid w:val="00AD4A2C"/>
    <w:rsid w:val="00AE0E76"/>
    <w:rsid w:val="00B34EE4"/>
    <w:rsid w:val="00B36558"/>
    <w:rsid w:val="00BB13FE"/>
    <w:rsid w:val="00C04D7B"/>
    <w:rsid w:val="00C07509"/>
    <w:rsid w:val="00C316EA"/>
    <w:rsid w:val="00C370F6"/>
    <w:rsid w:val="00C56611"/>
    <w:rsid w:val="00CC5EE1"/>
    <w:rsid w:val="00CE343B"/>
    <w:rsid w:val="00CF64AC"/>
    <w:rsid w:val="00D5363C"/>
    <w:rsid w:val="00D91E16"/>
    <w:rsid w:val="00D92C7C"/>
    <w:rsid w:val="00D936BD"/>
    <w:rsid w:val="00DE341B"/>
    <w:rsid w:val="00E03447"/>
    <w:rsid w:val="00E21375"/>
    <w:rsid w:val="00E827ED"/>
    <w:rsid w:val="00EB7E50"/>
    <w:rsid w:val="00EC63C8"/>
    <w:rsid w:val="00F64CC3"/>
    <w:rsid w:val="00F66DD3"/>
    <w:rsid w:val="00F87D21"/>
    <w:rsid w:val="00FF6D21"/>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6098ED"/>
  <w15:chartTrackingRefBased/>
  <w15:docId w15:val="{C5A54C20-5F48-1B46-A1C8-1C42A5FF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ED0"/>
    <w:rPr>
      <w:rFonts w:eastAsiaTheme="majorEastAsia" w:cstheme="majorBidi"/>
      <w:color w:val="272727" w:themeColor="text1" w:themeTint="D8"/>
    </w:rPr>
  </w:style>
  <w:style w:type="paragraph" w:styleId="Title">
    <w:name w:val="Title"/>
    <w:basedOn w:val="Normal"/>
    <w:next w:val="Normal"/>
    <w:link w:val="TitleChar"/>
    <w:uiPriority w:val="10"/>
    <w:qFormat/>
    <w:rsid w:val="00684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ED0"/>
    <w:pPr>
      <w:spacing w:before="160"/>
      <w:jc w:val="center"/>
    </w:pPr>
    <w:rPr>
      <w:i/>
      <w:iCs/>
      <w:color w:val="404040" w:themeColor="text1" w:themeTint="BF"/>
    </w:rPr>
  </w:style>
  <w:style w:type="character" w:customStyle="1" w:styleId="QuoteChar">
    <w:name w:val="Quote Char"/>
    <w:basedOn w:val="DefaultParagraphFont"/>
    <w:link w:val="Quote"/>
    <w:uiPriority w:val="29"/>
    <w:rsid w:val="00684ED0"/>
    <w:rPr>
      <w:i/>
      <w:iCs/>
      <w:color w:val="404040" w:themeColor="text1" w:themeTint="BF"/>
    </w:rPr>
  </w:style>
  <w:style w:type="paragraph" w:styleId="ListParagraph">
    <w:name w:val="List Paragraph"/>
    <w:basedOn w:val="Normal"/>
    <w:uiPriority w:val="34"/>
    <w:qFormat/>
    <w:rsid w:val="00684ED0"/>
    <w:pPr>
      <w:ind w:left="720"/>
      <w:contextualSpacing/>
    </w:pPr>
  </w:style>
  <w:style w:type="character" w:styleId="IntenseEmphasis">
    <w:name w:val="Intense Emphasis"/>
    <w:basedOn w:val="DefaultParagraphFont"/>
    <w:uiPriority w:val="21"/>
    <w:qFormat/>
    <w:rsid w:val="00684ED0"/>
    <w:rPr>
      <w:i/>
      <w:iCs/>
      <w:color w:val="0F4761" w:themeColor="accent1" w:themeShade="BF"/>
    </w:rPr>
  </w:style>
  <w:style w:type="paragraph" w:styleId="IntenseQuote">
    <w:name w:val="Intense Quote"/>
    <w:basedOn w:val="Normal"/>
    <w:next w:val="Normal"/>
    <w:link w:val="IntenseQuoteChar"/>
    <w:uiPriority w:val="30"/>
    <w:qFormat/>
    <w:rsid w:val="00684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ED0"/>
    <w:rPr>
      <w:i/>
      <w:iCs/>
      <w:color w:val="0F4761" w:themeColor="accent1" w:themeShade="BF"/>
    </w:rPr>
  </w:style>
  <w:style w:type="character" w:styleId="IntenseReference">
    <w:name w:val="Intense Reference"/>
    <w:basedOn w:val="DefaultParagraphFont"/>
    <w:uiPriority w:val="32"/>
    <w:qFormat/>
    <w:rsid w:val="00684ED0"/>
    <w:rPr>
      <w:b/>
      <w:bCs/>
      <w:smallCaps/>
      <w:color w:val="0F4761" w:themeColor="accent1" w:themeShade="BF"/>
      <w:spacing w:val="5"/>
    </w:rPr>
  </w:style>
  <w:style w:type="character" w:styleId="Hyperlink">
    <w:name w:val="Hyperlink"/>
    <w:basedOn w:val="DefaultParagraphFont"/>
    <w:uiPriority w:val="99"/>
    <w:unhideWhenUsed/>
    <w:rsid w:val="00FF6D21"/>
    <w:rPr>
      <w:color w:val="467886" w:themeColor="hyperlink"/>
      <w:u w:val="single"/>
    </w:rPr>
  </w:style>
  <w:style w:type="character" w:styleId="UnresolvedMention">
    <w:name w:val="Unresolved Mention"/>
    <w:basedOn w:val="DefaultParagraphFont"/>
    <w:uiPriority w:val="99"/>
    <w:semiHidden/>
    <w:unhideWhenUsed/>
    <w:rsid w:val="00FF6D21"/>
    <w:rPr>
      <w:color w:val="605E5C"/>
      <w:shd w:val="clear" w:color="auto" w:fill="E1DFDD"/>
    </w:rPr>
  </w:style>
  <w:style w:type="character" w:styleId="FollowedHyperlink">
    <w:name w:val="FollowedHyperlink"/>
    <w:basedOn w:val="DefaultParagraphFont"/>
    <w:uiPriority w:val="99"/>
    <w:semiHidden/>
    <w:unhideWhenUsed/>
    <w:rsid w:val="00836FFC"/>
    <w:rPr>
      <w:color w:val="96607D" w:themeColor="followedHyperlink"/>
      <w:u w:val="single"/>
    </w:rPr>
  </w:style>
  <w:style w:type="paragraph" w:styleId="NormalWeb">
    <w:name w:val="Normal (Web)"/>
    <w:basedOn w:val="Normal"/>
    <w:uiPriority w:val="99"/>
    <w:semiHidden/>
    <w:unhideWhenUsed/>
    <w:rsid w:val="009E58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1701A"/>
  </w:style>
  <w:style w:type="character" w:styleId="Emphasis">
    <w:name w:val="Emphasis"/>
    <w:basedOn w:val="DefaultParagraphFont"/>
    <w:uiPriority w:val="20"/>
    <w:qFormat/>
    <w:rsid w:val="0001701A"/>
    <w:rPr>
      <w:i/>
      <w:iCs/>
    </w:rPr>
  </w:style>
  <w:style w:type="character" w:styleId="Strong">
    <w:name w:val="Strong"/>
    <w:basedOn w:val="DefaultParagraphFont"/>
    <w:uiPriority w:val="22"/>
    <w:qFormat/>
    <w:rsid w:val="006A2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56372">
      <w:bodyDiv w:val="1"/>
      <w:marLeft w:val="0"/>
      <w:marRight w:val="0"/>
      <w:marTop w:val="0"/>
      <w:marBottom w:val="0"/>
      <w:divBdr>
        <w:top w:val="none" w:sz="0" w:space="0" w:color="auto"/>
        <w:left w:val="none" w:sz="0" w:space="0" w:color="auto"/>
        <w:bottom w:val="none" w:sz="0" w:space="0" w:color="auto"/>
        <w:right w:val="none" w:sz="0" w:space="0" w:color="auto"/>
      </w:divBdr>
    </w:div>
    <w:div w:id="103690761">
      <w:bodyDiv w:val="1"/>
      <w:marLeft w:val="0"/>
      <w:marRight w:val="0"/>
      <w:marTop w:val="0"/>
      <w:marBottom w:val="0"/>
      <w:divBdr>
        <w:top w:val="none" w:sz="0" w:space="0" w:color="auto"/>
        <w:left w:val="none" w:sz="0" w:space="0" w:color="auto"/>
        <w:bottom w:val="none" w:sz="0" w:space="0" w:color="auto"/>
        <w:right w:val="none" w:sz="0" w:space="0" w:color="auto"/>
      </w:divBdr>
    </w:div>
    <w:div w:id="150609351">
      <w:bodyDiv w:val="1"/>
      <w:marLeft w:val="0"/>
      <w:marRight w:val="0"/>
      <w:marTop w:val="0"/>
      <w:marBottom w:val="0"/>
      <w:divBdr>
        <w:top w:val="none" w:sz="0" w:space="0" w:color="auto"/>
        <w:left w:val="none" w:sz="0" w:space="0" w:color="auto"/>
        <w:bottom w:val="none" w:sz="0" w:space="0" w:color="auto"/>
        <w:right w:val="none" w:sz="0" w:space="0" w:color="auto"/>
      </w:divBdr>
    </w:div>
    <w:div w:id="193468953">
      <w:bodyDiv w:val="1"/>
      <w:marLeft w:val="0"/>
      <w:marRight w:val="0"/>
      <w:marTop w:val="0"/>
      <w:marBottom w:val="0"/>
      <w:divBdr>
        <w:top w:val="none" w:sz="0" w:space="0" w:color="auto"/>
        <w:left w:val="none" w:sz="0" w:space="0" w:color="auto"/>
        <w:bottom w:val="none" w:sz="0" w:space="0" w:color="auto"/>
        <w:right w:val="none" w:sz="0" w:space="0" w:color="auto"/>
      </w:divBdr>
    </w:div>
    <w:div w:id="280842478">
      <w:bodyDiv w:val="1"/>
      <w:marLeft w:val="0"/>
      <w:marRight w:val="0"/>
      <w:marTop w:val="0"/>
      <w:marBottom w:val="0"/>
      <w:divBdr>
        <w:top w:val="none" w:sz="0" w:space="0" w:color="auto"/>
        <w:left w:val="none" w:sz="0" w:space="0" w:color="auto"/>
        <w:bottom w:val="none" w:sz="0" w:space="0" w:color="auto"/>
        <w:right w:val="none" w:sz="0" w:space="0" w:color="auto"/>
      </w:divBdr>
    </w:div>
    <w:div w:id="335116562">
      <w:bodyDiv w:val="1"/>
      <w:marLeft w:val="0"/>
      <w:marRight w:val="0"/>
      <w:marTop w:val="0"/>
      <w:marBottom w:val="0"/>
      <w:divBdr>
        <w:top w:val="none" w:sz="0" w:space="0" w:color="auto"/>
        <w:left w:val="none" w:sz="0" w:space="0" w:color="auto"/>
        <w:bottom w:val="none" w:sz="0" w:space="0" w:color="auto"/>
        <w:right w:val="none" w:sz="0" w:space="0" w:color="auto"/>
      </w:divBdr>
    </w:div>
    <w:div w:id="358819432">
      <w:bodyDiv w:val="1"/>
      <w:marLeft w:val="0"/>
      <w:marRight w:val="0"/>
      <w:marTop w:val="0"/>
      <w:marBottom w:val="0"/>
      <w:divBdr>
        <w:top w:val="none" w:sz="0" w:space="0" w:color="auto"/>
        <w:left w:val="none" w:sz="0" w:space="0" w:color="auto"/>
        <w:bottom w:val="none" w:sz="0" w:space="0" w:color="auto"/>
        <w:right w:val="none" w:sz="0" w:space="0" w:color="auto"/>
      </w:divBdr>
    </w:div>
    <w:div w:id="381487918">
      <w:bodyDiv w:val="1"/>
      <w:marLeft w:val="0"/>
      <w:marRight w:val="0"/>
      <w:marTop w:val="0"/>
      <w:marBottom w:val="0"/>
      <w:divBdr>
        <w:top w:val="none" w:sz="0" w:space="0" w:color="auto"/>
        <w:left w:val="none" w:sz="0" w:space="0" w:color="auto"/>
        <w:bottom w:val="none" w:sz="0" w:space="0" w:color="auto"/>
        <w:right w:val="none" w:sz="0" w:space="0" w:color="auto"/>
      </w:divBdr>
    </w:div>
    <w:div w:id="684208507">
      <w:bodyDiv w:val="1"/>
      <w:marLeft w:val="0"/>
      <w:marRight w:val="0"/>
      <w:marTop w:val="0"/>
      <w:marBottom w:val="0"/>
      <w:divBdr>
        <w:top w:val="none" w:sz="0" w:space="0" w:color="auto"/>
        <w:left w:val="none" w:sz="0" w:space="0" w:color="auto"/>
        <w:bottom w:val="none" w:sz="0" w:space="0" w:color="auto"/>
        <w:right w:val="none" w:sz="0" w:space="0" w:color="auto"/>
      </w:divBdr>
    </w:div>
    <w:div w:id="1104574500">
      <w:bodyDiv w:val="1"/>
      <w:marLeft w:val="0"/>
      <w:marRight w:val="0"/>
      <w:marTop w:val="0"/>
      <w:marBottom w:val="0"/>
      <w:divBdr>
        <w:top w:val="none" w:sz="0" w:space="0" w:color="auto"/>
        <w:left w:val="none" w:sz="0" w:space="0" w:color="auto"/>
        <w:bottom w:val="none" w:sz="0" w:space="0" w:color="auto"/>
        <w:right w:val="none" w:sz="0" w:space="0" w:color="auto"/>
      </w:divBdr>
      <w:divsChild>
        <w:div w:id="1674411242">
          <w:marLeft w:val="360"/>
          <w:marRight w:val="0"/>
          <w:marTop w:val="200"/>
          <w:marBottom w:val="0"/>
          <w:divBdr>
            <w:top w:val="none" w:sz="0" w:space="0" w:color="auto"/>
            <w:left w:val="none" w:sz="0" w:space="0" w:color="auto"/>
            <w:bottom w:val="none" w:sz="0" w:space="0" w:color="auto"/>
            <w:right w:val="none" w:sz="0" w:space="0" w:color="auto"/>
          </w:divBdr>
        </w:div>
      </w:divsChild>
    </w:div>
    <w:div w:id="1216890830">
      <w:bodyDiv w:val="1"/>
      <w:marLeft w:val="0"/>
      <w:marRight w:val="0"/>
      <w:marTop w:val="0"/>
      <w:marBottom w:val="0"/>
      <w:divBdr>
        <w:top w:val="none" w:sz="0" w:space="0" w:color="auto"/>
        <w:left w:val="none" w:sz="0" w:space="0" w:color="auto"/>
        <w:bottom w:val="none" w:sz="0" w:space="0" w:color="auto"/>
        <w:right w:val="none" w:sz="0" w:space="0" w:color="auto"/>
      </w:divBdr>
    </w:div>
    <w:div w:id="2004770623">
      <w:bodyDiv w:val="1"/>
      <w:marLeft w:val="0"/>
      <w:marRight w:val="0"/>
      <w:marTop w:val="0"/>
      <w:marBottom w:val="0"/>
      <w:divBdr>
        <w:top w:val="none" w:sz="0" w:space="0" w:color="auto"/>
        <w:left w:val="none" w:sz="0" w:space="0" w:color="auto"/>
        <w:bottom w:val="none" w:sz="0" w:space="0" w:color="auto"/>
        <w:right w:val="none" w:sz="0" w:space="0" w:color="auto"/>
      </w:divBdr>
    </w:div>
    <w:div w:id="2017688717">
      <w:bodyDiv w:val="1"/>
      <w:marLeft w:val="0"/>
      <w:marRight w:val="0"/>
      <w:marTop w:val="0"/>
      <w:marBottom w:val="0"/>
      <w:divBdr>
        <w:top w:val="none" w:sz="0" w:space="0" w:color="auto"/>
        <w:left w:val="none" w:sz="0" w:space="0" w:color="auto"/>
        <w:bottom w:val="none" w:sz="0" w:space="0" w:color="auto"/>
        <w:right w:val="none" w:sz="0" w:space="0" w:color="auto"/>
      </w:divBdr>
    </w:div>
    <w:div w:id="2103716064">
      <w:bodyDiv w:val="1"/>
      <w:marLeft w:val="0"/>
      <w:marRight w:val="0"/>
      <w:marTop w:val="0"/>
      <w:marBottom w:val="0"/>
      <w:divBdr>
        <w:top w:val="none" w:sz="0" w:space="0" w:color="auto"/>
        <w:left w:val="none" w:sz="0" w:space="0" w:color="auto"/>
        <w:bottom w:val="none" w:sz="0" w:space="0" w:color="auto"/>
        <w:right w:val="none" w:sz="0" w:space="0" w:color="auto"/>
      </w:divBdr>
      <w:divsChild>
        <w:div w:id="6171049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3841</Words>
  <Characters>21897</Characters>
  <Application>Microsoft Office Word</Application>
  <DocSecurity>0</DocSecurity>
  <Lines>182</Lines>
  <Paragraphs>51</Paragraphs>
  <ScaleCrop>false</ScaleCrop>
  <Company/>
  <LinksUpToDate>false</LinksUpToDate>
  <CharactersWithSpaces>25687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Thomas (2319137)</dc:creator>
  <cp:keywords/>
  <dc:description/>
  <cp:lastModifiedBy>Harrison Thomas (2319137)</cp:lastModifiedBy>
  <cp:revision>2</cp:revision>
  <dcterms:created xsi:type="dcterms:W3CDTF">2026-01-07T12:46:00Z</dcterms:created>
  <dcterms:modified xsi:type="dcterms:W3CDTF">2026-01-07T12:46:00Z</dcterms:modified>
</cp:coreProperties>
</file>