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0A2D42" w:rsidR="000A2D42" w:rsidP="3BE714C9" w:rsidRDefault="000A2D42" w14:paraId="29D54717" w14:textId="767FA2C1">
      <w:pPr>
        <w:shd w:val="clear" w:color="auto" w:fill="FFFFFF" w:themeFill="background1"/>
        <w:spacing w:after="0" w:line="360" w:lineRule="auto"/>
        <w:jc w:val="center"/>
        <w:textAlignment w:val="baseline"/>
      </w:pPr>
      <w:r w:rsidRPr="361F0A7B" w:rsidR="0BAC6696">
        <w:rPr>
          <w:rFonts w:ascii="Arial" w:hAnsi="Arial" w:eastAsia="Times New Roman" w:cs="Arial"/>
          <w:b w:val="1"/>
          <w:bCs w:val="1"/>
          <w:sz w:val="28"/>
          <w:szCs w:val="28"/>
        </w:rPr>
        <w:t>(</w:t>
      </w:r>
      <w:r w:rsidRPr="361F0A7B" w:rsidR="60C07C3B">
        <w:rPr>
          <w:rFonts w:ascii="Arial" w:hAnsi="Arial" w:eastAsia="Times New Roman" w:cs="Arial"/>
          <w:b w:val="1"/>
          <w:bCs w:val="1"/>
          <w:sz w:val="28"/>
          <w:szCs w:val="28"/>
        </w:rPr>
        <w:t>BSc Health &amp; Social Care</w:t>
      </w:r>
      <w:r w:rsidRPr="361F0A7B" w:rsidR="3C62F34C">
        <w:rPr>
          <w:rFonts w:ascii="Arial" w:hAnsi="Arial" w:eastAsia="Times New Roman" w:cs="Arial"/>
          <w:b w:val="1"/>
          <w:bCs w:val="1"/>
          <w:sz w:val="28"/>
          <w:szCs w:val="28"/>
        </w:rPr>
        <w:t>)</w:t>
      </w:r>
      <w:r w:rsidRPr="361F0A7B" w:rsidR="60C07C3B">
        <w:rPr>
          <w:rFonts w:ascii="Arial" w:hAnsi="Arial" w:eastAsia="Times New Roman" w:cs="Arial"/>
          <w:b w:val="1"/>
          <w:bCs w:val="1"/>
          <w:sz w:val="28"/>
          <w:szCs w:val="28"/>
        </w:rPr>
        <w:t xml:space="preserve"> </w:t>
      </w:r>
      <w:r w:rsidRPr="361F0A7B" w:rsidR="72C116AB">
        <w:rPr>
          <w:rFonts w:ascii="Arial" w:hAnsi="Arial" w:eastAsia="Times New Roman" w:cs="Arial"/>
          <w:b w:val="1"/>
          <w:bCs w:val="1"/>
          <w:sz w:val="28"/>
          <w:szCs w:val="28"/>
        </w:rPr>
        <w:t>Digital Transformation</w:t>
      </w:r>
      <w:r w:rsidRPr="361F0A7B" w:rsidR="54C72410">
        <w:rPr>
          <w:rFonts w:ascii="Arial" w:hAnsi="Arial" w:eastAsia="Times New Roman" w:cs="Arial"/>
          <w:b w:val="1"/>
          <w:bCs w:val="1"/>
          <w:sz w:val="28"/>
          <w:szCs w:val="28"/>
        </w:rPr>
        <w:t xml:space="preserve"> in Health &amp; Social professional</w:t>
      </w:r>
    </w:p>
    <w:p w:rsidRPr="000A2D42" w:rsidR="000A2D42" w:rsidP="3BE714C9" w:rsidRDefault="000A2D42" w14:paraId="665563EA" w14:textId="3D68593A">
      <w:pPr>
        <w:shd w:val="clear" w:color="auto" w:fill="FFFFFF" w:themeFill="background1"/>
        <w:spacing w:after="0" w:line="360" w:lineRule="auto"/>
        <w:jc w:val="center"/>
        <w:textAlignment w:val="baseline"/>
      </w:pPr>
      <w:r w:rsidRPr="361F0A7B" w:rsidR="000A2D42">
        <w:rPr>
          <w:rFonts w:ascii="Arial" w:hAnsi="Arial" w:eastAsia="Times New Roman" w:cs="Arial"/>
          <w:b w:val="1"/>
          <w:bCs w:val="1"/>
          <w:sz w:val="28"/>
          <w:szCs w:val="28"/>
        </w:rPr>
        <w:t xml:space="preserve">BMHP6026 – Component 1: </w:t>
      </w:r>
    </w:p>
    <w:p w:rsidR="60AE2C6A" w:rsidP="361F0A7B" w:rsidRDefault="60AE2C6A" w14:paraId="6D700256" w14:textId="61C797B0">
      <w:pPr>
        <w:shd w:val="clear" w:color="auto" w:fill="FFFFFF" w:themeFill="background1"/>
        <w:spacing w:after="0" w:line="360" w:lineRule="auto"/>
        <w:jc w:val="center"/>
        <w:rPr>
          <w:rFonts w:ascii="Arial" w:hAnsi="Arial" w:eastAsia="Times New Roman" w:cs="Arial"/>
          <w:b w:val="1"/>
          <w:bCs w:val="1"/>
          <w:sz w:val="28"/>
          <w:szCs w:val="28"/>
        </w:rPr>
      </w:pPr>
    </w:p>
    <w:p w:rsidR="60AE2C6A" w:rsidP="361F0A7B" w:rsidRDefault="60AE2C6A" w14:paraId="0A642363" w14:textId="2189F5B6">
      <w:pPr>
        <w:shd w:val="clear" w:color="auto" w:fill="FFFFFF" w:themeFill="background1"/>
        <w:spacing w:after="0" w:line="360" w:lineRule="auto"/>
        <w:jc w:val="left"/>
      </w:pPr>
      <w:r w:rsidRPr="361F0A7B" w:rsidR="30F3F861">
        <w:rPr>
          <w:rFonts w:ascii="Arial" w:hAnsi="Arial" w:eastAsia="Times New Roman" w:cs="Arial"/>
          <w:b w:val="1"/>
          <w:bCs w:val="1"/>
          <w:sz w:val="28"/>
          <w:szCs w:val="28"/>
        </w:rPr>
        <w:t>Name: Nazema Bibi</w:t>
      </w:r>
    </w:p>
    <w:p w:rsidR="60AE2C6A" w:rsidP="361F0A7B" w:rsidRDefault="60AE2C6A" w14:paraId="776D9A0C" w14:textId="5BBE66A7">
      <w:pPr>
        <w:shd w:val="clear" w:color="auto" w:fill="FFFFFF" w:themeFill="background1"/>
        <w:spacing w:after="0" w:line="360" w:lineRule="auto"/>
        <w:jc w:val="left"/>
      </w:pPr>
      <w:r w:rsidRPr="361F0A7B" w:rsidR="30F3F861">
        <w:rPr>
          <w:rFonts w:ascii="Arial" w:hAnsi="Arial" w:eastAsia="Times New Roman" w:cs="Arial"/>
          <w:b w:val="1"/>
          <w:bCs w:val="1"/>
          <w:sz w:val="28"/>
          <w:szCs w:val="28"/>
        </w:rPr>
        <w:t>Student ID: 2333305</w:t>
      </w:r>
    </w:p>
    <w:p w:rsidR="60AE2C6A" w:rsidP="361F0A7B" w:rsidRDefault="60AE2C6A" w14:paraId="5084FABE" w14:textId="5B572C94">
      <w:pPr>
        <w:shd w:val="clear" w:color="auto" w:fill="FFFFFF" w:themeFill="background1"/>
        <w:spacing w:after="0" w:line="360" w:lineRule="auto"/>
        <w:jc w:val="left"/>
      </w:pPr>
      <w:r w:rsidRPr="361F0A7B" w:rsidR="30F3F861">
        <w:rPr>
          <w:rFonts w:ascii="Arial" w:hAnsi="Arial" w:eastAsia="Times New Roman" w:cs="Arial"/>
          <w:b w:val="1"/>
          <w:bCs w:val="1"/>
          <w:sz w:val="28"/>
          <w:szCs w:val="28"/>
        </w:rPr>
        <w:t>Lecturer Name: Martin Svejda</w:t>
      </w:r>
    </w:p>
    <w:p w:rsidR="60AE2C6A" w:rsidP="361F0A7B" w:rsidRDefault="60AE2C6A" w14:paraId="229311EE" w14:textId="4FA79C53">
      <w:pPr>
        <w:shd w:val="clear" w:color="auto" w:fill="FFFFFF" w:themeFill="background1"/>
        <w:spacing w:after="0" w:line="360" w:lineRule="auto"/>
        <w:jc w:val="left"/>
      </w:pPr>
      <w:r w:rsidRPr="361F0A7B" w:rsidR="30F3F861">
        <w:rPr>
          <w:rFonts w:ascii="Arial" w:hAnsi="Arial" w:eastAsia="Times New Roman" w:cs="Arial"/>
          <w:b w:val="1"/>
          <w:bCs w:val="1"/>
          <w:sz w:val="28"/>
          <w:szCs w:val="28"/>
        </w:rPr>
        <w:t>Assignment Title: Written Report</w:t>
      </w:r>
    </w:p>
    <w:p w:rsidR="60AE2C6A" w:rsidP="361F0A7B" w:rsidRDefault="60AE2C6A" w14:paraId="211B512C" w14:textId="7B2FCFA9">
      <w:pPr>
        <w:shd w:val="clear" w:color="auto" w:fill="FFFFFF" w:themeFill="background1"/>
        <w:spacing w:after="0" w:line="360" w:lineRule="auto"/>
        <w:jc w:val="left"/>
      </w:pPr>
      <w:r w:rsidRPr="361F0A7B" w:rsidR="30F3F861">
        <w:rPr>
          <w:rFonts w:ascii="Arial" w:hAnsi="Arial" w:eastAsia="Times New Roman" w:cs="Arial"/>
          <w:b w:val="1"/>
          <w:bCs w:val="1"/>
          <w:sz w:val="28"/>
          <w:szCs w:val="28"/>
        </w:rPr>
        <w:t>Sub Date: 19/10/2026</w:t>
      </w:r>
    </w:p>
    <w:p w:rsidR="60AE2C6A" w:rsidP="361F0A7B" w:rsidRDefault="60AE2C6A" w14:paraId="1CAE8582" w14:textId="4DEE7661">
      <w:pPr>
        <w:shd w:val="clear" w:color="auto" w:fill="FFFFFF" w:themeFill="background1"/>
        <w:spacing w:after="0" w:line="360" w:lineRule="auto"/>
        <w:jc w:val="center"/>
        <w:rPr>
          <w:rFonts w:ascii="Arial" w:hAnsi="Arial" w:eastAsia="Times New Roman" w:cs="Arial"/>
          <w:b w:val="1"/>
          <w:bCs w:val="1"/>
          <w:sz w:val="28"/>
          <w:szCs w:val="28"/>
        </w:rPr>
      </w:pPr>
    </w:p>
    <w:p w:rsidR="60AE2C6A" w:rsidP="361F0A7B" w:rsidRDefault="60AE2C6A" w14:paraId="1A07C011" w14:textId="787FB72B">
      <w:pPr>
        <w:shd w:val="clear" w:color="auto" w:fill="FFFFFF" w:themeFill="background1"/>
        <w:spacing w:after="0" w:line="360" w:lineRule="auto"/>
        <w:jc w:val="center"/>
        <w:rPr>
          <w:rFonts w:ascii="Arial" w:hAnsi="Arial" w:eastAsia="Times New Roman" w:cs="Arial"/>
          <w:b w:val="1"/>
          <w:bCs w:val="1"/>
          <w:sz w:val="28"/>
          <w:szCs w:val="28"/>
        </w:rPr>
      </w:pPr>
    </w:p>
    <w:p w:rsidR="60AE2C6A" w:rsidP="361F0A7B" w:rsidRDefault="60AE2C6A" w14:paraId="280248FC" w14:textId="4A6836BD">
      <w:pPr>
        <w:shd w:val="clear" w:color="auto" w:fill="FFFFFF" w:themeFill="background1"/>
        <w:spacing w:after="0" w:line="360" w:lineRule="auto"/>
        <w:jc w:val="left"/>
        <w:rPr>
          <w:rFonts w:ascii="Arial" w:hAnsi="Arial" w:eastAsia="Times New Roman" w:cs="Arial"/>
          <w:b w:val="1"/>
          <w:bCs w:val="1"/>
          <w:sz w:val="28"/>
          <w:szCs w:val="28"/>
        </w:rPr>
      </w:pPr>
    </w:p>
    <w:p w:rsidR="60AE2C6A" w:rsidP="361F0A7B" w:rsidRDefault="60AE2C6A" w14:paraId="6FEBBF40" w14:textId="33161877">
      <w:pPr>
        <w:shd w:val="clear" w:color="auto" w:fill="FFFFFF" w:themeFill="background1"/>
        <w:spacing w:after="0" w:line="360" w:lineRule="auto"/>
        <w:jc w:val="center"/>
        <w:rPr>
          <w:rFonts w:ascii="Arial" w:hAnsi="Arial" w:eastAsia="Times New Roman" w:cs="Arial"/>
          <w:b w:val="1"/>
          <w:bCs w:val="1"/>
          <w:sz w:val="28"/>
          <w:szCs w:val="28"/>
        </w:rPr>
      </w:pPr>
    </w:p>
    <w:p w:rsidR="60AE2C6A" w:rsidP="361F0A7B" w:rsidRDefault="60AE2C6A" w14:paraId="7B1E6E9A" w14:textId="012C54EE">
      <w:pPr>
        <w:shd w:val="clear" w:color="auto" w:fill="FFFFFF" w:themeFill="background1"/>
        <w:spacing w:after="0" w:line="360" w:lineRule="auto"/>
        <w:jc w:val="left"/>
        <w:rPr>
          <w:rFonts w:ascii="Arial" w:hAnsi="Arial" w:eastAsia="Times New Roman" w:cs="Arial"/>
          <w:b w:val="1"/>
          <w:bCs w:val="1"/>
          <w:sz w:val="28"/>
          <w:szCs w:val="28"/>
        </w:rPr>
      </w:pPr>
    </w:p>
    <w:p w:rsidR="60AE2C6A" w:rsidP="361F0A7B" w:rsidRDefault="60AE2C6A" w14:paraId="40F26453" w14:textId="6D92EB23">
      <w:pPr>
        <w:shd w:val="clear" w:color="auto" w:fill="FFFFFF" w:themeFill="background1"/>
        <w:spacing w:after="0" w:line="360" w:lineRule="auto"/>
        <w:ind w:left="0"/>
        <w:jc w:val="center"/>
        <w:rPr>
          <w:rFonts w:ascii="Arial" w:hAnsi="Arial" w:eastAsia="Times New Roman" w:cs="Arial"/>
          <w:b w:val="1"/>
          <w:bCs w:val="1"/>
          <w:sz w:val="28"/>
          <w:szCs w:val="28"/>
          <w:lang w:eastAsia="en-GB"/>
        </w:rPr>
      </w:pPr>
    </w:p>
    <w:p w:rsidR="60AE2C6A" w:rsidP="361F0A7B" w:rsidRDefault="60AE2C6A" w14:paraId="3BA81644" w14:textId="7EEECB0D">
      <w:pPr>
        <w:shd w:val="clear" w:color="auto" w:fill="FFFFFF" w:themeFill="background1"/>
        <w:spacing w:after="0" w:line="360" w:lineRule="auto"/>
        <w:ind w:left="0"/>
        <w:jc w:val="left"/>
        <w:rPr>
          <w:rFonts w:ascii="Arial" w:hAnsi="Arial" w:eastAsia="Times New Roman" w:cs="Arial"/>
          <w:b w:val="1"/>
          <w:bCs w:val="1"/>
          <w:sz w:val="28"/>
          <w:szCs w:val="28"/>
          <w:lang w:eastAsia="en-GB"/>
        </w:rPr>
      </w:pPr>
    </w:p>
    <w:p w:rsidR="60AE2C6A" w:rsidP="361F0A7B" w:rsidRDefault="60AE2C6A" w14:paraId="2198B8FA" w14:textId="09B677B9">
      <w:pPr>
        <w:shd w:val="clear" w:color="auto" w:fill="FFFFFF" w:themeFill="background1"/>
        <w:spacing w:after="0" w:line="360" w:lineRule="auto"/>
        <w:ind w:left="0"/>
        <w:jc w:val="left"/>
        <w:rPr>
          <w:rFonts w:ascii="Arial" w:hAnsi="Arial" w:eastAsia="Times New Roman" w:cs="Arial"/>
          <w:b w:val="1"/>
          <w:bCs w:val="1"/>
          <w:sz w:val="28"/>
          <w:szCs w:val="28"/>
          <w:lang w:eastAsia="en-GB"/>
        </w:rPr>
      </w:pPr>
    </w:p>
    <w:p w:rsidR="60AE2C6A" w:rsidP="361F0A7B" w:rsidRDefault="60AE2C6A" w14:paraId="720F85EB" w14:textId="41F99C31">
      <w:pPr>
        <w:shd w:val="clear" w:color="auto" w:fill="FFFFFF" w:themeFill="background1"/>
        <w:spacing w:after="0" w:line="360" w:lineRule="auto"/>
        <w:ind w:left="0"/>
        <w:jc w:val="center"/>
        <w:rPr>
          <w:rFonts w:ascii="Arial" w:hAnsi="Arial" w:eastAsia="Times New Roman" w:cs="Arial"/>
          <w:b w:val="1"/>
          <w:bCs w:val="1"/>
          <w:sz w:val="28"/>
          <w:szCs w:val="28"/>
          <w:lang w:eastAsia="en-GB"/>
        </w:rPr>
      </w:pPr>
    </w:p>
    <w:p w:rsidR="60AE2C6A" w:rsidP="361F0A7B" w:rsidRDefault="60AE2C6A" w14:paraId="7146CC43" w14:textId="623D07C4">
      <w:pPr>
        <w:shd w:val="clear" w:color="auto" w:fill="FFFFFF" w:themeFill="background1"/>
        <w:spacing w:after="0" w:line="360" w:lineRule="auto"/>
        <w:ind w:left="0"/>
        <w:jc w:val="center"/>
        <w:rPr>
          <w:rFonts w:ascii="Arial" w:hAnsi="Arial" w:eastAsia="Times New Roman" w:cs="Arial"/>
          <w:b w:val="1"/>
          <w:bCs w:val="1"/>
          <w:sz w:val="28"/>
          <w:szCs w:val="28"/>
          <w:lang w:eastAsia="en-GB"/>
        </w:rPr>
      </w:pPr>
    </w:p>
    <w:p w:rsidR="60AE2C6A" w:rsidP="361F0A7B" w:rsidRDefault="60AE2C6A" w14:paraId="10157495" w14:textId="427F14D4">
      <w:pPr>
        <w:shd w:val="clear" w:color="auto" w:fill="FFFFFF" w:themeFill="background1"/>
        <w:spacing w:after="0" w:line="360" w:lineRule="auto"/>
        <w:ind w:left="0"/>
        <w:jc w:val="center"/>
        <w:rPr>
          <w:rFonts w:ascii="Arial" w:hAnsi="Arial" w:eastAsia="Times New Roman" w:cs="Arial"/>
          <w:b w:val="1"/>
          <w:bCs w:val="1"/>
          <w:sz w:val="28"/>
          <w:szCs w:val="28"/>
          <w:lang w:eastAsia="en-GB"/>
        </w:rPr>
      </w:pPr>
    </w:p>
    <w:p w:rsidR="60AE2C6A" w:rsidP="361F0A7B" w:rsidRDefault="60AE2C6A" w14:paraId="13BDC142" w14:textId="528B0692">
      <w:pPr>
        <w:shd w:val="clear" w:color="auto" w:fill="FFFFFF" w:themeFill="background1"/>
        <w:spacing w:after="0" w:line="360" w:lineRule="auto"/>
        <w:ind w:left="0"/>
        <w:jc w:val="center"/>
        <w:rPr>
          <w:rFonts w:ascii="Arial" w:hAnsi="Arial" w:eastAsia="Times New Roman" w:cs="Arial"/>
          <w:b w:val="1"/>
          <w:bCs w:val="1"/>
          <w:sz w:val="28"/>
          <w:szCs w:val="28"/>
          <w:lang w:eastAsia="en-GB"/>
        </w:rPr>
      </w:pPr>
    </w:p>
    <w:p w:rsidR="60AE2C6A" w:rsidP="361F0A7B" w:rsidRDefault="60AE2C6A" w14:paraId="3D9E0D8C" w14:textId="429908B7">
      <w:pPr>
        <w:shd w:val="clear" w:color="auto" w:fill="FFFFFF" w:themeFill="background1"/>
        <w:spacing w:after="0" w:line="360" w:lineRule="auto"/>
        <w:ind w:left="0"/>
        <w:jc w:val="center"/>
        <w:rPr>
          <w:rFonts w:ascii="Arial" w:hAnsi="Arial" w:eastAsia="Times New Roman" w:cs="Arial"/>
          <w:b w:val="1"/>
          <w:bCs w:val="1"/>
          <w:sz w:val="28"/>
          <w:szCs w:val="28"/>
          <w:lang w:eastAsia="en-GB"/>
        </w:rPr>
      </w:pPr>
    </w:p>
    <w:p w:rsidR="60AE2C6A" w:rsidP="361F0A7B" w:rsidRDefault="60AE2C6A" w14:paraId="340626E5" w14:textId="5A866EBD">
      <w:pPr>
        <w:shd w:val="clear" w:color="auto" w:fill="FFFFFF" w:themeFill="background1"/>
        <w:spacing w:after="0" w:line="360" w:lineRule="auto"/>
        <w:ind w:left="0"/>
        <w:jc w:val="center"/>
        <w:rPr>
          <w:rFonts w:ascii="Arial" w:hAnsi="Arial" w:eastAsia="Times New Roman" w:cs="Arial"/>
          <w:b w:val="1"/>
          <w:bCs w:val="1"/>
          <w:sz w:val="28"/>
          <w:szCs w:val="28"/>
          <w:lang w:eastAsia="en-GB"/>
        </w:rPr>
      </w:pPr>
    </w:p>
    <w:p w:rsidR="60AE2C6A" w:rsidP="361F0A7B" w:rsidRDefault="60AE2C6A" w14:paraId="43B6A26D" w14:textId="39FF4869">
      <w:pPr>
        <w:shd w:val="clear" w:color="auto" w:fill="FFFFFF" w:themeFill="background1"/>
        <w:spacing w:after="0" w:line="360" w:lineRule="auto"/>
        <w:ind w:left="0"/>
        <w:jc w:val="center"/>
        <w:rPr>
          <w:rFonts w:ascii="Arial" w:hAnsi="Arial" w:eastAsia="Times New Roman" w:cs="Arial"/>
          <w:b w:val="1"/>
          <w:bCs w:val="1"/>
          <w:sz w:val="28"/>
          <w:szCs w:val="28"/>
          <w:lang w:eastAsia="en-GB"/>
        </w:rPr>
      </w:pPr>
    </w:p>
    <w:p w:rsidR="60AE2C6A" w:rsidP="361F0A7B" w:rsidRDefault="60AE2C6A" w14:paraId="1B3EE8B2" w14:textId="6FB9A5F5">
      <w:pPr>
        <w:shd w:val="clear" w:color="auto" w:fill="FFFFFF" w:themeFill="background1"/>
        <w:spacing w:after="0" w:line="360" w:lineRule="auto"/>
        <w:ind w:left="0"/>
        <w:jc w:val="center"/>
        <w:rPr>
          <w:rFonts w:ascii="Arial" w:hAnsi="Arial" w:eastAsia="Times New Roman" w:cs="Arial"/>
          <w:b w:val="1"/>
          <w:bCs w:val="1"/>
          <w:sz w:val="28"/>
          <w:szCs w:val="28"/>
          <w:lang w:eastAsia="en-GB"/>
        </w:rPr>
      </w:pPr>
    </w:p>
    <w:p w:rsidR="60AE2C6A" w:rsidP="361F0A7B" w:rsidRDefault="60AE2C6A" w14:paraId="507A31A3" w14:textId="473DFDAE">
      <w:pPr>
        <w:shd w:val="clear" w:color="auto" w:fill="FFFFFF" w:themeFill="background1"/>
        <w:spacing w:after="0" w:line="360" w:lineRule="auto"/>
        <w:ind w:left="0"/>
        <w:jc w:val="center"/>
        <w:rPr>
          <w:rFonts w:ascii="Arial" w:hAnsi="Arial" w:eastAsia="Times New Roman" w:cs="Arial"/>
          <w:b w:val="1"/>
          <w:bCs w:val="1"/>
          <w:sz w:val="28"/>
          <w:szCs w:val="28"/>
          <w:lang w:eastAsia="en-GB"/>
        </w:rPr>
      </w:pPr>
    </w:p>
    <w:p w:rsidR="60AE2C6A" w:rsidP="361F0A7B" w:rsidRDefault="60AE2C6A" w14:paraId="4071E1D4" w14:textId="7A6E09A2">
      <w:pPr>
        <w:shd w:val="clear" w:color="auto" w:fill="FFFFFF" w:themeFill="background1"/>
        <w:spacing w:after="0" w:line="360" w:lineRule="auto"/>
        <w:ind w:left="0"/>
        <w:jc w:val="center"/>
        <w:rPr>
          <w:rFonts w:ascii="Arial" w:hAnsi="Arial" w:eastAsia="Times New Roman" w:cs="Arial"/>
          <w:b w:val="1"/>
          <w:bCs w:val="1"/>
          <w:sz w:val="28"/>
          <w:szCs w:val="28"/>
          <w:lang w:eastAsia="en-GB"/>
        </w:rPr>
      </w:pPr>
    </w:p>
    <w:p w:rsidR="60AE2C6A" w:rsidP="361F0A7B" w:rsidRDefault="60AE2C6A" w14:paraId="7ABB2FE7" w14:textId="41D36D5C">
      <w:pPr>
        <w:shd w:val="clear" w:color="auto" w:fill="FFFFFF" w:themeFill="background1"/>
        <w:spacing w:after="0" w:line="360" w:lineRule="auto"/>
        <w:ind w:left="0"/>
        <w:jc w:val="center"/>
        <w:rPr>
          <w:rFonts w:ascii="Arial" w:hAnsi="Arial" w:eastAsia="Times New Roman" w:cs="Arial"/>
          <w:b w:val="1"/>
          <w:bCs w:val="1"/>
          <w:sz w:val="28"/>
          <w:szCs w:val="28"/>
          <w:lang w:eastAsia="en-GB"/>
        </w:rPr>
      </w:pPr>
    </w:p>
    <w:p w:rsidR="60AE2C6A" w:rsidP="361F0A7B" w:rsidRDefault="60AE2C6A" w14:paraId="7FBE4145" w14:textId="3640B9D1">
      <w:pPr>
        <w:pStyle w:val="Normal"/>
        <w:shd w:val="clear" w:color="auto" w:fill="FFFFFF" w:themeFill="background1"/>
        <w:spacing w:after="0" w:line="360" w:lineRule="auto"/>
        <w:ind w:left="0"/>
        <w:jc w:val="center"/>
        <w:rPr>
          <w:rFonts w:ascii="Arial" w:hAnsi="Arial" w:eastAsia="Times New Roman" w:cs="Arial"/>
          <w:b w:val="1"/>
          <w:bCs w:val="1"/>
          <w:sz w:val="28"/>
          <w:szCs w:val="28"/>
          <w:lang w:eastAsia="en-GB"/>
        </w:rPr>
      </w:pPr>
    </w:p>
    <w:p w:rsidR="60AE2C6A" w:rsidP="361F0A7B" w:rsidRDefault="60AE2C6A" w14:paraId="01FB7742" w14:textId="79A5F93B">
      <w:pPr>
        <w:pStyle w:val="Normal"/>
        <w:shd w:val="clear" w:color="auto" w:fill="FFFFFF" w:themeFill="background1"/>
        <w:spacing w:after="0" w:line="360" w:lineRule="auto"/>
        <w:ind w:left="0"/>
        <w:jc w:val="left"/>
      </w:pPr>
      <w:r w:rsidRPr="361F0A7B" w:rsidR="000A2D42">
        <w:rPr>
          <w:rFonts w:ascii="Arial" w:hAnsi="Arial" w:eastAsia="Times New Roman" w:cs="Arial"/>
          <w:b w:val="1"/>
          <w:bCs w:val="1"/>
          <w:sz w:val="28"/>
          <w:szCs w:val="28"/>
          <w:lang w:eastAsia="en-GB"/>
        </w:rPr>
        <w:t xml:space="preserve"> A Critical Evaluation of Digital Remote Monitoring in NHS Virtual Wards in England</w:t>
      </w:r>
    </w:p>
    <w:p w:rsidR="60AE2C6A" w:rsidP="361F0A7B" w:rsidRDefault="60AE2C6A" w14:paraId="5E89FE44" w14:textId="18097164">
      <w:pPr>
        <w:shd w:val="clear" w:color="auto" w:fill="FFFFFF" w:themeFill="background1"/>
        <w:spacing w:after="0" w:line="360" w:lineRule="auto"/>
        <w:ind w:left="0"/>
        <w:jc w:val="center"/>
        <w:rPr>
          <w:rFonts w:ascii="Arial" w:hAnsi="Arial" w:eastAsia="Arial" w:cs="Arial"/>
          <w:b w:val="1"/>
          <w:bCs w:val="1"/>
          <w:sz w:val="22"/>
          <w:szCs w:val="22"/>
        </w:rPr>
      </w:pPr>
    </w:p>
    <w:p w:rsidR="60AE2C6A" w:rsidP="361F0A7B" w:rsidRDefault="60AE2C6A" w14:paraId="0CA96563" w14:textId="4655FD9C">
      <w:pPr>
        <w:pStyle w:val="Normal"/>
        <w:shd w:val="clear" w:color="auto" w:fill="FFFFFF" w:themeFill="background1"/>
        <w:spacing w:after="0" w:line="360" w:lineRule="auto"/>
        <w:ind w:left="0"/>
        <w:jc w:val="left"/>
        <w:rPr>
          <w:rFonts w:ascii="Arial" w:hAnsi="Arial" w:eastAsia="Arial" w:cs="Arial"/>
          <w:b w:val="1"/>
          <w:bCs w:val="1"/>
          <w:sz w:val="22"/>
          <w:szCs w:val="22"/>
        </w:rPr>
      </w:pPr>
      <w:r w:rsidRPr="361F0A7B" w:rsidR="60AE2C6A">
        <w:rPr>
          <w:rFonts w:ascii="Arial" w:hAnsi="Arial" w:eastAsia="Arial" w:cs="Arial"/>
          <w:b w:val="1"/>
          <w:bCs w:val="1"/>
          <w:sz w:val="22"/>
          <w:szCs w:val="22"/>
        </w:rPr>
        <w:t>1. Introduction</w:t>
      </w:r>
    </w:p>
    <w:p w:rsidR="60AE2C6A" w:rsidP="517B3F3D" w:rsidRDefault="60AE2C6A" w14:paraId="71EEC298" w14:textId="3E207B0A">
      <w:pPr>
        <w:spacing w:after="140" w:line="360" w:lineRule="auto"/>
        <w:rPr>
          <w:rFonts w:ascii="Arial" w:hAnsi="Arial" w:eastAsia="Arial" w:cs="Arial"/>
          <w:sz w:val="22"/>
          <w:szCs w:val="22"/>
        </w:rPr>
      </w:pPr>
      <w:r w:rsidRPr="517B3F3D">
        <w:rPr>
          <w:rFonts w:ascii="Arial" w:hAnsi="Arial" w:eastAsia="Arial" w:cs="Arial"/>
          <w:sz w:val="22"/>
          <w:szCs w:val="22"/>
        </w:rPr>
        <w:t xml:space="preserve">Digital transformation is increasingly important in health and social care in England as rising demand and workforce pressures create a need for more flexible services. Digital innovation changes not only where care is delivered but also how professionals assess patients and coordinate treatment (Department of Health and Social Care and NHS England, 2022). An example is digital remote monitoring within NHS virtual wards, which expanded nationally from 2022. Selected patients receive hospital-level care at home, supported by clinical teams and, where appropriate, devices recording observations such as oxygen saturation, </w:t>
      </w:r>
      <w:r w:rsidRPr="517B3F3D" w:rsidR="6508C97F">
        <w:rPr>
          <w:rFonts w:ascii="Arial" w:hAnsi="Arial" w:eastAsia="Arial" w:cs="Arial"/>
          <w:sz w:val="22"/>
          <w:szCs w:val="22"/>
        </w:rPr>
        <w:t>pulse,</w:t>
      </w:r>
      <w:r w:rsidRPr="517B3F3D">
        <w:rPr>
          <w:rFonts w:ascii="Arial" w:hAnsi="Arial" w:eastAsia="Arial" w:cs="Arial"/>
          <w:sz w:val="22"/>
          <w:szCs w:val="22"/>
        </w:rPr>
        <w:t xml:space="preserve"> and blood pressure (NHS England, 2024a). However, virtual wards are not identical: some rely heavily on technology while others involve substantial in-person care. Therefore, benefits cannot automatically be attributed to monitoring devices alone (Shi et al., 2024).</w:t>
      </w:r>
    </w:p>
    <w:p w:rsidR="60AE2C6A" w:rsidP="517B3F3D" w:rsidRDefault="60AE2C6A" w14:paraId="75880D4D" w14:textId="5473CAD1">
      <w:pPr>
        <w:spacing w:after="140" w:line="360" w:lineRule="auto"/>
        <w:rPr>
          <w:rFonts w:ascii="Arial" w:hAnsi="Arial" w:eastAsia="Arial" w:cs="Arial"/>
          <w:sz w:val="22"/>
          <w:szCs w:val="22"/>
        </w:rPr>
      </w:pPr>
      <w:r w:rsidRPr="517B3F3D">
        <w:rPr>
          <w:rFonts w:ascii="Arial" w:hAnsi="Arial" w:eastAsia="Arial" w:cs="Arial"/>
          <w:sz w:val="22"/>
          <w:szCs w:val="22"/>
        </w:rPr>
        <w:t xml:space="preserve">This report adopts a thematic approach, critically evaluating digital remote monitoring through two lenses: service delivery and </w:t>
      </w:r>
      <w:r w:rsidRPr="517B3F3D" w:rsidR="583BC1E1">
        <w:rPr>
          <w:rFonts w:ascii="Arial" w:hAnsi="Arial" w:eastAsia="Arial" w:cs="Arial"/>
          <w:sz w:val="22"/>
          <w:szCs w:val="22"/>
        </w:rPr>
        <w:t>patient's</w:t>
      </w:r>
      <w:r w:rsidRPr="517B3F3D">
        <w:rPr>
          <w:rFonts w:ascii="Arial" w:hAnsi="Arial" w:eastAsia="Arial" w:cs="Arial"/>
          <w:sz w:val="22"/>
          <w:szCs w:val="22"/>
        </w:rPr>
        <w:t xml:space="preserve">/service users. It examines the available evidence, considering hospital capacity, care coordination, patient safety, </w:t>
      </w:r>
      <w:r w:rsidRPr="517B3F3D" w:rsidR="2CE85F4C">
        <w:rPr>
          <w:rFonts w:ascii="Arial" w:hAnsi="Arial" w:eastAsia="Arial" w:cs="Arial"/>
          <w:sz w:val="22"/>
          <w:szCs w:val="22"/>
        </w:rPr>
        <w:t>independence,</w:t>
      </w:r>
      <w:r w:rsidRPr="517B3F3D">
        <w:rPr>
          <w:rFonts w:ascii="Arial" w:hAnsi="Arial" w:eastAsia="Arial" w:cs="Arial"/>
          <w:sz w:val="22"/>
          <w:szCs w:val="22"/>
        </w:rPr>
        <w:t xml:space="preserve"> and digital exclusion. The evaluation identifies both the potential benefits and limitations of virtual wards to assess whether this innovation improves healthcare delivery and patient experiences.</w:t>
      </w:r>
    </w:p>
    <w:p w:rsidR="60AE2C6A" w:rsidP="517B3F3D" w:rsidRDefault="60AE2C6A" w14:paraId="2EB1C00A" w14:textId="42E703C5">
      <w:pPr>
        <w:spacing w:after="140" w:line="360" w:lineRule="auto"/>
        <w:rPr>
          <w:rFonts w:ascii="Arial" w:hAnsi="Arial" w:eastAsia="Arial" w:cs="Arial"/>
          <w:sz w:val="22"/>
          <w:szCs w:val="22"/>
        </w:rPr>
      </w:pPr>
      <w:r w:rsidRPr="517B3F3D">
        <w:rPr>
          <w:rFonts w:ascii="Arial" w:hAnsi="Arial" w:eastAsia="Arial" w:cs="Arial"/>
          <w:sz w:val="22"/>
          <w:szCs w:val="22"/>
        </w:rPr>
        <w:t xml:space="preserve"> </w:t>
      </w:r>
    </w:p>
    <w:p w:rsidR="60AE2C6A" w:rsidP="517B3F3D" w:rsidRDefault="60AE2C6A" w14:paraId="695427CB" w14:textId="6290A936">
      <w:pPr>
        <w:spacing w:after="140" w:line="360" w:lineRule="auto"/>
        <w:rPr>
          <w:rFonts w:ascii="Arial" w:hAnsi="Arial" w:eastAsia="Arial" w:cs="Arial"/>
          <w:b/>
          <w:bCs/>
          <w:sz w:val="22"/>
          <w:szCs w:val="22"/>
        </w:rPr>
      </w:pPr>
      <w:r w:rsidRPr="517B3F3D">
        <w:rPr>
          <w:rFonts w:ascii="Arial" w:hAnsi="Arial" w:eastAsia="Arial" w:cs="Arial"/>
          <w:b/>
          <w:bCs/>
          <w:sz w:val="22"/>
          <w:szCs w:val="22"/>
        </w:rPr>
        <w:t>2. Overview of Digital Remote Monitoring in NHS Virtual Wards</w:t>
      </w:r>
    </w:p>
    <w:p w:rsidR="60AE2C6A" w:rsidP="517B3F3D" w:rsidRDefault="60AE2C6A" w14:paraId="1220F67E" w14:textId="1F79CBD6">
      <w:pPr>
        <w:spacing w:after="140" w:line="360" w:lineRule="auto"/>
        <w:rPr>
          <w:rFonts w:ascii="Arial" w:hAnsi="Arial" w:eastAsia="Arial" w:cs="Arial"/>
          <w:sz w:val="22"/>
          <w:szCs w:val="22"/>
        </w:rPr>
      </w:pPr>
      <w:r w:rsidRPr="517B3F3D">
        <w:rPr>
          <w:rFonts w:ascii="Arial" w:hAnsi="Arial" w:eastAsia="Arial" w:cs="Arial"/>
          <w:sz w:val="22"/>
          <w:szCs w:val="22"/>
        </w:rPr>
        <w:t xml:space="preserve">Digital remote monitoring enables healthcare professionals to assess selected aspects of a patient's condition while they remain at home. Depending on the service, patients may submit observations through connected monitoring equipment or communicate their readings to clinical staff, who can identify changes and arrange further assessment or treatment when necessary (NHS England, 2024a). Virtual wards may support patients with respiratory conditions, heart </w:t>
      </w:r>
      <w:r w:rsidRPr="517B3F3D" w:rsidR="57D8E383">
        <w:rPr>
          <w:rFonts w:ascii="Arial" w:hAnsi="Arial" w:eastAsia="Arial" w:cs="Arial"/>
          <w:sz w:val="22"/>
          <w:szCs w:val="22"/>
        </w:rPr>
        <w:t>failure,</w:t>
      </w:r>
      <w:r w:rsidRPr="517B3F3D">
        <w:rPr>
          <w:rFonts w:ascii="Arial" w:hAnsi="Arial" w:eastAsia="Arial" w:cs="Arial"/>
          <w:sz w:val="22"/>
          <w:szCs w:val="22"/>
        </w:rPr>
        <w:t xml:space="preserve"> and frailty-related health problems, although eligibility depends on individual clinical assessment and the availability of appropriate professional support</w:t>
      </w:r>
      <w:r w:rsidRPr="517B3F3D" w:rsidR="61A3B9AF">
        <w:rPr>
          <w:rFonts w:ascii="Arial" w:hAnsi="Arial" w:eastAsia="Arial" w:cs="Arial"/>
          <w:sz w:val="22"/>
          <w:szCs w:val="22"/>
        </w:rPr>
        <w:t xml:space="preserve"> (NHS England, 2021). </w:t>
      </w:r>
      <w:r w:rsidRPr="517B3F3D">
        <w:rPr>
          <w:rFonts w:ascii="Arial" w:hAnsi="Arial" w:eastAsia="Arial" w:cs="Arial"/>
          <w:sz w:val="22"/>
          <w:szCs w:val="22"/>
        </w:rPr>
        <w:t>The purpose is to provide hospital-level care at home, potentially preventing admissions or supporting earlier discharge. However, virtual wards vary in their organisation, with some relying heavily on digital monitoring while others combine technology with home visits and multidisciplinary care (Shi et al., 2024).</w:t>
      </w:r>
    </w:p>
    <w:p w:rsidR="60AE2C6A" w:rsidP="517B3F3D" w:rsidRDefault="60AE2C6A" w14:paraId="04CE2215" w14:textId="37301589">
      <w:pPr>
        <w:spacing w:after="140" w:line="360" w:lineRule="auto"/>
        <w:rPr>
          <w:rFonts w:ascii="Arial" w:hAnsi="Arial" w:eastAsia="Arial" w:cs="Arial"/>
          <w:sz w:val="22"/>
          <w:szCs w:val="22"/>
        </w:rPr>
      </w:pPr>
      <w:r w:rsidRPr="517B3F3D">
        <w:rPr>
          <w:rFonts w:ascii="Arial" w:hAnsi="Arial" w:eastAsia="Arial" w:cs="Arial"/>
          <w:sz w:val="22"/>
          <w:szCs w:val="22"/>
        </w:rPr>
        <w:t xml:space="preserve">The development of virtual wards reflects national ambitions to improve digitally enabled healthcare and strengthen communication between services (Department of Health and Social Care and NHS England, 2022). Nevertheless, policy ambitions do not automatically demonstrate clinical effectiveness. Chappell et al. (2024) highlight differences in how virtual wards operate and limitations in the available national evidence. Therefore, measuring the number of virtual ward places or patients monitored does not necessarily establish whether hospital admissions, readmissions or complications have been reduced. A more meaningful evaluation must consider clinical outcomes, patient </w:t>
      </w:r>
      <w:r w:rsidRPr="517B3F3D" w:rsidR="1724AA97">
        <w:rPr>
          <w:rFonts w:ascii="Arial" w:hAnsi="Arial" w:eastAsia="Arial" w:cs="Arial"/>
          <w:sz w:val="22"/>
          <w:szCs w:val="22"/>
        </w:rPr>
        <w:t>experiences,</w:t>
      </w:r>
      <w:r w:rsidRPr="517B3F3D">
        <w:rPr>
          <w:rFonts w:ascii="Arial" w:hAnsi="Arial" w:eastAsia="Arial" w:cs="Arial"/>
          <w:sz w:val="22"/>
          <w:szCs w:val="22"/>
        </w:rPr>
        <w:t xml:space="preserve"> and the contribution of professional care alongside digital technology.</w:t>
      </w:r>
    </w:p>
    <w:p w:rsidR="60AE2C6A" w:rsidP="517B3F3D" w:rsidRDefault="60AE2C6A" w14:paraId="20257223" w14:textId="2A5F8562">
      <w:pPr>
        <w:spacing w:after="140" w:line="360" w:lineRule="auto"/>
      </w:pPr>
      <w:r w:rsidRPr="517B3F3D">
        <w:rPr>
          <w:rFonts w:ascii="Arial" w:hAnsi="Arial" w:eastAsia="Arial" w:cs="Arial"/>
          <w:sz w:val="22"/>
          <w:szCs w:val="22"/>
        </w:rPr>
        <w:t xml:space="preserve">An important distinction must also be made between virtual wards as a model of healthcare delivery and remote monitoring as one component of that model. Norman, </w:t>
      </w:r>
      <w:r w:rsidRPr="517B3F3D" w:rsidR="5F09F21E">
        <w:rPr>
          <w:rFonts w:ascii="Arial" w:hAnsi="Arial" w:eastAsia="Arial" w:cs="Arial"/>
          <w:sz w:val="22"/>
          <w:szCs w:val="22"/>
        </w:rPr>
        <w:t>Bennett,</w:t>
      </w:r>
      <w:r w:rsidRPr="517B3F3D">
        <w:rPr>
          <w:rFonts w:ascii="Arial" w:hAnsi="Arial" w:eastAsia="Arial" w:cs="Arial"/>
          <w:sz w:val="22"/>
          <w:szCs w:val="22"/>
        </w:rPr>
        <w:t xml:space="preserve"> and Vardy (2023) discuss how virtual wards and hospital-at-home services can involve different combinations of professional support and home-based treatment. Consequently, evidence demonstrating benefits from hospital-at-home services cannot automatically establish that remote monitoring devices independently improve clinical outcomes. This creates difficulties when comparing studies that use different definitions or service arrangements. Evaluations should therefore identify the type of monitoring equipment, level of professional involvement and characteristics of patients before drawing conclusions about effectiveness.</w:t>
      </w:r>
    </w:p>
    <w:p w:rsidR="517B3F3D" w:rsidP="517B3F3D" w:rsidRDefault="517B3F3D" w14:paraId="05B2648C" w14:textId="0F390315">
      <w:pPr>
        <w:spacing w:after="140" w:line="360" w:lineRule="auto"/>
        <w:rPr>
          <w:rFonts w:ascii="Arial" w:hAnsi="Arial" w:eastAsia="Arial" w:cs="Arial"/>
          <w:sz w:val="22"/>
          <w:szCs w:val="22"/>
        </w:rPr>
      </w:pPr>
    </w:p>
    <w:p w:rsidR="60AE2C6A" w:rsidP="517B3F3D" w:rsidRDefault="60AE2C6A" w14:paraId="00AADF6B" w14:textId="394C293E">
      <w:pPr>
        <w:spacing w:after="140" w:line="360" w:lineRule="auto"/>
      </w:pPr>
      <w:r w:rsidRPr="517B3F3D">
        <w:rPr>
          <w:rFonts w:ascii="Arial" w:hAnsi="Arial" w:eastAsia="Arial" w:cs="Arial"/>
          <w:sz w:val="22"/>
          <w:szCs w:val="22"/>
        </w:rPr>
        <w:t xml:space="preserve"> </w:t>
      </w:r>
      <w:r w:rsidRPr="517B3F3D">
        <w:rPr>
          <w:rFonts w:ascii="Arial" w:hAnsi="Arial" w:eastAsia="Arial" w:cs="Arial"/>
          <w:b/>
          <w:bCs/>
          <w:sz w:val="22"/>
          <w:szCs w:val="22"/>
        </w:rPr>
        <w:t>3. Service Delivery</w:t>
      </w:r>
    </w:p>
    <w:p w:rsidR="60AE2C6A" w:rsidP="517B3F3D" w:rsidRDefault="60AE2C6A" w14:paraId="002F78DE" w14:textId="65000273">
      <w:pPr>
        <w:spacing w:after="140" w:line="360" w:lineRule="auto"/>
      </w:pPr>
      <w:r w:rsidRPr="517B3F3D">
        <w:rPr>
          <w:rFonts w:ascii="Arial" w:hAnsi="Arial" w:eastAsia="Arial" w:cs="Arial"/>
          <w:b/>
          <w:bCs/>
          <w:sz w:val="22"/>
          <w:szCs w:val="22"/>
        </w:rPr>
        <w:t>3.1 Hospital Capacity and Service Efficiency</w:t>
      </w:r>
    </w:p>
    <w:p w:rsidR="60AE2C6A" w:rsidP="517B3F3D" w:rsidRDefault="60AE2C6A" w14:paraId="63CB13CE" w14:textId="69067264">
      <w:pPr>
        <w:spacing w:after="140" w:line="360" w:lineRule="auto"/>
        <w:rPr>
          <w:rFonts w:ascii="Arial" w:hAnsi="Arial" w:eastAsia="Arial" w:cs="Arial"/>
          <w:sz w:val="22"/>
          <w:szCs w:val="22"/>
        </w:rPr>
      </w:pPr>
      <w:r w:rsidRPr="517B3F3D">
        <w:rPr>
          <w:rFonts w:ascii="Arial" w:hAnsi="Arial" w:eastAsia="Arial" w:cs="Arial"/>
          <w:sz w:val="22"/>
          <w:szCs w:val="22"/>
        </w:rPr>
        <w:t xml:space="preserve">Digital remote monitoring may improve hospital capacity by allowing clinically suitable patients to receive care at home, potentially reducing avoidable </w:t>
      </w:r>
      <w:r w:rsidRPr="517B3F3D" w:rsidR="711573FF">
        <w:rPr>
          <w:rFonts w:ascii="Arial" w:hAnsi="Arial" w:eastAsia="Arial" w:cs="Arial"/>
          <w:sz w:val="22"/>
          <w:szCs w:val="22"/>
        </w:rPr>
        <w:t>admissions,</w:t>
      </w:r>
      <w:r w:rsidRPr="517B3F3D">
        <w:rPr>
          <w:rFonts w:ascii="Arial" w:hAnsi="Arial" w:eastAsia="Arial" w:cs="Arial"/>
          <w:sz w:val="22"/>
          <w:szCs w:val="22"/>
        </w:rPr>
        <w:t xml:space="preserve"> and supporting earlier discharge. NHS England (2024b) reported an evaluation of 29 virtual ward pathways in </w:t>
      </w:r>
      <w:r w:rsidRPr="517B3F3D" w:rsidR="708245C2">
        <w:rPr>
          <w:rFonts w:ascii="Arial" w:hAnsi="Arial" w:eastAsia="Arial" w:cs="Arial"/>
          <w:sz w:val="22"/>
          <w:szCs w:val="22"/>
        </w:rPr>
        <w:t>Southeast</w:t>
      </w:r>
      <w:r w:rsidRPr="517B3F3D">
        <w:rPr>
          <w:rFonts w:ascii="Arial" w:hAnsi="Arial" w:eastAsia="Arial" w:cs="Arial"/>
          <w:sz w:val="22"/>
          <w:szCs w:val="22"/>
        </w:rPr>
        <w:t xml:space="preserve"> England, estimating </w:t>
      </w:r>
      <w:r w:rsidRPr="517B3F3D" w:rsidR="56A5F5AA">
        <w:rPr>
          <w:rFonts w:ascii="Arial" w:hAnsi="Arial" w:eastAsia="Arial" w:cs="Arial"/>
          <w:sz w:val="22"/>
          <w:szCs w:val="22"/>
        </w:rPr>
        <w:t>9,165</w:t>
      </w:r>
      <w:r w:rsidRPr="517B3F3D">
        <w:rPr>
          <w:rFonts w:ascii="Arial" w:hAnsi="Arial" w:eastAsia="Arial" w:cs="Arial"/>
          <w:sz w:val="22"/>
          <w:szCs w:val="22"/>
        </w:rPr>
        <w:t xml:space="preserve"> avoided non-elective admissions annually. The evaluation also projected gross benefits of £24.5 million against costs of £14.2 million. Although these findings suggest potential financial and operational advantages, the avoided admissions were estimated rather than directly observed. Furthermore, the findings may not apply equally to NHS organisations with different staffing levels, patient </w:t>
      </w:r>
      <w:r w:rsidRPr="517B3F3D" w:rsidR="48B9E261">
        <w:rPr>
          <w:rFonts w:ascii="Arial" w:hAnsi="Arial" w:eastAsia="Arial" w:cs="Arial"/>
          <w:sz w:val="22"/>
          <w:szCs w:val="22"/>
        </w:rPr>
        <w:t>populations,</w:t>
      </w:r>
      <w:r w:rsidRPr="517B3F3D">
        <w:rPr>
          <w:rFonts w:ascii="Arial" w:hAnsi="Arial" w:eastAsia="Arial" w:cs="Arial"/>
          <w:sz w:val="22"/>
          <w:szCs w:val="22"/>
        </w:rPr>
        <w:t xml:space="preserve"> or community resources. Chappell et al. (2024) highlight limitations in national evidence, suggesting that increased virtual ward capacity should not automatically be interpreted as a reduction in hospital demand.</w:t>
      </w:r>
      <w:r w:rsidRPr="517B3F3D" w:rsidR="775BDC39">
        <w:rPr>
          <w:rFonts w:ascii="Arial" w:hAnsi="Arial" w:eastAsia="Arial" w:cs="Arial"/>
          <w:sz w:val="22"/>
          <w:szCs w:val="22"/>
        </w:rPr>
        <w:t xml:space="preserve"> </w:t>
      </w:r>
      <w:r w:rsidRPr="517B3F3D">
        <w:rPr>
          <w:rFonts w:ascii="Arial" w:hAnsi="Arial" w:eastAsia="Arial" w:cs="Arial"/>
          <w:sz w:val="22"/>
          <w:szCs w:val="22"/>
        </w:rPr>
        <w:t xml:space="preserve">Financial efficiency also depends on the full cost of providing treatment outside hospital. Remote monitoring equipment, technical support, community </w:t>
      </w:r>
      <w:r w:rsidRPr="517B3F3D" w:rsidR="2801D358">
        <w:rPr>
          <w:rFonts w:ascii="Arial" w:hAnsi="Arial" w:eastAsia="Arial" w:cs="Arial"/>
          <w:sz w:val="22"/>
          <w:szCs w:val="22"/>
        </w:rPr>
        <w:t>nursing,</w:t>
      </w:r>
      <w:r w:rsidRPr="517B3F3D">
        <w:rPr>
          <w:rFonts w:ascii="Arial" w:hAnsi="Arial" w:eastAsia="Arial" w:cs="Arial"/>
          <w:sz w:val="22"/>
          <w:szCs w:val="22"/>
        </w:rPr>
        <w:t xml:space="preserve"> and emergency responses all require resources. Co (2024) raises questions about whether virtual wards can demonstrate cost-effectiveness without stronger evidence of their outcomes and resource requirements. Although virtual wards may reduce pressure on hospital beds, they can transfer responsibilities to community healthcare professionals rather than eliminate workload. Therefore, NHS organisations should compare virtual ward outcomes with usual hospital care and evaluate total service costs before assuming that expanding remote monitoring will produce sustainable savings.</w:t>
      </w:r>
    </w:p>
    <w:p w:rsidR="60AE2C6A" w:rsidP="517B3F3D" w:rsidRDefault="60AE2C6A" w14:paraId="46D48CCB" w14:textId="0288AE5B">
      <w:pPr>
        <w:pStyle w:val="Heading2"/>
        <w:spacing w:before="200" w:after="0" w:line="360" w:lineRule="auto"/>
        <w:rPr>
          <w:rFonts w:ascii="Arial" w:hAnsi="Arial" w:eastAsia="Arial" w:cs="Arial"/>
          <w:b/>
          <w:bCs/>
          <w:color w:val="auto"/>
          <w:sz w:val="22"/>
          <w:szCs w:val="22"/>
        </w:rPr>
      </w:pPr>
      <w:r w:rsidRPr="517B3F3D">
        <w:rPr>
          <w:rFonts w:ascii="Arial" w:hAnsi="Arial" w:eastAsia="Arial" w:cs="Arial"/>
          <w:b/>
          <w:bCs/>
          <w:color w:val="auto"/>
          <w:sz w:val="22"/>
          <w:szCs w:val="22"/>
        </w:rPr>
        <w:t xml:space="preserve"> </w:t>
      </w:r>
    </w:p>
    <w:p w:rsidR="60AE2C6A" w:rsidP="517B3F3D" w:rsidRDefault="60AE2C6A" w14:paraId="4D5ECF4A" w14:textId="5AE7F0E3">
      <w:pPr>
        <w:pStyle w:val="Heading2"/>
        <w:spacing w:before="200" w:after="0" w:line="360" w:lineRule="auto"/>
        <w:rPr>
          <w:rFonts w:ascii="Arial" w:hAnsi="Arial" w:eastAsia="Arial" w:cs="Arial"/>
          <w:b/>
          <w:bCs/>
          <w:color w:val="auto"/>
          <w:sz w:val="22"/>
          <w:szCs w:val="22"/>
        </w:rPr>
      </w:pPr>
      <w:r w:rsidRPr="517B3F3D">
        <w:rPr>
          <w:rFonts w:ascii="Arial" w:hAnsi="Arial" w:eastAsia="Arial" w:cs="Arial"/>
          <w:b/>
          <w:bCs/>
          <w:color w:val="auto"/>
          <w:sz w:val="22"/>
          <w:szCs w:val="22"/>
        </w:rPr>
        <w:t>3.2 Coordination and Clinical Safety</w:t>
      </w:r>
    </w:p>
    <w:p w:rsidR="60AE2C6A" w:rsidP="517B3F3D" w:rsidRDefault="60AE2C6A" w14:paraId="41A12C10" w14:textId="1473C115">
      <w:pPr>
        <w:spacing w:after="140" w:line="360" w:lineRule="auto"/>
        <w:rPr>
          <w:rFonts w:ascii="Arial" w:hAnsi="Arial" w:eastAsia="Arial" w:cs="Arial"/>
          <w:sz w:val="22"/>
          <w:szCs w:val="22"/>
        </w:rPr>
      </w:pPr>
      <w:r w:rsidRPr="517B3F3D">
        <w:rPr>
          <w:rFonts w:ascii="Arial" w:hAnsi="Arial" w:eastAsia="Arial" w:cs="Arial"/>
          <w:sz w:val="22"/>
          <w:szCs w:val="22"/>
        </w:rPr>
        <w:t xml:space="preserve">Remote observations can support continuity of care when hospital clinicians and community professionals have timely access to reliable information. NHS England (2024a) stresses that virtual ward patients also need appropriate diagnostic services; monitoring alone cannot deliver a complete assessment. Shared records and agreed escalation pathways may help staff recognise deterioration and coordinate interventions. However, systems that do not exchange information effectively can lead to duplicate documentation or delays. Furthermore, readings require clinical interpretation: collecting more data has little value if teams cannot review alerts promptly. Thus, digital coordination depends on staffing, </w:t>
      </w:r>
      <w:r w:rsidRPr="517B3F3D" w:rsidR="2B52CA3C">
        <w:rPr>
          <w:rFonts w:ascii="Arial" w:hAnsi="Arial" w:eastAsia="Arial" w:cs="Arial"/>
          <w:sz w:val="22"/>
          <w:szCs w:val="22"/>
        </w:rPr>
        <w:t>interoperability,</w:t>
      </w:r>
      <w:r w:rsidRPr="517B3F3D">
        <w:rPr>
          <w:rFonts w:ascii="Arial" w:hAnsi="Arial" w:eastAsia="Arial" w:cs="Arial"/>
          <w:sz w:val="22"/>
          <w:szCs w:val="22"/>
        </w:rPr>
        <w:t xml:space="preserve"> and clear accountability, not merely on the presence of connected devices.</w:t>
      </w:r>
    </w:p>
    <w:p w:rsidR="60AE2C6A" w:rsidP="517B3F3D" w:rsidRDefault="60AE2C6A" w14:paraId="7BB0DAE8" w14:textId="04F297CA">
      <w:pPr>
        <w:spacing w:after="140" w:line="360" w:lineRule="auto"/>
        <w:rPr>
          <w:rFonts w:ascii="Arial" w:hAnsi="Arial" w:eastAsia="Arial" w:cs="Arial"/>
          <w:sz w:val="22"/>
          <w:szCs w:val="22"/>
        </w:rPr>
      </w:pPr>
      <w:r w:rsidRPr="517B3F3D">
        <w:rPr>
          <w:rFonts w:ascii="Arial" w:hAnsi="Arial" w:eastAsia="Arial" w:cs="Arial"/>
          <w:sz w:val="22"/>
          <w:szCs w:val="22"/>
        </w:rPr>
        <w:t xml:space="preserve">The evidence on clinical outcomes is promising but uncertain. Shi et al. (2024), in a systematic review and meta-analysis of inpatient-level care at home, reported that some models achieved comparable or reduced readmissions relative to inpatient care, although certainty varied and the additional contribution of technology was unclear. This is a significant limitation for an assignment specifically evaluating digital monitoring: positive results may reflect nursing visits, </w:t>
      </w:r>
      <w:r w:rsidRPr="517B3F3D" w:rsidR="0F1B16F3">
        <w:rPr>
          <w:rFonts w:ascii="Arial" w:hAnsi="Arial" w:eastAsia="Arial" w:cs="Arial"/>
          <w:sz w:val="22"/>
          <w:szCs w:val="22"/>
        </w:rPr>
        <w:t>medicines,</w:t>
      </w:r>
      <w:r w:rsidRPr="517B3F3D">
        <w:rPr>
          <w:rFonts w:ascii="Arial" w:hAnsi="Arial" w:eastAsia="Arial" w:cs="Arial"/>
          <w:sz w:val="22"/>
          <w:szCs w:val="22"/>
        </w:rPr>
        <w:t xml:space="preserve"> and multidisciplinary treatment rather than devices. Equipment malfunction, inaccurate </w:t>
      </w:r>
      <w:r w:rsidRPr="517B3F3D" w:rsidR="2DE880A8">
        <w:rPr>
          <w:rFonts w:ascii="Arial" w:hAnsi="Arial" w:eastAsia="Arial" w:cs="Arial"/>
          <w:sz w:val="22"/>
          <w:szCs w:val="22"/>
        </w:rPr>
        <w:t>readings,</w:t>
      </w:r>
      <w:r w:rsidRPr="517B3F3D">
        <w:rPr>
          <w:rFonts w:ascii="Arial" w:hAnsi="Arial" w:eastAsia="Arial" w:cs="Arial"/>
          <w:sz w:val="22"/>
          <w:szCs w:val="22"/>
        </w:rPr>
        <w:t xml:space="preserve"> and connectivity interruptions also present risks. Regulation 12 requires providers to assess and mitigate risks to safe care (Care Quality Commission, 2024). Remote monitoring should therefore complement clinical judgement and rapid in-person assessment when necessary.</w:t>
      </w:r>
    </w:p>
    <w:p w:rsidR="60AE2C6A" w:rsidP="517B3F3D" w:rsidRDefault="60AE2C6A" w14:paraId="7284CEDD" w14:textId="1A3299BA">
      <w:pPr>
        <w:spacing w:after="140" w:line="360" w:lineRule="auto"/>
        <w:rPr>
          <w:rFonts w:ascii="Arial" w:hAnsi="Arial" w:eastAsia="Arial" w:cs="Arial"/>
          <w:sz w:val="22"/>
          <w:szCs w:val="22"/>
        </w:rPr>
      </w:pPr>
      <w:r w:rsidRPr="517B3F3D">
        <w:rPr>
          <w:rFonts w:ascii="Arial" w:hAnsi="Arial" w:eastAsia="Arial" w:cs="Arial"/>
          <w:sz w:val="22"/>
          <w:szCs w:val="22"/>
        </w:rPr>
        <w:t>The strength of the research also matters. Shi et al. (2024) included randomised and non-randomised studies, increasing the range of evidence but introducing variation in reliability. The authors reported that non-randomised evidence was more vulnerable to bias, while many estimates from trials remained uncertain. Importantly, the review compared complex home-care packages, not remote monitoring alone. This means a favourable readmission outcome cannot be attributed confidently to the digital component. NHS organisations should therefore collect comparable outcomes for patients using different monitoring arrangements rather than treating all virtual ward models as interchangeable.</w:t>
      </w:r>
    </w:p>
    <w:p w:rsidR="60AE2C6A" w:rsidP="517B3F3D" w:rsidRDefault="60AE2C6A" w14:paraId="3F01E32D" w14:textId="31B2A903">
      <w:pPr>
        <w:pStyle w:val="Heading1"/>
        <w:spacing w:before="480" w:after="0" w:line="360" w:lineRule="auto"/>
        <w:rPr>
          <w:rFonts w:ascii="Arial" w:hAnsi="Arial" w:eastAsia="Arial" w:cs="Arial"/>
          <w:b/>
          <w:bCs/>
          <w:color w:val="auto"/>
          <w:sz w:val="22"/>
          <w:szCs w:val="22"/>
        </w:rPr>
      </w:pPr>
      <w:r w:rsidRPr="517B3F3D">
        <w:rPr>
          <w:rFonts w:ascii="Arial" w:hAnsi="Arial" w:eastAsia="Arial" w:cs="Arial"/>
          <w:b/>
          <w:bCs/>
          <w:color w:val="auto"/>
          <w:sz w:val="22"/>
          <w:szCs w:val="22"/>
        </w:rPr>
        <w:t>4. Patients and Service Users</w:t>
      </w:r>
    </w:p>
    <w:p w:rsidR="60AE2C6A" w:rsidP="517B3F3D" w:rsidRDefault="60AE2C6A" w14:paraId="709BB2AA" w14:textId="785CBD5F">
      <w:pPr>
        <w:pStyle w:val="Heading2"/>
        <w:spacing w:before="200" w:after="0" w:line="360" w:lineRule="auto"/>
        <w:rPr>
          <w:rFonts w:ascii="Arial" w:hAnsi="Arial" w:eastAsia="Arial" w:cs="Arial"/>
          <w:b/>
          <w:bCs/>
          <w:color w:val="auto"/>
          <w:sz w:val="22"/>
          <w:szCs w:val="22"/>
        </w:rPr>
      </w:pPr>
      <w:r w:rsidRPr="517B3F3D">
        <w:rPr>
          <w:rFonts w:ascii="Arial" w:hAnsi="Arial" w:eastAsia="Arial" w:cs="Arial"/>
          <w:b/>
          <w:bCs/>
          <w:color w:val="auto"/>
          <w:sz w:val="22"/>
          <w:szCs w:val="22"/>
        </w:rPr>
        <w:t>4.1 Independence and Informed Participation</w:t>
      </w:r>
    </w:p>
    <w:p w:rsidR="60AE2C6A" w:rsidP="517B3F3D" w:rsidRDefault="60AE2C6A" w14:paraId="4E824590" w14:textId="3CD41DA4">
      <w:pPr>
        <w:spacing w:after="140" w:line="360" w:lineRule="auto"/>
        <w:rPr>
          <w:rFonts w:ascii="Arial" w:hAnsi="Arial" w:eastAsia="Arial" w:cs="Arial"/>
          <w:sz w:val="22"/>
          <w:szCs w:val="22"/>
        </w:rPr>
      </w:pPr>
      <w:r w:rsidRPr="517B3F3D">
        <w:rPr>
          <w:rFonts w:ascii="Arial" w:hAnsi="Arial" w:eastAsia="Arial" w:cs="Arial"/>
          <w:sz w:val="22"/>
          <w:szCs w:val="22"/>
        </w:rPr>
        <w:t xml:space="preserve">For suitable patients, receiving hospital-level care at home may preserve routines, family </w:t>
      </w:r>
      <w:r w:rsidRPr="517B3F3D" w:rsidR="36789F5D">
        <w:rPr>
          <w:rFonts w:ascii="Arial" w:hAnsi="Arial" w:eastAsia="Arial" w:cs="Arial"/>
          <w:sz w:val="22"/>
          <w:szCs w:val="22"/>
        </w:rPr>
        <w:t>contact,</w:t>
      </w:r>
      <w:r w:rsidRPr="517B3F3D">
        <w:rPr>
          <w:rFonts w:ascii="Arial" w:hAnsi="Arial" w:eastAsia="Arial" w:cs="Arial"/>
          <w:sz w:val="22"/>
          <w:szCs w:val="22"/>
        </w:rPr>
        <w:t xml:space="preserve"> and independence. Recording observations can also encourage participation in care, consistent with NICE (2021) guidance on shared decision-making. However, being at home is not necessarily a benefit for everyone: some people may prefer immediate access to ward staff or feel anxious about managing equipment. The value of virtual wards therefore depends on individual preferences, health </w:t>
      </w:r>
      <w:r w:rsidRPr="517B3F3D" w:rsidR="1F537825">
        <w:rPr>
          <w:rFonts w:ascii="Arial" w:hAnsi="Arial" w:eastAsia="Arial" w:cs="Arial"/>
          <w:sz w:val="22"/>
          <w:szCs w:val="22"/>
        </w:rPr>
        <w:t>status,</w:t>
      </w:r>
      <w:r w:rsidRPr="517B3F3D">
        <w:rPr>
          <w:rFonts w:ascii="Arial" w:hAnsi="Arial" w:eastAsia="Arial" w:cs="Arial"/>
          <w:sz w:val="22"/>
          <w:szCs w:val="22"/>
        </w:rPr>
        <w:t xml:space="preserve"> and practical circumstances. NHS England (2024c) emphasises personalised care planning, supporting the view that patients should understand why home treatment is appropriate and what professional support remains available.</w:t>
      </w:r>
    </w:p>
    <w:p w:rsidR="60AE2C6A" w:rsidP="517B3F3D" w:rsidRDefault="60AE2C6A" w14:paraId="440E2234" w14:textId="0A596CA5">
      <w:pPr>
        <w:spacing w:after="140" w:line="360" w:lineRule="auto"/>
        <w:rPr>
          <w:rFonts w:ascii="Arial" w:hAnsi="Arial" w:eastAsia="Arial" w:cs="Arial"/>
          <w:sz w:val="22"/>
          <w:szCs w:val="22"/>
        </w:rPr>
      </w:pPr>
      <w:r w:rsidRPr="517B3F3D">
        <w:rPr>
          <w:rFonts w:ascii="Arial" w:hAnsi="Arial" w:eastAsia="Arial" w:cs="Arial"/>
          <w:sz w:val="22"/>
          <w:szCs w:val="22"/>
        </w:rPr>
        <w:t xml:space="preserve">Patient participation must not be confused with transferring clinical responsibility. Family members may assist with measurements or equipment, but this can introduce unpaid work and anxiety, particularly where relatives have little training. Evidence reviewed by Norman, Bennett and Vardy (2023) shows that virtual ward models and experiences vary, so assumptions about universal patient preference are unsafe. People living alone may also need additional practical support. Assessments should therefore consider the home environment and availability of carers while ensuring that professional teams retain responsibility for monitoring, </w:t>
      </w:r>
      <w:r w:rsidRPr="517B3F3D" w:rsidR="41459221">
        <w:rPr>
          <w:rFonts w:ascii="Arial" w:hAnsi="Arial" w:eastAsia="Arial" w:cs="Arial"/>
          <w:sz w:val="22"/>
          <w:szCs w:val="22"/>
        </w:rPr>
        <w:t>interpretation,</w:t>
      </w:r>
      <w:r w:rsidRPr="517B3F3D">
        <w:rPr>
          <w:rFonts w:ascii="Arial" w:hAnsi="Arial" w:eastAsia="Arial" w:cs="Arial"/>
          <w:sz w:val="22"/>
          <w:szCs w:val="22"/>
        </w:rPr>
        <w:t xml:space="preserve"> and escalation.</w:t>
      </w:r>
    </w:p>
    <w:p w:rsidR="60AE2C6A" w:rsidP="517B3F3D" w:rsidRDefault="60AE2C6A" w14:paraId="29C8FB1A" w14:textId="5EA58144">
      <w:pPr>
        <w:spacing w:after="140" w:line="360" w:lineRule="auto"/>
        <w:rPr>
          <w:rFonts w:ascii="Arial" w:hAnsi="Arial" w:eastAsia="Arial" w:cs="Arial"/>
          <w:sz w:val="22"/>
          <w:szCs w:val="22"/>
        </w:rPr>
      </w:pPr>
      <w:r w:rsidRPr="517B3F3D">
        <w:rPr>
          <w:rFonts w:ascii="Arial" w:hAnsi="Arial" w:eastAsia="Arial" w:cs="Arial"/>
          <w:sz w:val="22"/>
          <w:szCs w:val="22"/>
        </w:rPr>
        <w:t xml:space="preserve">The evidence on carers is especially limited. Norman, </w:t>
      </w:r>
      <w:r w:rsidRPr="517B3F3D" w:rsidR="21C92688">
        <w:rPr>
          <w:rFonts w:ascii="Arial" w:hAnsi="Arial" w:eastAsia="Arial" w:cs="Arial"/>
          <w:sz w:val="22"/>
          <w:szCs w:val="22"/>
        </w:rPr>
        <w:t>Bennett,</w:t>
      </w:r>
      <w:r w:rsidRPr="517B3F3D">
        <w:rPr>
          <w:rFonts w:ascii="Arial" w:hAnsi="Arial" w:eastAsia="Arial" w:cs="Arial"/>
          <w:sz w:val="22"/>
          <w:szCs w:val="22"/>
        </w:rPr>
        <w:t xml:space="preserve"> and Vardy (2023) found that existing reviews provided little robust information about the costs and experiences of family carers. This weakens claims that home-based care is necessarily less burdensome than hospital treatment. For example, a family may save travel time but take on frequent observation checks or worry about recognising deterioration. These effects are likely to vary with the patient's needs and the availability of professional support. Patient satisfaction should therefore be assessed alongside carer experience, rather than being used as a substitute for it.</w:t>
      </w:r>
    </w:p>
    <w:p w:rsidR="60AE2C6A" w:rsidP="517B3F3D" w:rsidRDefault="60AE2C6A" w14:paraId="271C4E5A" w14:textId="3DDECB8F">
      <w:pPr>
        <w:pStyle w:val="Heading2"/>
        <w:spacing w:before="200" w:after="0" w:line="360" w:lineRule="auto"/>
        <w:rPr>
          <w:rFonts w:ascii="Arial" w:hAnsi="Arial" w:eastAsia="Arial" w:cs="Arial"/>
          <w:b/>
          <w:bCs/>
          <w:color w:val="auto"/>
          <w:sz w:val="22"/>
          <w:szCs w:val="22"/>
        </w:rPr>
      </w:pPr>
      <w:r w:rsidRPr="517B3F3D">
        <w:rPr>
          <w:rFonts w:ascii="Arial" w:hAnsi="Arial" w:eastAsia="Arial" w:cs="Arial"/>
          <w:b/>
          <w:bCs/>
          <w:color w:val="auto"/>
          <w:sz w:val="22"/>
          <w:szCs w:val="22"/>
        </w:rPr>
        <w:t>4.2 Patient Safety and Reassurance</w:t>
      </w:r>
    </w:p>
    <w:p w:rsidR="60AE2C6A" w:rsidP="517B3F3D" w:rsidRDefault="60AE2C6A" w14:paraId="0E3B01BE" w14:textId="7C6B1B82">
      <w:pPr>
        <w:spacing w:after="140" w:line="360" w:lineRule="auto"/>
      </w:pPr>
      <w:r w:rsidRPr="517B3F3D">
        <w:rPr>
          <w:rFonts w:ascii="Arial" w:hAnsi="Arial" w:eastAsia="Arial" w:cs="Arial"/>
          <w:sz w:val="22"/>
          <w:szCs w:val="22"/>
        </w:rPr>
        <w:t xml:space="preserve">Knowing that clinicians review observations may reassure some patients and allow earlier recognition of deterioration. Nevertheless, monitoring devices capture only selected measurements and may not detect changes in pain, </w:t>
      </w:r>
      <w:r w:rsidRPr="517B3F3D" w:rsidR="7FDE390C">
        <w:rPr>
          <w:rFonts w:ascii="Arial" w:hAnsi="Arial" w:eastAsia="Arial" w:cs="Arial"/>
          <w:sz w:val="22"/>
          <w:szCs w:val="22"/>
        </w:rPr>
        <w:t>confusion,</w:t>
      </w:r>
      <w:r w:rsidRPr="517B3F3D">
        <w:rPr>
          <w:rFonts w:ascii="Arial" w:hAnsi="Arial" w:eastAsia="Arial" w:cs="Arial"/>
          <w:sz w:val="22"/>
          <w:szCs w:val="22"/>
        </w:rPr>
        <w:t xml:space="preserve"> or overall wellbeing. Patients may also misunderstand whether readings are monitored continuously and delay seeking urgent help. Shi et al. (2024) caution against treating technologically enabled home care as one uniform intervention, because effectiveness depends on the whole care model. Therefore, safe participation requires clear instructions on recording observations, what happens when a reading is missed and whom to contact when symptoms worsen. These safeguards are consistent with the Care Quality Commission (2024) emphasis on risk assessment and safe treatment.</w:t>
      </w:r>
    </w:p>
    <w:p w:rsidR="517B3F3D" w:rsidP="517B3F3D" w:rsidRDefault="517B3F3D" w14:paraId="628CB2FB" w14:textId="5721D8A1">
      <w:pPr>
        <w:spacing w:after="140" w:line="360" w:lineRule="auto"/>
        <w:rPr>
          <w:rFonts w:ascii="Arial" w:hAnsi="Arial" w:eastAsia="Arial" w:cs="Arial"/>
          <w:sz w:val="22"/>
          <w:szCs w:val="22"/>
        </w:rPr>
      </w:pPr>
    </w:p>
    <w:p w:rsidR="60AE2C6A" w:rsidP="517B3F3D" w:rsidRDefault="60AE2C6A" w14:paraId="4921EC79" w14:textId="504F177F">
      <w:pPr>
        <w:spacing w:after="140" w:line="360" w:lineRule="auto"/>
        <w:rPr>
          <w:rFonts w:ascii="Arial" w:hAnsi="Arial" w:eastAsia="Arial" w:cs="Arial"/>
          <w:b/>
          <w:bCs/>
          <w:sz w:val="22"/>
          <w:szCs w:val="22"/>
        </w:rPr>
      </w:pPr>
      <w:r w:rsidRPr="517B3F3D">
        <w:rPr>
          <w:rFonts w:ascii="Arial" w:hAnsi="Arial" w:eastAsia="Arial" w:cs="Arial"/>
          <w:b/>
          <w:bCs/>
          <w:sz w:val="22"/>
          <w:szCs w:val="22"/>
        </w:rPr>
        <w:t>4.3 Digital Exclusion and Health Inequalities</w:t>
      </w:r>
    </w:p>
    <w:p w:rsidR="60AE2C6A" w:rsidP="517B3F3D" w:rsidRDefault="60AE2C6A" w14:paraId="08D84126" w14:textId="2F516EB1">
      <w:pPr>
        <w:spacing w:after="140" w:line="360" w:lineRule="auto"/>
        <w:rPr>
          <w:rFonts w:ascii="Arial" w:hAnsi="Arial" w:eastAsia="Arial" w:cs="Arial"/>
          <w:sz w:val="22"/>
          <w:szCs w:val="22"/>
        </w:rPr>
      </w:pPr>
      <w:r w:rsidRPr="517B3F3D">
        <w:rPr>
          <w:rFonts w:ascii="Arial" w:hAnsi="Arial" w:eastAsia="Arial" w:cs="Arial"/>
          <w:sz w:val="22"/>
          <w:szCs w:val="22"/>
        </w:rPr>
        <w:t>Digital exclusion is a significant challenge for NHS virtual wards because patients may not have equal opportunities to access or use remote monitoring technology. NHS England (2023b) identifies limited digital skills, internet access and accessibility barriers as factors that can prevent individuals from benefiting from digital healthcare. This is particularly concerning for patients who already experience health inequalities, as technology-based services may create additional difficulties rather than improve access to treatment. Although providing monitoring equipment may reduce some practical barriers, it does not necessarily ensure that patients can use the technology independently. Individuals with disabilities, language difficulties or limited digital confidence may require additional support. Under the Equality Act 2010, healthcare providers have responsibilities to make reasonable adjustments for disabled patients (Great Britain, 2010). However, these adjustments may not overcome every difficulty, particularly where patients require ongoing assistance. Therefore, virtual ward services should assess patients' individual circumstances before introducing remote monitoring and provide suitable alternatives when digital participation is not appropriate. Without these measures, virtual wards risk reinforcing existing inequalities instead of delivering equitable, person-centred care.</w:t>
      </w:r>
    </w:p>
    <w:p w:rsidR="60AE2C6A" w:rsidP="517B3F3D" w:rsidRDefault="60AE2C6A" w14:paraId="5A8AC27F" w14:textId="5F927291">
      <w:pPr>
        <w:spacing w:after="140" w:line="360" w:lineRule="auto"/>
        <w:rPr>
          <w:rFonts w:ascii="Arial" w:hAnsi="Arial" w:eastAsia="Arial" w:cs="Arial"/>
          <w:sz w:val="22"/>
          <w:szCs w:val="22"/>
        </w:rPr>
      </w:pPr>
      <w:r w:rsidRPr="517B3F3D">
        <w:rPr>
          <w:rFonts w:ascii="Arial" w:hAnsi="Arial" w:eastAsia="Arial" w:cs="Arial"/>
          <w:sz w:val="22"/>
          <w:szCs w:val="22"/>
        </w:rPr>
        <w:t xml:space="preserve"> </w:t>
      </w:r>
    </w:p>
    <w:p w:rsidR="60AE2C6A" w:rsidP="517B3F3D" w:rsidRDefault="60AE2C6A" w14:paraId="417BB6EE" w14:textId="35C05728">
      <w:pPr>
        <w:pStyle w:val="Heading2"/>
        <w:spacing w:before="200" w:after="0" w:line="360" w:lineRule="auto"/>
        <w:rPr>
          <w:rFonts w:ascii="Arial" w:hAnsi="Arial" w:eastAsia="Arial" w:cs="Arial"/>
          <w:b/>
          <w:bCs/>
          <w:color w:val="auto"/>
          <w:sz w:val="22"/>
          <w:szCs w:val="22"/>
        </w:rPr>
      </w:pPr>
      <w:r w:rsidRPr="517B3F3D">
        <w:rPr>
          <w:rFonts w:ascii="Arial" w:hAnsi="Arial" w:eastAsia="Arial" w:cs="Arial"/>
          <w:b/>
          <w:bCs/>
          <w:color w:val="auto"/>
          <w:sz w:val="22"/>
          <w:szCs w:val="22"/>
        </w:rPr>
        <w:t>4.4 Privacy and Trust</w:t>
      </w:r>
    </w:p>
    <w:p w:rsidR="60AE2C6A" w:rsidP="517B3F3D" w:rsidRDefault="60AE2C6A" w14:paraId="2BCEAB14" w14:textId="79E28850">
      <w:pPr>
        <w:spacing w:after="140" w:line="360" w:lineRule="auto"/>
        <w:rPr>
          <w:rFonts w:ascii="Arial" w:hAnsi="Arial" w:eastAsia="Arial" w:cs="Arial"/>
          <w:sz w:val="22"/>
          <w:szCs w:val="22"/>
        </w:rPr>
      </w:pPr>
      <w:r w:rsidRPr="517B3F3D">
        <w:rPr>
          <w:rFonts w:ascii="Arial" w:hAnsi="Arial" w:eastAsia="Arial" w:cs="Arial"/>
          <w:sz w:val="22"/>
          <w:szCs w:val="22"/>
        </w:rPr>
        <w:t xml:space="preserve">Remote monitoring involves transmitting sensitive health information between patients, technology </w:t>
      </w:r>
      <w:r w:rsidRPr="517B3F3D" w:rsidR="506ABCEB">
        <w:rPr>
          <w:rFonts w:ascii="Arial" w:hAnsi="Arial" w:eastAsia="Arial" w:cs="Arial"/>
          <w:sz w:val="22"/>
          <w:szCs w:val="22"/>
        </w:rPr>
        <w:t>providers,</w:t>
      </w:r>
      <w:r w:rsidRPr="517B3F3D">
        <w:rPr>
          <w:rFonts w:ascii="Arial" w:hAnsi="Arial" w:eastAsia="Arial" w:cs="Arial"/>
          <w:sz w:val="22"/>
          <w:szCs w:val="22"/>
        </w:rPr>
        <w:t xml:space="preserve"> and clinical teams. The Data Protection Act 2018 and UK data-protection rules require lawful and secure handling of personal information (Great Britain, 2018). The Information Commissioner’s Office (n.d.) explains that health information is special-category data requiring additional protection. Yet legal compliance alone does not establish that patients understand who can see their readings or how data will be used. NICE (2021) supports involving people in decisions about their care, which is relevant when explaining digital monitoring arrangements. Providers should distinguish agreement to receive home treatment from their separate legal basis for processing health data. Clear explanations and secure procedures are necessary to sustain patient confidence.</w:t>
      </w:r>
    </w:p>
    <w:p w:rsidR="60AE2C6A" w:rsidP="517B3F3D" w:rsidRDefault="60AE2C6A" w14:paraId="7198ECA9" w14:textId="2E76F5A0">
      <w:pPr>
        <w:spacing w:after="140" w:line="360" w:lineRule="auto"/>
      </w:pPr>
      <w:r w:rsidRPr="517B3F3D">
        <w:rPr>
          <w:rFonts w:ascii="Arial" w:hAnsi="Arial" w:eastAsia="Arial" w:cs="Arial"/>
          <w:sz w:val="22"/>
          <w:szCs w:val="22"/>
        </w:rPr>
        <w:t xml:space="preserve"> </w:t>
      </w:r>
    </w:p>
    <w:p w:rsidR="517B3F3D" w:rsidP="517B3F3D" w:rsidRDefault="517B3F3D" w14:paraId="49790EA6" w14:textId="199AA97E">
      <w:pPr>
        <w:spacing w:after="140" w:line="360" w:lineRule="auto"/>
        <w:rPr>
          <w:rFonts w:ascii="Arial" w:hAnsi="Arial" w:eastAsia="Arial" w:cs="Arial"/>
          <w:sz w:val="22"/>
          <w:szCs w:val="22"/>
        </w:rPr>
      </w:pPr>
    </w:p>
    <w:p w:rsidR="60AE2C6A" w:rsidP="517B3F3D" w:rsidRDefault="60AE2C6A" w14:paraId="075136CB" w14:textId="74F0BD06">
      <w:pPr>
        <w:spacing w:after="140" w:line="360" w:lineRule="auto"/>
        <w:rPr>
          <w:rFonts w:ascii="Arial" w:hAnsi="Arial" w:eastAsia="Arial" w:cs="Arial"/>
          <w:b/>
          <w:bCs/>
          <w:sz w:val="22"/>
          <w:szCs w:val="22"/>
        </w:rPr>
      </w:pPr>
      <w:r w:rsidRPr="517B3F3D">
        <w:rPr>
          <w:rFonts w:ascii="Arial" w:hAnsi="Arial" w:eastAsia="Arial" w:cs="Arial"/>
          <w:b/>
          <w:bCs/>
          <w:sz w:val="22"/>
          <w:szCs w:val="22"/>
        </w:rPr>
        <w:t>5. Conclusion and Recommendation</w:t>
      </w:r>
    </w:p>
    <w:p w:rsidR="60AE2C6A" w:rsidP="517B3F3D" w:rsidRDefault="60AE2C6A" w14:paraId="7FE2BF0C" w14:textId="35DFC388">
      <w:pPr>
        <w:spacing w:after="140" w:line="360" w:lineRule="auto"/>
        <w:rPr>
          <w:rFonts w:ascii="Arial" w:hAnsi="Arial" w:eastAsia="Arial" w:cs="Arial"/>
          <w:sz w:val="22"/>
          <w:szCs w:val="22"/>
        </w:rPr>
      </w:pPr>
      <w:r w:rsidRPr="517B3F3D">
        <w:rPr>
          <w:rFonts w:ascii="Arial" w:hAnsi="Arial" w:eastAsia="Arial" w:cs="Arial"/>
          <w:sz w:val="22"/>
          <w:szCs w:val="22"/>
        </w:rPr>
        <w:t xml:space="preserve">Digital remote monitoring within NHS virtual wards may improve flexibility in service delivery while allowing selected patients to receive hospital-level care at home. Regional evaluations indicate </w:t>
      </w:r>
      <w:r w:rsidRPr="517B3F3D" w:rsidR="065FB03B">
        <w:rPr>
          <w:rFonts w:ascii="Arial" w:hAnsi="Arial" w:eastAsia="Arial" w:cs="Arial"/>
          <w:sz w:val="22"/>
          <w:szCs w:val="22"/>
        </w:rPr>
        <w:t>reductions</w:t>
      </w:r>
      <w:r w:rsidRPr="517B3F3D">
        <w:rPr>
          <w:rFonts w:ascii="Arial" w:hAnsi="Arial" w:eastAsia="Arial" w:cs="Arial"/>
          <w:sz w:val="22"/>
          <w:szCs w:val="22"/>
        </w:rPr>
        <w:t xml:space="preserve"> in hospital activity and costs, but estimates are not equivalent to demonstrated national savings (NHS England, 2024b; Chappell et al., 2024). Evidence on clinical outcomes is also difficult to interpret because virtual wards combine technology with different forms of professional care (Shi et al., 2024). Effective treatment also depends on timely clinical assessment, access to appropriate medication and diagnostic services, and professional intervention when a patient's condition deteriorates (NHS England, 2024a). For patients, home treatment may support independence, yet safety, digital exclusion and caring responsibilities mean that benefits are not experienced equally.</w:t>
      </w:r>
    </w:p>
    <w:p w:rsidR="60AE2C6A" w:rsidP="517B3F3D" w:rsidRDefault="60AE2C6A" w14:paraId="74D1B9EA" w14:textId="06825C8F">
      <w:pPr>
        <w:spacing w:after="140" w:line="360" w:lineRule="auto"/>
        <w:rPr>
          <w:rFonts w:ascii="Arial" w:hAnsi="Arial" w:eastAsia="Arial" w:cs="Arial"/>
          <w:sz w:val="22"/>
          <w:szCs w:val="22"/>
        </w:rPr>
      </w:pPr>
      <w:r w:rsidRPr="517B3F3D">
        <w:rPr>
          <w:rFonts w:ascii="Arial" w:hAnsi="Arial" w:eastAsia="Arial" w:cs="Arial"/>
          <w:sz w:val="22"/>
          <w:szCs w:val="22"/>
        </w:rPr>
        <w:t>The principal recommendation is that NHS organisations should use a consistent evaluation framework for virtual wards, measuring clinical outcomes, escalation and readmission rates, patient experiences, inequalities and the full cost of community and hospital care. Such evaluation should distinguish digitally monitored pathways from other hospital-at-home models and identify which patients benefit most. This would support decisions about expansion based on demonstrated safety and effectiveness rather than the number of virtual ward places alone.</w:t>
      </w:r>
    </w:p>
    <w:p w:rsidR="60AE2C6A" w:rsidP="517B3F3D" w:rsidRDefault="60AE2C6A" w14:paraId="5DF310AE" w14:textId="3FB477D1">
      <w:pPr>
        <w:spacing w:after="140" w:line="360" w:lineRule="auto"/>
        <w:rPr>
          <w:rFonts w:ascii="Arial" w:hAnsi="Arial" w:eastAsia="Arial" w:cs="Arial"/>
          <w:sz w:val="22"/>
          <w:szCs w:val="22"/>
        </w:rPr>
      </w:pPr>
      <w:r w:rsidRPr="517B3F3D">
        <w:rPr>
          <w:rFonts w:ascii="Arial" w:hAnsi="Arial" w:eastAsia="Arial" w:cs="Arial"/>
          <w:sz w:val="22"/>
          <w:szCs w:val="22"/>
        </w:rPr>
        <w:t xml:space="preserve"> </w:t>
      </w:r>
    </w:p>
    <w:p w:rsidR="517B3F3D" w:rsidP="517B3F3D" w:rsidRDefault="517B3F3D" w14:paraId="4B1578B0" w14:textId="273519DB">
      <w:pPr>
        <w:spacing w:after="140" w:line="360" w:lineRule="auto"/>
        <w:ind w:left="360" w:hanging="360"/>
        <w:rPr>
          <w:rFonts w:ascii="Arial" w:hAnsi="Arial" w:eastAsia="Arial" w:cs="Arial"/>
          <w:sz w:val="22"/>
          <w:szCs w:val="22"/>
        </w:rPr>
      </w:pPr>
    </w:p>
    <w:p w:rsidR="517B3F3D" w:rsidP="517B3F3D" w:rsidRDefault="517B3F3D" w14:paraId="3F6E1EF3" w14:textId="4BB86A3A">
      <w:pPr>
        <w:spacing w:after="140" w:line="360" w:lineRule="auto"/>
        <w:ind w:left="360" w:hanging="360"/>
        <w:rPr>
          <w:rFonts w:ascii="Arial" w:hAnsi="Arial" w:eastAsia="Arial" w:cs="Arial"/>
          <w:sz w:val="22"/>
          <w:szCs w:val="22"/>
        </w:rPr>
      </w:pPr>
    </w:p>
    <w:p w:rsidR="517B3F3D" w:rsidP="517B3F3D" w:rsidRDefault="517B3F3D" w14:paraId="053FF163" w14:textId="72A01543">
      <w:pPr>
        <w:spacing w:after="140" w:line="360" w:lineRule="auto"/>
        <w:ind w:left="360" w:hanging="360"/>
        <w:rPr>
          <w:rFonts w:ascii="Arial" w:hAnsi="Arial" w:eastAsia="Arial" w:cs="Arial"/>
          <w:sz w:val="22"/>
          <w:szCs w:val="22"/>
        </w:rPr>
      </w:pPr>
    </w:p>
    <w:p w:rsidR="517B3F3D" w:rsidP="517B3F3D" w:rsidRDefault="517B3F3D" w14:paraId="5A503105" w14:textId="3197F1D3">
      <w:pPr>
        <w:spacing w:after="140" w:line="360" w:lineRule="auto"/>
        <w:ind w:left="360" w:hanging="360"/>
        <w:rPr>
          <w:rFonts w:ascii="Arial" w:hAnsi="Arial" w:eastAsia="Arial" w:cs="Arial"/>
          <w:sz w:val="22"/>
          <w:szCs w:val="22"/>
        </w:rPr>
      </w:pPr>
    </w:p>
    <w:p w:rsidR="517B3F3D" w:rsidP="517B3F3D" w:rsidRDefault="517B3F3D" w14:paraId="60DED28E" w14:textId="5DD6322B">
      <w:pPr>
        <w:spacing w:after="140" w:line="360" w:lineRule="auto"/>
        <w:ind w:left="360" w:hanging="360"/>
        <w:rPr>
          <w:rFonts w:ascii="Arial" w:hAnsi="Arial" w:eastAsia="Arial" w:cs="Arial"/>
          <w:sz w:val="22"/>
          <w:szCs w:val="22"/>
        </w:rPr>
      </w:pPr>
    </w:p>
    <w:p w:rsidR="517B3F3D" w:rsidP="517B3F3D" w:rsidRDefault="517B3F3D" w14:paraId="5CC59A57" w14:textId="34B54B96">
      <w:pPr>
        <w:spacing w:after="140" w:line="360" w:lineRule="auto"/>
        <w:ind w:left="360" w:hanging="360"/>
        <w:rPr>
          <w:rFonts w:ascii="Arial" w:hAnsi="Arial" w:eastAsia="Arial" w:cs="Arial"/>
          <w:sz w:val="22"/>
          <w:szCs w:val="22"/>
        </w:rPr>
      </w:pPr>
    </w:p>
    <w:p w:rsidR="517B3F3D" w:rsidP="517B3F3D" w:rsidRDefault="517B3F3D" w14:paraId="7499C2AB" w14:textId="5BA75F2D">
      <w:pPr>
        <w:spacing w:after="140" w:line="360" w:lineRule="auto"/>
        <w:ind w:left="360" w:hanging="360"/>
        <w:rPr>
          <w:rFonts w:ascii="Arial" w:hAnsi="Arial" w:eastAsia="Arial" w:cs="Arial"/>
          <w:sz w:val="22"/>
          <w:szCs w:val="22"/>
        </w:rPr>
      </w:pPr>
    </w:p>
    <w:p w:rsidR="517B3F3D" w:rsidP="517B3F3D" w:rsidRDefault="517B3F3D" w14:paraId="63E93B1A" w14:textId="48FC7D05">
      <w:pPr>
        <w:spacing w:after="140" w:line="360" w:lineRule="auto"/>
        <w:ind w:left="360" w:hanging="360"/>
        <w:rPr>
          <w:rFonts w:ascii="Arial" w:hAnsi="Arial" w:eastAsia="Arial" w:cs="Arial"/>
          <w:sz w:val="22"/>
          <w:szCs w:val="22"/>
        </w:rPr>
      </w:pPr>
    </w:p>
    <w:p w:rsidR="1A9CB876" w:rsidP="517B3F3D" w:rsidRDefault="1A9CB876" w14:paraId="658D19FE" w14:textId="77514F7A">
      <w:pPr>
        <w:pStyle w:val="Heading2"/>
        <w:spacing w:before="299" w:after="299" w:line="360" w:lineRule="auto"/>
        <w:rPr>
          <w:rFonts w:ascii="Arial" w:hAnsi="Arial" w:eastAsia="Arial" w:cs="Arial"/>
          <w:b/>
          <w:bCs/>
          <w:color w:val="auto"/>
          <w:sz w:val="24"/>
          <w:szCs w:val="24"/>
        </w:rPr>
      </w:pPr>
      <w:r w:rsidRPr="517B3F3D">
        <w:rPr>
          <w:rFonts w:ascii="Arial" w:hAnsi="Arial" w:eastAsia="Arial" w:cs="Arial"/>
          <w:b/>
          <w:bCs/>
          <w:color w:val="auto"/>
          <w:sz w:val="24"/>
          <w:szCs w:val="24"/>
        </w:rPr>
        <w:t>References</w:t>
      </w:r>
    </w:p>
    <w:p w:rsidR="7019CBF6" w:rsidP="517B3F3D" w:rsidRDefault="7019CBF6" w14:paraId="6B07B2C7" w14:textId="70737D9F">
      <w:pPr>
        <w:spacing w:before="240" w:after="240" w:line="360" w:lineRule="auto"/>
        <w:rPr>
          <w:rFonts w:ascii="Arial" w:hAnsi="Arial" w:eastAsia="Arial" w:cs="Arial"/>
          <w:sz w:val="22"/>
          <w:szCs w:val="22"/>
        </w:rPr>
      </w:pPr>
      <w:r w:rsidRPr="517B3F3D">
        <w:rPr>
          <w:rFonts w:ascii="Arial" w:hAnsi="Arial" w:eastAsia="Arial" w:cs="Arial"/>
          <w:sz w:val="22"/>
          <w:szCs w:val="22"/>
        </w:rPr>
        <w:t xml:space="preserve">Care Quality Commission (2024) Regulation 12: Safe care and treatment. Available at: </w:t>
      </w:r>
      <w:hyperlink r:id="rId7">
        <w:r w:rsidRPr="517B3F3D">
          <w:rPr>
            <w:rStyle w:val="Hyperlink"/>
            <w:rFonts w:ascii="Arial" w:hAnsi="Arial" w:eastAsia="Arial" w:cs="Arial"/>
            <w:sz w:val="22"/>
            <w:szCs w:val="22"/>
          </w:rPr>
          <w:t>https://www.cqc.org.uk/guidance-regulation/providers/regulations-service-providers-and-managers/health-social-care-act/regulation-12</w:t>
        </w:r>
      </w:hyperlink>
      <w:r w:rsidRPr="517B3F3D">
        <w:rPr>
          <w:rFonts w:ascii="Arial" w:hAnsi="Arial" w:eastAsia="Arial" w:cs="Arial"/>
          <w:sz w:val="22"/>
          <w:szCs w:val="22"/>
        </w:rPr>
        <w:t xml:space="preserve"> (Accessed: 13 October 2026).</w:t>
      </w:r>
    </w:p>
    <w:p w:rsidR="7019CBF6" w:rsidP="517B3F3D" w:rsidRDefault="7019CBF6" w14:paraId="7E834D1E" w14:textId="30332170">
      <w:pPr>
        <w:spacing w:before="240" w:after="240" w:line="360" w:lineRule="auto"/>
        <w:rPr>
          <w:rFonts w:ascii="Arial" w:hAnsi="Arial" w:eastAsia="Arial" w:cs="Arial"/>
          <w:sz w:val="22"/>
          <w:szCs w:val="22"/>
        </w:rPr>
      </w:pPr>
      <w:r w:rsidRPr="517B3F3D">
        <w:rPr>
          <w:rFonts w:ascii="Arial" w:hAnsi="Arial" w:eastAsia="Arial" w:cs="Arial"/>
          <w:sz w:val="22"/>
          <w:szCs w:val="22"/>
        </w:rPr>
        <w:t xml:space="preserve">Chappell, P., Co, M., Hardie, T., Lloyd, T., Tallack, C., Gerhold, M. and Mayers, C. (2024) What do virtual wards look like in England? The Health Foundation. Available at: </w:t>
      </w:r>
      <w:hyperlink r:id="rId8">
        <w:r w:rsidRPr="517B3F3D">
          <w:rPr>
            <w:rStyle w:val="Hyperlink"/>
            <w:rFonts w:ascii="Arial" w:hAnsi="Arial" w:eastAsia="Arial" w:cs="Arial"/>
            <w:sz w:val="22"/>
            <w:szCs w:val="22"/>
          </w:rPr>
          <w:t>https://www.health.org.uk/reports-and-analysis/working-papers/what-do-virtual-wards-look-like-in-england</w:t>
        </w:r>
      </w:hyperlink>
      <w:r w:rsidRPr="517B3F3D">
        <w:rPr>
          <w:rFonts w:ascii="Arial" w:hAnsi="Arial" w:eastAsia="Arial" w:cs="Arial"/>
          <w:sz w:val="22"/>
          <w:szCs w:val="22"/>
        </w:rPr>
        <w:t xml:space="preserve"> (Accessed: 13 October 2026).</w:t>
      </w:r>
    </w:p>
    <w:p w:rsidR="7019CBF6" w:rsidP="517B3F3D" w:rsidRDefault="7019CBF6" w14:paraId="6E832753" w14:textId="315B92EB">
      <w:pPr>
        <w:spacing w:before="240" w:after="240" w:line="360" w:lineRule="auto"/>
        <w:rPr>
          <w:rFonts w:ascii="Arial" w:hAnsi="Arial" w:eastAsia="Arial" w:cs="Arial"/>
          <w:sz w:val="22"/>
          <w:szCs w:val="22"/>
        </w:rPr>
      </w:pPr>
      <w:r w:rsidRPr="517B3F3D">
        <w:rPr>
          <w:rFonts w:ascii="Arial" w:hAnsi="Arial" w:eastAsia="Arial" w:cs="Arial"/>
          <w:sz w:val="22"/>
          <w:szCs w:val="22"/>
        </w:rPr>
        <w:t xml:space="preserve">Co, M. (2024) Virtual wards: no place like home? The Health Foundation. Available at: </w:t>
      </w:r>
      <w:hyperlink r:id="rId9">
        <w:r w:rsidRPr="517B3F3D">
          <w:rPr>
            <w:rStyle w:val="Hyperlink"/>
            <w:rFonts w:ascii="Arial" w:hAnsi="Arial" w:eastAsia="Arial" w:cs="Arial"/>
            <w:sz w:val="22"/>
            <w:szCs w:val="22"/>
          </w:rPr>
          <w:t>https://www.health.org.uk/features-and-opinion/blogs/virtual-wards-no-place-like-home</w:t>
        </w:r>
      </w:hyperlink>
      <w:r w:rsidRPr="517B3F3D">
        <w:rPr>
          <w:rFonts w:ascii="Arial" w:hAnsi="Arial" w:eastAsia="Arial" w:cs="Arial"/>
          <w:sz w:val="22"/>
          <w:szCs w:val="22"/>
        </w:rPr>
        <w:t xml:space="preserve"> (Accessed: 13 October 2026).</w:t>
      </w:r>
    </w:p>
    <w:p w:rsidR="7019CBF6" w:rsidP="517B3F3D" w:rsidRDefault="7019CBF6" w14:paraId="52D82618" w14:textId="7EF25547">
      <w:pPr>
        <w:spacing w:before="240" w:after="240" w:line="360" w:lineRule="auto"/>
        <w:rPr>
          <w:rFonts w:ascii="Arial" w:hAnsi="Arial" w:eastAsia="Arial" w:cs="Arial"/>
          <w:sz w:val="22"/>
          <w:szCs w:val="22"/>
        </w:rPr>
      </w:pPr>
      <w:r w:rsidRPr="517B3F3D">
        <w:rPr>
          <w:rFonts w:ascii="Arial" w:hAnsi="Arial" w:eastAsia="Arial" w:cs="Arial"/>
          <w:sz w:val="22"/>
          <w:szCs w:val="22"/>
        </w:rPr>
        <w:t xml:space="preserve">Department of Health and Social Care and NHS England (2022) A plan for digital health and social care. Available at: </w:t>
      </w:r>
      <w:hyperlink r:id="rId10">
        <w:r w:rsidRPr="517B3F3D">
          <w:rPr>
            <w:rStyle w:val="Hyperlink"/>
            <w:rFonts w:ascii="Arial" w:hAnsi="Arial" w:eastAsia="Arial" w:cs="Arial"/>
            <w:sz w:val="22"/>
            <w:szCs w:val="22"/>
          </w:rPr>
          <w:t>https://www.gov.uk/government/publications/a-plan-for-digital-health-and-social-care</w:t>
        </w:r>
      </w:hyperlink>
      <w:r w:rsidRPr="517B3F3D">
        <w:rPr>
          <w:rFonts w:ascii="Arial" w:hAnsi="Arial" w:eastAsia="Arial" w:cs="Arial"/>
          <w:sz w:val="22"/>
          <w:szCs w:val="22"/>
        </w:rPr>
        <w:t xml:space="preserve"> (Accessed: 13 October 2026).</w:t>
      </w:r>
    </w:p>
    <w:p w:rsidR="7019CBF6" w:rsidP="517B3F3D" w:rsidRDefault="7019CBF6" w14:paraId="0A7DCF09" w14:textId="3D675BBB">
      <w:pPr>
        <w:spacing w:before="240" w:after="240" w:line="360" w:lineRule="auto"/>
        <w:rPr>
          <w:rFonts w:ascii="Arial" w:hAnsi="Arial" w:eastAsia="Arial" w:cs="Arial"/>
          <w:sz w:val="22"/>
          <w:szCs w:val="22"/>
        </w:rPr>
      </w:pPr>
      <w:r w:rsidRPr="517B3F3D">
        <w:rPr>
          <w:rFonts w:ascii="Arial" w:hAnsi="Arial" w:eastAsia="Arial" w:cs="Arial"/>
          <w:sz w:val="22"/>
          <w:szCs w:val="22"/>
        </w:rPr>
        <w:t xml:space="preserve">Great Britain (2010) Equality Act 2010, c. 15. Available at: </w:t>
      </w:r>
      <w:hyperlink r:id="rId11">
        <w:r w:rsidRPr="517B3F3D">
          <w:rPr>
            <w:rStyle w:val="Hyperlink"/>
            <w:rFonts w:ascii="Arial" w:hAnsi="Arial" w:eastAsia="Arial" w:cs="Arial"/>
            <w:sz w:val="22"/>
            <w:szCs w:val="22"/>
          </w:rPr>
          <w:t>https://www.legislation.gov.uk/ukpga/2010/15/contents</w:t>
        </w:r>
      </w:hyperlink>
      <w:r w:rsidRPr="517B3F3D">
        <w:rPr>
          <w:rFonts w:ascii="Arial" w:hAnsi="Arial" w:eastAsia="Arial" w:cs="Arial"/>
          <w:sz w:val="22"/>
          <w:szCs w:val="22"/>
        </w:rPr>
        <w:t xml:space="preserve"> (Accessed: 13 October 2026).</w:t>
      </w:r>
    </w:p>
    <w:p w:rsidR="7019CBF6" w:rsidP="517B3F3D" w:rsidRDefault="7019CBF6" w14:paraId="7C2087E9" w14:textId="2ACCA287">
      <w:pPr>
        <w:spacing w:before="240" w:after="240" w:line="360" w:lineRule="auto"/>
        <w:rPr>
          <w:rFonts w:ascii="Arial" w:hAnsi="Arial" w:eastAsia="Arial" w:cs="Arial"/>
          <w:sz w:val="22"/>
          <w:szCs w:val="22"/>
        </w:rPr>
      </w:pPr>
      <w:r w:rsidRPr="517B3F3D">
        <w:rPr>
          <w:rFonts w:ascii="Arial" w:hAnsi="Arial" w:eastAsia="Arial" w:cs="Arial"/>
          <w:sz w:val="22"/>
          <w:szCs w:val="22"/>
        </w:rPr>
        <w:t xml:space="preserve">Great Britain (2018) Data Protection Act 2018, c. 12. Available at: </w:t>
      </w:r>
      <w:hyperlink r:id="rId12">
        <w:r w:rsidRPr="517B3F3D">
          <w:rPr>
            <w:rStyle w:val="Hyperlink"/>
            <w:rFonts w:ascii="Arial" w:hAnsi="Arial" w:eastAsia="Arial" w:cs="Arial"/>
            <w:sz w:val="22"/>
            <w:szCs w:val="22"/>
          </w:rPr>
          <w:t>https://www.legislation.gov.uk/ukpga/2018/12/contents</w:t>
        </w:r>
      </w:hyperlink>
      <w:r w:rsidRPr="517B3F3D">
        <w:rPr>
          <w:rFonts w:ascii="Arial" w:hAnsi="Arial" w:eastAsia="Arial" w:cs="Arial"/>
          <w:sz w:val="22"/>
          <w:szCs w:val="22"/>
        </w:rPr>
        <w:t xml:space="preserve"> (Accessed: 13 October 2026).</w:t>
      </w:r>
    </w:p>
    <w:p w:rsidR="7019CBF6" w:rsidP="517B3F3D" w:rsidRDefault="7019CBF6" w14:paraId="42F42B7E" w14:textId="1B100783">
      <w:pPr>
        <w:spacing w:before="240" w:after="240" w:line="360" w:lineRule="auto"/>
        <w:rPr>
          <w:rFonts w:ascii="Arial" w:hAnsi="Arial" w:eastAsia="Arial" w:cs="Arial"/>
          <w:sz w:val="22"/>
          <w:szCs w:val="22"/>
        </w:rPr>
      </w:pPr>
      <w:r w:rsidRPr="517B3F3D">
        <w:rPr>
          <w:rFonts w:ascii="Arial" w:hAnsi="Arial" w:eastAsia="Arial" w:cs="Arial"/>
          <w:sz w:val="22"/>
          <w:szCs w:val="22"/>
        </w:rPr>
        <w:t xml:space="preserve">Information Commissioner's Office (n.d.) What is special category data? Available at: </w:t>
      </w:r>
      <w:hyperlink r:id="rId13">
        <w:r w:rsidRPr="517B3F3D">
          <w:rPr>
            <w:rStyle w:val="Hyperlink"/>
            <w:rFonts w:ascii="Arial" w:hAnsi="Arial" w:eastAsia="Arial" w:cs="Arial"/>
            <w:sz w:val="22"/>
            <w:szCs w:val="22"/>
          </w:rPr>
          <w:t>https://ico.org.uk/for-organisations/uk-gdpr-guidance-and-resources/lawful-basis/special-category-data/what-is-special-category-data/</w:t>
        </w:r>
      </w:hyperlink>
      <w:r w:rsidRPr="517B3F3D">
        <w:rPr>
          <w:rFonts w:ascii="Arial" w:hAnsi="Arial" w:eastAsia="Arial" w:cs="Arial"/>
          <w:sz w:val="22"/>
          <w:szCs w:val="22"/>
        </w:rPr>
        <w:t xml:space="preserve"> (Accessed: 13 October 2026).</w:t>
      </w:r>
    </w:p>
    <w:p w:rsidR="7019CBF6" w:rsidP="517B3F3D" w:rsidRDefault="7019CBF6" w14:paraId="49FC802A" w14:textId="5E8A461A">
      <w:pPr>
        <w:spacing w:before="240" w:after="240" w:line="360" w:lineRule="auto"/>
        <w:rPr>
          <w:rFonts w:ascii="Arial" w:hAnsi="Arial" w:eastAsia="Arial" w:cs="Arial"/>
          <w:sz w:val="22"/>
          <w:szCs w:val="22"/>
        </w:rPr>
      </w:pPr>
      <w:r w:rsidRPr="517B3F3D">
        <w:rPr>
          <w:rFonts w:ascii="Arial" w:hAnsi="Arial" w:eastAsia="Arial" w:cs="Arial"/>
          <w:sz w:val="22"/>
          <w:szCs w:val="22"/>
        </w:rPr>
        <w:t xml:space="preserve">National Institute for Health and Care Excellence (2021) Shared decision making. NICE guideline NG197. Available at: </w:t>
      </w:r>
      <w:hyperlink r:id="rId14">
        <w:r w:rsidRPr="517B3F3D">
          <w:rPr>
            <w:rStyle w:val="Hyperlink"/>
            <w:rFonts w:ascii="Arial" w:hAnsi="Arial" w:eastAsia="Arial" w:cs="Arial"/>
            <w:sz w:val="22"/>
            <w:szCs w:val="22"/>
          </w:rPr>
          <w:t>https://www.nice.org.uk/guidance/ng197</w:t>
        </w:r>
      </w:hyperlink>
      <w:r w:rsidRPr="517B3F3D">
        <w:rPr>
          <w:rFonts w:ascii="Arial" w:hAnsi="Arial" w:eastAsia="Arial" w:cs="Arial"/>
          <w:sz w:val="22"/>
          <w:szCs w:val="22"/>
        </w:rPr>
        <w:t xml:space="preserve"> (Accessed: 13 October 2026).</w:t>
      </w:r>
    </w:p>
    <w:p w:rsidR="7019CBF6" w:rsidP="517B3F3D" w:rsidRDefault="7019CBF6" w14:paraId="34397404" w14:textId="4C13309C">
      <w:pPr>
        <w:spacing w:before="240" w:after="240" w:line="360" w:lineRule="auto"/>
        <w:rPr>
          <w:rFonts w:ascii="Arial" w:hAnsi="Arial" w:eastAsia="Arial" w:cs="Arial"/>
          <w:sz w:val="22"/>
          <w:szCs w:val="22"/>
        </w:rPr>
      </w:pPr>
      <w:r w:rsidRPr="517B3F3D">
        <w:rPr>
          <w:rFonts w:ascii="Arial" w:hAnsi="Arial" w:eastAsia="Arial" w:cs="Arial"/>
          <w:sz w:val="22"/>
          <w:szCs w:val="22"/>
        </w:rPr>
        <w:t xml:space="preserve">NHS England (2021) A guide to setting up technology-enabled virtual wards. Available at: </w:t>
      </w:r>
      <w:hyperlink r:id="rId15">
        <w:r w:rsidRPr="517B3F3D">
          <w:rPr>
            <w:rStyle w:val="Hyperlink"/>
            <w:rFonts w:ascii="Arial" w:hAnsi="Arial" w:eastAsia="Arial" w:cs="Arial"/>
            <w:sz w:val="22"/>
            <w:szCs w:val="22"/>
          </w:rPr>
          <w:t>https://www.england.nhs.uk/long-read/a-guide-to-setting-up-technology-enabled-virtual-wards/</w:t>
        </w:r>
      </w:hyperlink>
      <w:r w:rsidRPr="517B3F3D">
        <w:rPr>
          <w:rFonts w:ascii="Arial" w:hAnsi="Arial" w:eastAsia="Arial" w:cs="Arial"/>
          <w:sz w:val="22"/>
          <w:szCs w:val="22"/>
        </w:rPr>
        <w:t xml:space="preserve"> (Accessed: 13 October 2026).</w:t>
      </w:r>
    </w:p>
    <w:p w:rsidR="7019CBF6" w:rsidP="517B3F3D" w:rsidRDefault="7019CBF6" w14:paraId="6BE26CD1" w14:textId="3876AF2C">
      <w:pPr>
        <w:spacing w:before="240" w:after="240" w:line="360" w:lineRule="auto"/>
        <w:rPr>
          <w:rFonts w:ascii="Arial" w:hAnsi="Arial" w:eastAsia="Arial" w:cs="Arial"/>
          <w:sz w:val="22"/>
          <w:szCs w:val="22"/>
        </w:rPr>
      </w:pPr>
      <w:r w:rsidRPr="517B3F3D">
        <w:rPr>
          <w:rFonts w:ascii="Arial" w:hAnsi="Arial" w:eastAsia="Arial" w:cs="Arial"/>
          <w:sz w:val="22"/>
          <w:szCs w:val="22"/>
        </w:rPr>
        <w:t xml:space="preserve">NHS England (2023) Inclusive digital healthcare: a framework for NHS action on digital inclusion. Available at: </w:t>
      </w:r>
      <w:hyperlink r:id="rId16">
        <w:r w:rsidRPr="517B3F3D">
          <w:rPr>
            <w:rStyle w:val="Hyperlink"/>
            <w:rFonts w:ascii="Arial" w:hAnsi="Arial" w:eastAsia="Arial" w:cs="Arial"/>
            <w:sz w:val="22"/>
            <w:szCs w:val="22"/>
          </w:rPr>
          <w:t>https://www.england.nhs.uk/long-read/inclusive-digital-healthcare-a-framework-for-nhs-action-on-digital-inclusion/</w:t>
        </w:r>
      </w:hyperlink>
      <w:r w:rsidRPr="517B3F3D">
        <w:rPr>
          <w:rFonts w:ascii="Arial" w:hAnsi="Arial" w:eastAsia="Arial" w:cs="Arial"/>
          <w:sz w:val="22"/>
          <w:szCs w:val="22"/>
        </w:rPr>
        <w:t xml:space="preserve"> (Accessed: 13 October 2026).</w:t>
      </w:r>
    </w:p>
    <w:p w:rsidR="7019CBF6" w:rsidP="517B3F3D" w:rsidRDefault="7019CBF6" w14:paraId="25E18ADB" w14:textId="636A3C3F">
      <w:pPr>
        <w:spacing w:before="240" w:after="240" w:line="360" w:lineRule="auto"/>
        <w:rPr>
          <w:rFonts w:ascii="Arial" w:hAnsi="Arial" w:eastAsia="Arial" w:cs="Arial"/>
          <w:sz w:val="22"/>
          <w:szCs w:val="22"/>
        </w:rPr>
      </w:pPr>
      <w:r w:rsidRPr="517B3F3D">
        <w:rPr>
          <w:rFonts w:ascii="Arial" w:hAnsi="Arial" w:eastAsia="Arial" w:cs="Arial"/>
          <w:sz w:val="22"/>
          <w:szCs w:val="22"/>
        </w:rPr>
        <w:t xml:space="preserve">NHS England (2024a) Access to diagnostics on virtual wards. Available at: </w:t>
      </w:r>
      <w:hyperlink r:id="rId17">
        <w:r w:rsidRPr="517B3F3D">
          <w:rPr>
            <w:rStyle w:val="Hyperlink"/>
            <w:rFonts w:ascii="Arial" w:hAnsi="Arial" w:eastAsia="Arial" w:cs="Arial"/>
            <w:sz w:val="22"/>
            <w:szCs w:val="22"/>
          </w:rPr>
          <w:t>https://www.england.nhs.uk/long-read/access-to-diagnostics-on-virtual-wards/</w:t>
        </w:r>
      </w:hyperlink>
      <w:r w:rsidRPr="517B3F3D">
        <w:rPr>
          <w:rFonts w:ascii="Arial" w:hAnsi="Arial" w:eastAsia="Arial" w:cs="Arial"/>
          <w:sz w:val="22"/>
          <w:szCs w:val="22"/>
        </w:rPr>
        <w:t xml:space="preserve"> (Accessed: 13 October 2026).</w:t>
      </w:r>
    </w:p>
    <w:p w:rsidR="7019CBF6" w:rsidP="517B3F3D" w:rsidRDefault="7019CBF6" w14:paraId="45E9DA5B" w14:textId="428077CC">
      <w:pPr>
        <w:spacing w:before="240" w:after="240" w:line="360" w:lineRule="auto"/>
        <w:rPr>
          <w:rFonts w:ascii="Arial" w:hAnsi="Arial" w:eastAsia="Arial" w:cs="Arial"/>
          <w:sz w:val="22"/>
          <w:szCs w:val="22"/>
        </w:rPr>
      </w:pPr>
      <w:r w:rsidRPr="517B3F3D">
        <w:rPr>
          <w:rFonts w:ascii="Arial" w:hAnsi="Arial" w:eastAsia="Arial" w:cs="Arial"/>
          <w:sz w:val="22"/>
          <w:szCs w:val="22"/>
        </w:rPr>
        <w:t xml:space="preserve">NHS England (2024b) Summary of </w:t>
      </w:r>
      <w:bookmarkStart w:name="_Int_wYlCK3IT" w:id="0"/>
      <w:r w:rsidRPr="517B3F3D">
        <w:rPr>
          <w:rFonts w:ascii="Arial" w:hAnsi="Arial" w:eastAsia="Arial" w:cs="Arial"/>
          <w:sz w:val="22"/>
          <w:szCs w:val="22"/>
        </w:rPr>
        <w:t>South East</w:t>
      </w:r>
      <w:bookmarkEnd w:id="0"/>
      <w:r w:rsidRPr="517B3F3D">
        <w:rPr>
          <w:rFonts w:ascii="Arial" w:hAnsi="Arial" w:eastAsia="Arial" w:cs="Arial"/>
          <w:sz w:val="22"/>
          <w:szCs w:val="22"/>
        </w:rPr>
        <w:t xml:space="preserve"> region virtual wards evaluation. Available at: </w:t>
      </w:r>
      <w:hyperlink r:id="rId18">
        <w:r w:rsidRPr="517B3F3D">
          <w:rPr>
            <w:rStyle w:val="Hyperlink"/>
            <w:rFonts w:ascii="Arial" w:hAnsi="Arial" w:eastAsia="Arial" w:cs="Arial"/>
            <w:sz w:val="22"/>
            <w:szCs w:val="22"/>
          </w:rPr>
          <w:t>https://www.england.nhs.uk/long-read/summary-of-south-east-region-virtual-wards-evaluation/</w:t>
        </w:r>
      </w:hyperlink>
      <w:r w:rsidRPr="517B3F3D">
        <w:rPr>
          <w:rFonts w:ascii="Arial" w:hAnsi="Arial" w:eastAsia="Arial" w:cs="Arial"/>
          <w:sz w:val="22"/>
          <w:szCs w:val="22"/>
        </w:rPr>
        <w:t xml:space="preserve"> (Accessed: 13 October 2026).</w:t>
      </w:r>
    </w:p>
    <w:p w:rsidR="7019CBF6" w:rsidP="517B3F3D" w:rsidRDefault="7019CBF6" w14:paraId="71D0D295" w14:textId="25E111FF">
      <w:pPr>
        <w:spacing w:before="240" w:after="240" w:line="360" w:lineRule="auto"/>
        <w:rPr>
          <w:rFonts w:ascii="Arial" w:hAnsi="Arial" w:eastAsia="Arial" w:cs="Arial"/>
          <w:sz w:val="22"/>
          <w:szCs w:val="22"/>
        </w:rPr>
      </w:pPr>
      <w:r w:rsidRPr="517B3F3D">
        <w:rPr>
          <w:rFonts w:ascii="Arial" w:hAnsi="Arial" w:eastAsia="Arial" w:cs="Arial"/>
          <w:sz w:val="22"/>
          <w:szCs w:val="22"/>
        </w:rPr>
        <w:t xml:space="preserve">NHS England (2024c) Virtual wards operational framework. Available at: </w:t>
      </w:r>
      <w:hyperlink r:id="rId19">
        <w:r w:rsidRPr="517B3F3D">
          <w:rPr>
            <w:rStyle w:val="Hyperlink"/>
            <w:rFonts w:ascii="Arial" w:hAnsi="Arial" w:eastAsia="Arial" w:cs="Arial"/>
            <w:sz w:val="22"/>
            <w:szCs w:val="22"/>
          </w:rPr>
          <w:t>https://www.england.nhs.uk/publication/virtual-wards-operational-framework/</w:t>
        </w:r>
      </w:hyperlink>
      <w:r w:rsidRPr="517B3F3D">
        <w:rPr>
          <w:rFonts w:ascii="Arial" w:hAnsi="Arial" w:eastAsia="Arial" w:cs="Arial"/>
          <w:sz w:val="22"/>
          <w:szCs w:val="22"/>
        </w:rPr>
        <w:t xml:space="preserve"> (Accessed: 13 October 2026).</w:t>
      </w:r>
    </w:p>
    <w:p w:rsidR="7019CBF6" w:rsidP="517B3F3D" w:rsidRDefault="7019CBF6" w14:paraId="524C04F5" w14:textId="04151FC1">
      <w:pPr>
        <w:spacing w:before="240" w:after="240" w:line="360" w:lineRule="auto"/>
        <w:rPr>
          <w:rFonts w:ascii="Arial" w:hAnsi="Arial" w:eastAsia="Arial" w:cs="Arial"/>
          <w:sz w:val="22"/>
          <w:szCs w:val="22"/>
        </w:rPr>
      </w:pPr>
      <w:r w:rsidRPr="517B3F3D">
        <w:rPr>
          <w:rFonts w:ascii="Arial" w:hAnsi="Arial" w:eastAsia="Arial" w:cs="Arial"/>
          <w:sz w:val="22"/>
          <w:szCs w:val="22"/>
        </w:rPr>
        <w:t xml:space="preserve">Norman, G., Bennett, P. and Vardy, E.R.L.C. (2023) 'Virtual wards: a rapid evidence synthesis and implications for the care of older people', Age and Ageing, 52(1), afac319. Available at: </w:t>
      </w:r>
      <w:hyperlink r:id="rId20">
        <w:r w:rsidRPr="517B3F3D">
          <w:rPr>
            <w:rStyle w:val="Hyperlink"/>
            <w:rFonts w:ascii="Arial" w:hAnsi="Arial" w:eastAsia="Arial" w:cs="Arial"/>
            <w:sz w:val="22"/>
            <w:szCs w:val="22"/>
          </w:rPr>
          <w:t>https://doi.org/10.1093/ageing/afac319</w:t>
        </w:r>
      </w:hyperlink>
      <w:r w:rsidRPr="517B3F3D">
        <w:rPr>
          <w:rFonts w:ascii="Arial" w:hAnsi="Arial" w:eastAsia="Arial" w:cs="Arial"/>
          <w:sz w:val="22"/>
          <w:szCs w:val="22"/>
        </w:rPr>
        <w:t xml:space="preserve"> (Accessed: 13 October 2026).</w:t>
      </w:r>
    </w:p>
    <w:p w:rsidR="7019CBF6" w:rsidP="517B3F3D" w:rsidRDefault="7019CBF6" w14:paraId="6D099369" w14:textId="1D93A338">
      <w:pPr>
        <w:spacing w:before="240" w:after="240" w:line="360" w:lineRule="auto"/>
        <w:rPr>
          <w:rFonts w:ascii="Arial" w:hAnsi="Arial" w:eastAsia="Arial" w:cs="Arial"/>
          <w:sz w:val="22"/>
          <w:szCs w:val="22"/>
        </w:rPr>
      </w:pPr>
      <w:r w:rsidRPr="517B3F3D">
        <w:rPr>
          <w:rFonts w:ascii="Arial" w:hAnsi="Arial" w:eastAsia="Arial" w:cs="Arial"/>
          <w:sz w:val="22"/>
          <w:szCs w:val="22"/>
        </w:rPr>
        <w:t xml:space="preserve">Shi, C., Dumville, J., Rubinstein, F., Norman, G., Ullah, A., Bashir, S., Bower, P. and Vardy, E.R.L.C. (2024) 'Inpatient-level care at home delivered by virtual wards and hospital at home: a systematic review and meta-analysis of complex interventions and their components', BMC Medicine, 22, article 145. Available at: </w:t>
      </w:r>
      <w:hyperlink r:id="rId21">
        <w:r w:rsidRPr="517B3F3D">
          <w:rPr>
            <w:rStyle w:val="Hyperlink"/>
            <w:rFonts w:ascii="Arial" w:hAnsi="Arial" w:eastAsia="Arial" w:cs="Arial"/>
            <w:sz w:val="22"/>
            <w:szCs w:val="22"/>
          </w:rPr>
          <w:t>https://doi.org/10.1186/s12916-024-03312-3</w:t>
        </w:r>
      </w:hyperlink>
      <w:r w:rsidRPr="517B3F3D">
        <w:rPr>
          <w:rFonts w:ascii="Arial" w:hAnsi="Arial" w:eastAsia="Arial" w:cs="Arial"/>
          <w:sz w:val="22"/>
          <w:szCs w:val="22"/>
        </w:rPr>
        <w:t xml:space="preserve"> (Accessed: 13 October 2026).</w:t>
      </w:r>
    </w:p>
    <w:p w:rsidR="517B3F3D" w:rsidP="517B3F3D" w:rsidRDefault="517B3F3D" w14:paraId="12BDC38C" w14:textId="3888A4B7">
      <w:pPr>
        <w:spacing w:after="140" w:line="360" w:lineRule="auto"/>
        <w:ind w:left="360" w:hanging="360"/>
        <w:rPr>
          <w:rFonts w:ascii="Arial" w:hAnsi="Arial" w:eastAsia="Arial" w:cs="Arial"/>
          <w:sz w:val="22"/>
          <w:szCs w:val="22"/>
        </w:rPr>
      </w:pPr>
    </w:p>
    <w:p w:rsidR="517B3F3D" w:rsidP="517B3F3D" w:rsidRDefault="517B3F3D" w14:paraId="2D7C4440" w14:textId="4F345BEA">
      <w:pPr>
        <w:pStyle w:val="ListParagraph"/>
        <w:spacing w:line="360" w:lineRule="auto"/>
        <w:ind w:left="0"/>
        <w:rPr>
          <w:rFonts w:ascii="Arial" w:hAnsi="Arial" w:cs="Arial"/>
          <w:sz w:val="22"/>
          <w:szCs w:val="22"/>
        </w:rPr>
      </w:pPr>
    </w:p>
    <w:sectPr w:rsidR="517B3F3D">
      <w:footerReference w:type="default" r:id="rId2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F3A9F" w:rsidP="007B78EE" w:rsidRDefault="005F3A9F" w14:paraId="37E36C4E" w14:textId="77777777">
      <w:pPr>
        <w:spacing w:after="0" w:line="240" w:lineRule="auto"/>
      </w:pPr>
      <w:r>
        <w:separator/>
      </w:r>
    </w:p>
  </w:endnote>
  <w:endnote w:type="continuationSeparator" w:id="0">
    <w:p w:rsidR="005F3A9F" w:rsidP="007B78EE" w:rsidRDefault="005F3A9F" w14:paraId="70F9BE3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6885169"/>
      <w:docPartObj>
        <w:docPartGallery w:val="Page Numbers (Bottom of Page)"/>
        <w:docPartUnique/>
      </w:docPartObj>
    </w:sdtPr>
    <w:sdtEndPr>
      <w:rPr>
        <w:noProof/>
      </w:rPr>
    </w:sdtEndPr>
    <w:sdtContent>
      <w:p w:rsidR="00665C96" w:rsidRDefault="00665C96" w14:paraId="42E4355A" w14:textId="31E39C36">
        <w:pPr>
          <w:pStyle w:val="Footer"/>
          <w:jc w:val="center"/>
        </w:pPr>
        <w:r>
          <w:fldChar w:fldCharType="begin"/>
        </w:r>
        <w:r>
          <w:instrText xml:space="preserve"> PAGE   \* MERGEFORMAT </w:instrText>
        </w:r>
        <w:r>
          <w:fldChar w:fldCharType="separate"/>
        </w:r>
        <w:r w:rsidR="517B3F3D">
          <w:t>2</w:t>
        </w:r>
        <w:r>
          <w:fldChar w:fldCharType="end"/>
        </w:r>
      </w:p>
    </w:sdtContent>
  </w:sdt>
  <w:p w:rsidR="00665C96" w:rsidRDefault="00665C96" w14:paraId="18E6419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F3A9F" w:rsidP="007B78EE" w:rsidRDefault="005F3A9F" w14:paraId="1E734B85" w14:textId="77777777">
      <w:pPr>
        <w:spacing w:after="0" w:line="240" w:lineRule="auto"/>
      </w:pPr>
      <w:r>
        <w:separator/>
      </w:r>
    </w:p>
  </w:footnote>
  <w:footnote w:type="continuationSeparator" w:id="0">
    <w:p w:rsidR="005F3A9F" w:rsidP="007B78EE" w:rsidRDefault="005F3A9F" w14:paraId="4D9F1193"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d70b3zz4lZEEh4" int2:id="RWTawmml">
      <int2:state int2:value="Rejected" int2:type="spell"/>
    </int2:textHash>
    <int2:textHash int2:hashCode="lUGJktOFqUZR1A" int2:id="Sc4tZxLK">
      <int2:state int2:value="Rejected" int2:type="spell"/>
    </int2:textHash>
    <int2:bookmark int2:bookmarkName="_Int_wYlCK3IT" int2:invalidationBookmarkName="" int2:hashCode="mvcqs8GtnNGZci" int2:id="XLrnG99Y">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3079A"/>
    <w:multiLevelType w:val="hybridMultilevel"/>
    <w:tmpl w:val="82B244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B601DC0"/>
    <w:multiLevelType w:val="multilevel"/>
    <w:tmpl w:val="FA927E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DAD6838"/>
    <w:multiLevelType w:val="hybridMultilevel"/>
    <w:tmpl w:val="FC2E094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3FF6278"/>
    <w:multiLevelType w:val="hybridMultilevel"/>
    <w:tmpl w:val="D8C224A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6F01727"/>
    <w:multiLevelType w:val="hybridMultilevel"/>
    <w:tmpl w:val="DC00AB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E1715E1"/>
    <w:multiLevelType w:val="multilevel"/>
    <w:tmpl w:val="2A488B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F3A23F7"/>
    <w:multiLevelType w:val="hybridMultilevel"/>
    <w:tmpl w:val="DCEAB6C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01B6E65"/>
    <w:multiLevelType w:val="hybridMultilevel"/>
    <w:tmpl w:val="D5AE2D8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4B55EB1"/>
    <w:multiLevelType w:val="multilevel"/>
    <w:tmpl w:val="CA466D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2FB26C70"/>
    <w:multiLevelType w:val="hybridMultilevel"/>
    <w:tmpl w:val="CA781B8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084070D"/>
    <w:multiLevelType w:val="hybridMultilevel"/>
    <w:tmpl w:val="65525A0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D3312EB"/>
    <w:multiLevelType w:val="multilevel"/>
    <w:tmpl w:val="EC2E4B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432652C6"/>
    <w:multiLevelType w:val="multilevel"/>
    <w:tmpl w:val="7624D2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47304227"/>
    <w:multiLevelType w:val="hybridMultilevel"/>
    <w:tmpl w:val="3E6868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B3812FA"/>
    <w:multiLevelType w:val="hybridMultilevel"/>
    <w:tmpl w:val="476C5E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B531425"/>
    <w:multiLevelType w:val="multilevel"/>
    <w:tmpl w:val="060653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6E1850D4"/>
    <w:multiLevelType w:val="hybridMultilevel"/>
    <w:tmpl w:val="F32A43C4"/>
    <w:lvl w:ilvl="0" w:tplc="FFFFFFFF">
      <w:start w:val="1"/>
      <w:numFmt w:val="bullet"/>
      <w:lvlText w:val=""/>
      <w:lvlJc w:val="left"/>
      <w:pPr>
        <w:ind w:left="720" w:hanging="360"/>
      </w:pPr>
      <w:rPr>
        <w:rFonts w:hint="default" w:ascii="Symbol" w:hAnsi="Symbol"/>
      </w:rPr>
    </w:lvl>
    <w:lvl w:ilvl="1" w:tplc="08090001">
      <w:start w:val="1"/>
      <w:numFmt w:val="bullet"/>
      <w:lvlText w:val=""/>
      <w:lvlJc w:val="left"/>
      <w:pPr>
        <w:ind w:left="1440" w:hanging="360"/>
      </w:pPr>
      <w:rPr>
        <w:rFonts w:hint="default" w:ascii="Symbol" w:hAnsi="Symbol"/>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7" w15:restartNumberingAfterBreak="0">
    <w:nsid w:val="6E8816A2"/>
    <w:multiLevelType w:val="multilevel"/>
    <w:tmpl w:val="D806EA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78C44D57"/>
    <w:multiLevelType w:val="hybridMultilevel"/>
    <w:tmpl w:val="ABB8426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7A393F1E"/>
    <w:multiLevelType w:val="multilevel"/>
    <w:tmpl w:val="54B2BA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7A735ACC"/>
    <w:multiLevelType w:val="multilevel"/>
    <w:tmpl w:val="3A86A0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C2D2D01"/>
    <w:multiLevelType w:val="multilevel"/>
    <w:tmpl w:val="63B479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CA33FD1"/>
    <w:multiLevelType w:val="multilevel"/>
    <w:tmpl w:val="DF6A89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7E171528"/>
    <w:multiLevelType w:val="hybridMultilevel"/>
    <w:tmpl w:val="C088D17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57308968">
    <w:abstractNumId w:val="1"/>
  </w:num>
  <w:num w:numId="2" w16cid:durableId="285046042">
    <w:abstractNumId w:val="12"/>
  </w:num>
  <w:num w:numId="3" w16cid:durableId="630283533">
    <w:abstractNumId w:val="8"/>
  </w:num>
  <w:num w:numId="4" w16cid:durableId="1149638066">
    <w:abstractNumId w:val="21"/>
  </w:num>
  <w:num w:numId="5" w16cid:durableId="2054230628">
    <w:abstractNumId w:val="22"/>
  </w:num>
  <w:num w:numId="6" w16cid:durableId="2061662595">
    <w:abstractNumId w:val="11"/>
  </w:num>
  <w:num w:numId="7" w16cid:durableId="617882528">
    <w:abstractNumId w:val="19"/>
  </w:num>
  <w:num w:numId="8" w16cid:durableId="1468166568">
    <w:abstractNumId w:val="15"/>
  </w:num>
  <w:num w:numId="9" w16cid:durableId="683440482">
    <w:abstractNumId w:val="20"/>
  </w:num>
  <w:num w:numId="10" w16cid:durableId="1763061786">
    <w:abstractNumId w:val="17"/>
  </w:num>
  <w:num w:numId="11" w16cid:durableId="1782800840">
    <w:abstractNumId w:val="5"/>
  </w:num>
  <w:num w:numId="12" w16cid:durableId="1037698264">
    <w:abstractNumId w:val="23"/>
  </w:num>
  <w:num w:numId="13" w16cid:durableId="1097481460">
    <w:abstractNumId w:val="7"/>
  </w:num>
  <w:num w:numId="14" w16cid:durableId="1783837826">
    <w:abstractNumId w:val="2"/>
  </w:num>
  <w:num w:numId="15" w16cid:durableId="525677685">
    <w:abstractNumId w:val="6"/>
  </w:num>
  <w:num w:numId="16" w16cid:durableId="743527818">
    <w:abstractNumId w:val="13"/>
  </w:num>
  <w:num w:numId="17" w16cid:durableId="1731689714">
    <w:abstractNumId w:val="10"/>
  </w:num>
  <w:num w:numId="18" w16cid:durableId="772751410">
    <w:abstractNumId w:val="18"/>
  </w:num>
  <w:num w:numId="19" w16cid:durableId="219873762">
    <w:abstractNumId w:val="14"/>
  </w:num>
  <w:num w:numId="20" w16cid:durableId="1249196122">
    <w:abstractNumId w:val="0"/>
  </w:num>
  <w:num w:numId="21" w16cid:durableId="241109229">
    <w:abstractNumId w:val="4"/>
  </w:num>
  <w:num w:numId="22" w16cid:durableId="77946202">
    <w:abstractNumId w:val="3"/>
  </w:num>
  <w:num w:numId="23" w16cid:durableId="574828403">
    <w:abstractNumId w:val="16"/>
  </w:num>
  <w:num w:numId="24" w16cid:durableId="12472987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021"/>
    <w:rsid w:val="000336E1"/>
    <w:rsid w:val="00050AD2"/>
    <w:rsid w:val="00056EDA"/>
    <w:rsid w:val="00072DDD"/>
    <w:rsid w:val="000A2D42"/>
    <w:rsid w:val="000E73A9"/>
    <w:rsid w:val="001738FE"/>
    <w:rsid w:val="001C0C97"/>
    <w:rsid w:val="001D73ED"/>
    <w:rsid w:val="001D79C0"/>
    <w:rsid w:val="001F59FD"/>
    <w:rsid w:val="001F63F4"/>
    <w:rsid w:val="002C02DE"/>
    <w:rsid w:val="002C5190"/>
    <w:rsid w:val="002D20B4"/>
    <w:rsid w:val="002D4FBC"/>
    <w:rsid w:val="002D785A"/>
    <w:rsid w:val="00305C43"/>
    <w:rsid w:val="00372414"/>
    <w:rsid w:val="003B0C4C"/>
    <w:rsid w:val="003C6AE8"/>
    <w:rsid w:val="003D4976"/>
    <w:rsid w:val="00456193"/>
    <w:rsid w:val="004A5459"/>
    <w:rsid w:val="004C412C"/>
    <w:rsid w:val="004E141F"/>
    <w:rsid w:val="005033C0"/>
    <w:rsid w:val="00541AB4"/>
    <w:rsid w:val="00574C75"/>
    <w:rsid w:val="00581365"/>
    <w:rsid w:val="005F322B"/>
    <w:rsid w:val="005F3A9F"/>
    <w:rsid w:val="006622DE"/>
    <w:rsid w:val="00665C96"/>
    <w:rsid w:val="00671FCD"/>
    <w:rsid w:val="006F087B"/>
    <w:rsid w:val="00726EE5"/>
    <w:rsid w:val="0074471F"/>
    <w:rsid w:val="00745607"/>
    <w:rsid w:val="007B78EE"/>
    <w:rsid w:val="007D5EC7"/>
    <w:rsid w:val="00861494"/>
    <w:rsid w:val="008E2468"/>
    <w:rsid w:val="008E7D25"/>
    <w:rsid w:val="00944123"/>
    <w:rsid w:val="009665CE"/>
    <w:rsid w:val="009A7E85"/>
    <w:rsid w:val="009C5F80"/>
    <w:rsid w:val="00A01B7A"/>
    <w:rsid w:val="00A04411"/>
    <w:rsid w:val="00A270A0"/>
    <w:rsid w:val="00A94745"/>
    <w:rsid w:val="00AB10F7"/>
    <w:rsid w:val="00BA6221"/>
    <w:rsid w:val="00C2177F"/>
    <w:rsid w:val="00C3510C"/>
    <w:rsid w:val="00C66514"/>
    <w:rsid w:val="00D072D7"/>
    <w:rsid w:val="00D30FB4"/>
    <w:rsid w:val="00D5010E"/>
    <w:rsid w:val="00D661F6"/>
    <w:rsid w:val="00D763EB"/>
    <w:rsid w:val="00DB6711"/>
    <w:rsid w:val="00DC11A0"/>
    <w:rsid w:val="00DC6AAD"/>
    <w:rsid w:val="00DF661D"/>
    <w:rsid w:val="00E266C5"/>
    <w:rsid w:val="00E336C6"/>
    <w:rsid w:val="00E82C66"/>
    <w:rsid w:val="00EB3021"/>
    <w:rsid w:val="00EE275B"/>
    <w:rsid w:val="00EE4DAE"/>
    <w:rsid w:val="00EE540E"/>
    <w:rsid w:val="00F84454"/>
    <w:rsid w:val="00FA6261"/>
    <w:rsid w:val="00FC24EA"/>
    <w:rsid w:val="02D5712B"/>
    <w:rsid w:val="065FB03B"/>
    <w:rsid w:val="06B08549"/>
    <w:rsid w:val="092D7000"/>
    <w:rsid w:val="0B617AD6"/>
    <w:rsid w:val="0BAC6696"/>
    <w:rsid w:val="0C173344"/>
    <w:rsid w:val="0F1B16F3"/>
    <w:rsid w:val="10BE1C3C"/>
    <w:rsid w:val="11398CD5"/>
    <w:rsid w:val="128BEABC"/>
    <w:rsid w:val="13CEC6DC"/>
    <w:rsid w:val="1467CC46"/>
    <w:rsid w:val="14ECB470"/>
    <w:rsid w:val="1519BFD8"/>
    <w:rsid w:val="15541B5A"/>
    <w:rsid w:val="155A9839"/>
    <w:rsid w:val="1561C7FD"/>
    <w:rsid w:val="1724AA97"/>
    <w:rsid w:val="1A9CB876"/>
    <w:rsid w:val="1C00B964"/>
    <w:rsid w:val="1D32E672"/>
    <w:rsid w:val="1F537825"/>
    <w:rsid w:val="20B21016"/>
    <w:rsid w:val="21C92688"/>
    <w:rsid w:val="23A09605"/>
    <w:rsid w:val="27976EF8"/>
    <w:rsid w:val="2801D358"/>
    <w:rsid w:val="28D24DA8"/>
    <w:rsid w:val="291AF322"/>
    <w:rsid w:val="29A5CCDD"/>
    <w:rsid w:val="2AB55A20"/>
    <w:rsid w:val="2B52CA3C"/>
    <w:rsid w:val="2CE85F4C"/>
    <w:rsid w:val="2DA2935A"/>
    <w:rsid w:val="2DE880A8"/>
    <w:rsid w:val="2E699E0A"/>
    <w:rsid w:val="30F3F861"/>
    <w:rsid w:val="3159AD3E"/>
    <w:rsid w:val="361F0A7B"/>
    <w:rsid w:val="36789F5D"/>
    <w:rsid w:val="3AB51527"/>
    <w:rsid w:val="3B3066C3"/>
    <w:rsid w:val="3B8DB261"/>
    <w:rsid w:val="3BC3CE36"/>
    <w:rsid w:val="3BE714C9"/>
    <w:rsid w:val="3C62F34C"/>
    <w:rsid w:val="3E3EAE1B"/>
    <w:rsid w:val="40BB879D"/>
    <w:rsid w:val="41459221"/>
    <w:rsid w:val="41DEE2DD"/>
    <w:rsid w:val="48B9E261"/>
    <w:rsid w:val="4A8BC3AA"/>
    <w:rsid w:val="4BBD5CBE"/>
    <w:rsid w:val="4BC9BC6E"/>
    <w:rsid w:val="4FB29B47"/>
    <w:rsid w:val="506ABCEB"/>
    <w:rsid w:val="50C4095E"/>
    <w:rsid w:val="517B3F3D"/>
    <w:rsid w:val="54C72410"/>
    <w:rsid w:val="56A5F5AA"/>
    <w:rsid w:val="576FB0D3"/>
    <w:rsid w:val="57D8E383"/>
    <w:rsid w:val="583BC1E1"/>
    <w:rsid w:val="5B2D611B"/>
    <w:rsid w:val="5BA11A23"/>
    <w:rsid w:val="5BD97950"/>
    <w:rsid w:val="5E78249A"/>
    <w:rsid w:val="5E9D29DC"/>
    <w:rsid w:val="5F09F21E"/>
    <w:rsid w:val="6008C693"/>
    <w:rsid w:val="602F65E5"/>
    <w:rsid w:val="60AE2C6A"/>
    <w:rsid w:val="60AFF861"/>
    <w:rsid w:val="60C07C3B"/>
    <w:rsid w:val="61A3B9AF"/>
    <w:rsid w:val="6508C97F"/>
    <w:rsid w:val="6546F20B"/>
    <w:rsid w:val="671B76C6"/>
    <w:rsid w:val="6844515B"/>
    <w:rsid w:val="6DB997BD"/>
    <w:rsid w:val="6DD5ECA6"/>
    <w:rsid w:val="7019CBF6"/>
    <w:rsid w:val="708245C2"/>
    <w:rsid w:val="711573FF"/>
    <w:rsid w:val="72C116AB"/>
    <w:rsid w:val="7645F456"/>
    <w:rsid w:val="76D081CE"/>
    <w:rsid w:val="770A19AA"/>
    <w:rsid w:val="775BDC39"/>
    <w:rsid w:val="7AC1FA95"/>
    <w:rsid w:val="7E450284"/>
    <w:rsid w:val="7FDE390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A515C8"/>
  <w15:chartTrackingRefBased/>
  <w15:docId w15:val="{7B7A28D2-A6AE-4B24-910A-16E628E57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517B3F3D"/>
  </w:style>
  <w:style w:type="paragraph" w:styleId="Heading1">
    <w:name w:val="heading 1"/>
    <w:basedOn w:val="Normal"/>
    <w:next w:val="Normal"/>
    <w:link w:val="Heading1Char"/>
    <w:uiPriority w:val="9"/>
    <w:qFormat/>
    <w:rsid w:val="517B3F3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517B3F3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517B3F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517B3F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517B3F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517B3F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517B3F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517B3F3D"/>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semiHidden/>
    <w:unhideWhenUsed/>
    <w:qFormat/>
    <w:rsid w:val="517B3F3D"/>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B302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EB302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B302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B302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B302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B302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B302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B302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B3021"/>
    <w:rPr>
      <w:rFonts w:eastAsiaTheme="majorEastAsia" w:cstheme="majorBidi"/>
      <w:color w:val="272727" w:themeColor="text1" w:themeTint="D8"/>
    </w:rPr>
  </w:style>
  <w:style w:type="paragraph" w:styleId="Title">
    <w:name w:val="Title"/>
    <w:basedOn w:val="Normal"/>
    <w:next w:val="Normal"/>
    <w:link w:val="TitleChar"/>
    <w:uiPriority w:val="10"/>
    <w:qFormat/>
    <w:rsid w:val="517B3F3D"/>
    <w:pPr>
      <w:spacing w:after="80" w:line="240" w:lineRule="auto"/>
      <w:contextualSpacing/>
    </w:pPr>
    <w:rPr>
      <w:rFonts w:asciiTheme="majorHAnsi" w:hAnsiTheme="majorHAnsi" w:eastAsiaTheme="majorEastAsia" w:cstheme="majorBidi"/>
      <w:sz w:val="56"/>
      <w:szCs w:val="56"/>
    </w:rPr>
  </w:style>
  <w:style w:type="character" w:styleId="TitleChar" w:customStyle="1">
    <w:name w:val="Title Char"/>
    <w:basedOn w:val="DefaultParagraphFont"/>
    <w:link w:val="Title"/>
    <w:uiPriority w:val="10"/>
    <w:rsid w:val="00EB302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517B3F3D"/>
    <w:rPr>
      <w:rFonts w:eastAsiaTheme="majorEastAsia" w:cstheme="majorBidi"/>
      <w:color w:val="595959" w:themeColor="text1" w:themeTint="A6"/>
      <w:sz w:val="28"/>
      <w:szCs w:val="28"/>
    </w:rPr>
  </w:style>
  <w:style w:type="character" w:styleId="SubtitleChar" w:customStyle="1">
    <w:name w:val="Subtitle Char"/>
    <w:basedOn w:val="DefaultParagraphFont"/>
    <w:link w:val="Subtitle"/>
    <w:uiPriority w:val="11"/>
    <w:rsid w:val="00EB30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517B3F3D"/>
    <w:pPr>
      <w:spacing w:before="160"/>
      <w:jc w:val="center"/>
    </w:pPr>
    <w:rPr>
      <w:i/>
      <w:iCs/>
      <w:color w:val="404040" w:themeColor="text1" w:themeTint="BF"/>
    </w:rPr>
  </w:style>
  <w:style w:type="character" w:styleId="QuoteChar" w:customStyle="1">
    <w:name w:val="Quote Char"/>
    <w:basedOn w:val="DefaultParagraphFont"/>
    <w:link w:val="Quote"/>
    <w:uiPriority w:val="29"/>
    <w:rsid w:val="00EB3021"/>
    <w:rPr>
      <w:i/>
      <w:iCs/>
      <w:color w:val="404040" w:themeColor="text1" w:themeTint="BF"/>
    </w:rPr>
  </w:style>
  <w:style w:type="paragraph" w:styleId="ListParagraph">
    <w:name w:val="List Paragraph"/>
    <w:basedOn w:val="Normal"/>
    <w:uiPriority w:val="34"/>
    <w:qFormat/>
    <w:rsid w:val="517B3F3D"/>
    <w:pPr>
      <w:ind w:left="720"/>
      <w:contextualSpacing/>
    </w:pPr>
  </w:style>
  <w:style w:type="character" w:styleId="IntenseEmphasis">
    <w:name w:val="Intense Emphasis"/>
    <w:basedOn w:val="DefaultParagraphFont"/>
    <w:uiPriority w:val="21"/>
    <w:qFormat/>
    <w:rsid w:val="00EB3021"/>
    <w:rPr>
      <w:i/>
      <w:iCs/>
      <w:color w:val="0F4761" w:themeColor="accent1" w:themeShade="BF"/>
    </w:rPr>
  </w:style>
  <w:style w:type="paragraph" w:styleId="IntenseQuote">
    <w:name w:val="Intense Quote"/>
    <w:basedOn w:val="Normal"/>
    <w:next w:val="Normal"/>
    <w:link w:val="IntenseQuoteChar"/>
    <w:uiPriority w:val="30"/>
    <w:qFormat/>
    <w:rsid w:val="517B3F3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B3021"/>
    <w:rPr>
      <w:i/>
      <w:iCs/>
      <w:color w:val="0F4761" w:themeColor="accent1" w:themeShade="BF"/>
    </w:rPr>
  </w:style>
  <w:style w:type="character" w:styleId="IntenseReference">
    <w:name w:val="Intense Reference"/>
    <w:basedOn w:val="DefaultParagraphFont"/>
    <w:uiPriority w:val="32"/>
    <w:qFormat/>
    <w:rsid w:val="00EB3021"/>
    <w:rPr>
      <w:b/>
      <w:bCs/>
      <w:smallCaps/>
      <w:color w:val="0F4761" w:themeColor="accent1" w:themeShade="BF"/>
      <w:spacing w:val="5"/>
    </w:rPr>
  </w:style>
  <w:style w:type="paragraph" w:styleId="Header">
    <w:name w:val="header"/>
    <w:basedOn w:val="Normal"/>
    <w:link w:val="HeaderChar"/>
    <w:uiPriority w:val="99"/>
    <w:unhideWhenUsed/>
    <w:rsid w:val="517B3F3D"/>
    <w:pPr>
      <w:tabs>
        <w:tab w:val="center" w:pos="4513"/>
        <w:tab w:val="right" w:pos="9026"/>
      </w:tabs>
      <w:spacing w:after="0" w:line="240" w:lineRule="auto"/>
    </w:pPr>
  </w:style>
  <w:style w:type="character" w:styleId="HeaderChar" w:customStyle="1">
    <w:name w:val="Header Char"/>
    <w:basedOn w:val="DefaultParagraphFont"/>
    <w:link w:val="Header"/>
    <w:uiPriority w:val="99"/>
    <w:rsid w:val="007B78EE"/>
  </w:style>
  <w:style w:type="paragraph" w:styleId="Footer">
    <w:name w:val="footer"/>
    <w:basedOn w:val="Normal"/>
    <w:link w:val="FooterChar"/>
    <w:uiPriority w:val="99"/>
    <w:unhideWhenUsed/>
    <w:rsid w:val="517B3F3D"/>
    <w:pPr>
      <w:tabs>
        <w:tab w:val="center" w:pos="4513"/>
        <w:tab w:val="right" w:pos="9026"/>
      </w:tabs>
      <w:spacing w:after="0" w:line="240" w:lineRule="auto"/>
    </w:pPr>
  </w:style>
  <w:style w:type="character" w:styleId="FooterChar" w:customStyle="1">
    <w:name w:val="Footer Char"/>
    <w:basedOn w:val="DefaultParagraphFont"/>
    <w:link w:val="Footer"/>
    <w:uiPriority w:val="99"/>
    <w:rsid w:val="007B78EE"/>
  </w:style>
  <w:style w:type="character" w:styleId="Hyperlink">
    <w:name w:val="Hyperlink"/>
    <w:basedOn w:val="DefaultParagraphFont"/>
    <w:uiPriority w:val="99"/>
    <w:unhideWhenUsed/>
    <w:rsid w:val="517B3F3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111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health.org.uk/reports-and-analysis/working-papers/what-do-virtual-wards-look-like-in-england" TargetMode="External" Id="rId8" /><Relationship Type="http://schemas.openxmlformats.org/officeDocument/2006/relationships/hyperlink" Target="https://ico.org.uk/for-organisations/uk-gdpr-guidance-and-resources/lawful-basis/special-category-data/what-is-special-category-data/" TargetMode="External" Id="rId13" /><Relationship Type="http://schemas.openxmlformats.org/officeDocument/2006/relationships/hyperlink" Target="https://www.england.nhs.uk/long-read/summary-of-south-east-region-virtual-wards-evaluation/" TargetMode="External" Id="rId18" /><Relationship Type="http://schemas.openxmlformats.org/officeDocument/2006/relationships/settings" Target="settings.xml" Id="rId3" /><Relationship Type="http://schemas.openxmlformats.org/officeDocument/2006/relationships/hyperlink" Target="https://doi.org/10.1186/s12916-024-03312-3" TargetMode="External" Id="rId21" /><Relationship Type="http://schemas.openxmlformats.org/officeDocument/2006/relationships/hyperlink" Target="https://www.cqc.org.uk/guidance-regulation/providers/regulations-service-providers-and-managers/health-social-care-act/regulation-12" TargetMode="External" Id="rId7" /><Relationship Type="http://schemas.openxmlformats.org/officeDocument/2006/relationships/hyperlink" Target="https://www.legislation.gov.uk/ukpga/2018/12/contents" TargetMode="External" Id="rId12" /><Relationship Type="http://schemas.openxmlformats.org/officeDocument/2006/relationships/hyperlink" Target="https://www.england.nhs.uk/long-read/access-to-diagnostics-on-virtual-wards/" TargetMode="External" Id="rId17" /><Relationship Type="http://schemas.microsoft.com/office/2020/10/relationships/intelligence" Target="intelligence2.xml" Id="rId25" /><Relationship Type="http://schemas.openxmlformats.org/officeDocument/2006/relationships/styles" Target="styles.xml" Id="rId2" /><Relationship Type="http://schemas.openxmlformats.org/officeDocument/2006/relationships/hyperlink" Target="https://www.england.nhs.uk/long-read/inclusive-digital-healthcare-a-framework-for-nhs-action-on-digital-inclusion/" TargetMode="External" Id="rId16" /><Relationship Type="http://schemas.openxmlformats.org/officeDocument/2006/relationships/hyperlink" Target="https://doi.org/10.1093/ageing/afac319" TargetMode="Externa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legislation.gov.uk/ukpga/2010/15/contents" TargetMode="External" Id="rId11" /><Relationship Type="http://schemas.openxmlformats.org/officeDocument/2006/relationships/theme" Target="theme/theme1.xml" Id="rId24" /><Relationship Type="http://schemas.openxmlformats.org/officeDocument/2006/relationships/footnotes" Target="footnotes.xml" Id="rId5" /><Relationship Type="http://schemas.openxmlformats.org/officeDocument/2006/relationships/hyperlink" Target="https://www.england.nhs.uk/long-read/a-guide-to-setting-up-technology-enabled-virtual-wards/" TargetMode="External" Id="rId15" /><Relationship Type="http://schemas.openxmlformats.org/officeDocument/2006/relationships/fontTable" Target="fontTable.xml" Id="rId23" /><Relationship Type="http://schemas.openxmlformats.org/officeDocument/2006/relationships/hyperlink" Target="https://www.gov.uk/government/publications/a-plan-for-digital-health-and-social-care" TargetMode="External" Id="rId10" /><Relationship Type="http://schemas.openxmlformats.org/officeDocument/2006/relationships/hyperlink" Target="https://www.england.nhs.uk/publication/virtual-wards-operational-framework/" TargetMode="External" Id="rId19" /><Relationship Type="http://schemas.openxmlformats.org/officeDocument/2006/relationships/webSettings" Target="webSettings.xml" Id="rId4" /><Relationship Type="http://schemas.openxmlformats.org/officeDocument/2006/relationships/hyperlink" Target="https://www.health.org.uk/features-and-opinion/blogs/virtual-wards-no-place-like-home" TargetMode="External" Id="rId9" /><Relationship Type="http://schemas.openxmlformats.org/officeDocument/2006/relationships/hyperlink" Target="https://www.nice.org.uk/guidance/ng197" TargetMode="External" Id="rId14" /><Relationship Type="http://schemas.openxmlformats.org/officeDocument/2006/relationships/footer" Target="footer1.xml"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Joanne Davies (Yr Athrofa)</dc:creator>
  <keywords/>
  <dc:description/>
  <lastModifiedBy>Nazema Bibi (2333305)</lastModifiedBy>
  <revision>48</revision>
  <dcterms:created xsi:type="dcterms:W3CDTF">2026-10-12T15:24:00.0000000Z</dcterms:created>
  <dcterms:modified xsi:type="dcterms:W3CDTF">2026-10-13T15:57:37.2410064Z</dcterms:modified>
</coreProperties>
</file>