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1834FC" w:rsidP="389D9928" w:rsidRDefault="001834FC" w14:paraId="5CD01E00" w14:textId="4E76A44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287F87D8">
        <w:drawing>
          <wp:inline wp14:editId="389D9928" wp14:anchorId="64854B01">
            <wp:extent cx="1828800" cy="1828800"/>
            <wp:effectExtent l="0" t="0" r="0" b="0"/>
            <wp:docPr id="276591217" name="" title=""/>
            <wp:cNvGraphicFramePr>
              <a:graphicFrameLocks noChangeAspect="1"/>
            </wp:cNvGraphicFramePr>
            <a:graphic>
              <a:graphicData uri="http://schemas.openxmlformats.org/drawingml/2006/picture">
                <pic:pic>
                  <pic:nvPicPr>
                    <pic:cNvPr id="0" name=""/>
                    <pic:cNvPicPr/>
                  </pic:nvPicPr>
                  <pic:blipFill>
                    <a:blip r:embed="Rd959274195cf4bd6">
                      <a:extLst>
                        <a:ext xmlns:a="http://schemas.openxmlformats.org/drawingml/2006/main" uri="{28A0092B-C50C-407E-A947-70E740481C1C}">
                          <a14:useLocalDpi val="0"/>
                        </a:ext>
                      </a:extLst>
                    </a:blip>
                    <a:stretch>
                      <a:fillRect/>
                    </a:stretch>
                  </pic:blipFill>
                  <pic:spPr>
                    <a:xfrm>
                      <a:off x="0" y="0"/>
                      <a:ext cx="1828800" cy="1828800"/>
                    </a:xfrm>
                    <a:prstGeom prst="rect">
                      <a:avLst/>
                    </a:prstGeom>
                  </pic:spPr>
                </pic:pic>
              </a:graphicData>
            </a:graphic>
          </wp:inline>
        </w:drawing>
      </w:r>
      <w:r>
        <w:br/>
      </w:r>
    </w:p>
    <w:p w:rsidR="001834FC" w:rsidP="389D9928" w:rsidRDefault="001834FC" w14:noSpellErr="1" w14:paraId="5948D747" w14:textId="31898572">
      <w:pPr>
        <w:pStyle w:val="Title"/>
        <w:jc w:val="center"/>
        <w:rPr>
          <w:rFonts w:ascii="Arial" w:hAnsi="Arial" w:eastAsia="Arial" w:cs="Arial"/>
        </w:rPr>
      </w:pPr>
      <w:r w:rsidRPr="389D9928" w:rsidR="287F87D8">
        <w:rPr>
          <w:rFonts w:ascii="Arial" w:hAnsi="Arial" w:eastAsia="Arial" w:cs="Arial"/>
        </w:rPr>
        <w:t>Living with Care: The Older Person</w:t>
      </w:r>
    </w:p>
    <w:p w:rsidR="001834FC" w:rsidP="389D9928" w:rsidRDefault="001834FC" w14:paraId="09EF034C" w14:textId="1835AEE5">
      <w:pPr>
        <w:pStyle w:val="Normal"/>
        <w:spacing w:after="160" w:line="259" w:lineRule="auto"/>
        <w:rPr>
          <w:rFonts w:ascii="Times New Roman" w:hAnsi="Times New Roman" w:eastAsia="Calibri" w:cs="Vrinda"/>
          <w:b w:val="0"/>
          <w:bCs w:val="0"/>
          <w:i w:val="0"/>
          <w:iCs w:val="0"/>
          <w:caps w:val="0"/>
          <w:smallCaps w:val="0"/>
          <w:noProof w:val="0"/>
          <w:color w:val="000000" w:themeColor="text1" w:themeTint="FF" w:themeShade="FF"/>
          <w:sz w:val="24"/>
          <w:szCs w:val="24"/>
          <w:lang w:val="en-GB"/>
        </w:rPr>
      </w:pPr>
      <w:r w:rsidRPr="389D9928" w:rsidR="287F87D8">
        <w:rPr>
          <w:rFonts w:ascii="Times New Roman" w:hAnsi="Times New Roman" w:eastAsia="Calibri" w:cs="Vrinda"/>
          <w:b w:val="0"/>
          <w:bCs w:val="0"/>
          <w:i w:val="0"/>
          <w:iCs w:val="0"/>
          <w:caps w:val="0"/>
          <w:smallCaps w:val="0"/>
          <w:noProof w:val="0"/>
          <w:color w:val="000000" w:themeColor="text1" w:themeTint="FF" w:themeShade="FF"/>
          <w:sz w:val="24"/>
          <w:szCs w:val="24"/>
          <w:lang w:val="en-GB"/>
        </w:rPr>
        <w:t xml:space="preserve">    </w:t>
      </w:r>
    </w:p>
    <w:p w:rsidR="001834FC" w:rsidP="389D9928" w:rsidRDefault="001834FC" w14:paraId="4E23E03A" w14:textId="6DCBBE5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56"/>
          <w:szCs w:val="56"/>
          <w:lang w:val="en-GB"/>
        </w:rPr>
      </w:pPr>
      <w:r w:rsidRPr="389D9928" w:rsidR="287F87D8">
        <w:rPr>
          <w:rFonts w:ascii="Arial" w:hAnsi="Arial" w:eastAsia="Arial" w:cs="Arial"/>
          <w:b w:val="0"/>
          <w:bCs w:val="0"/>
          <w:i w:val="0"/>
          <w:iCs w:val="0"/>
          <w:caps w:val="0"/>
          <w:smallCaps w:val="0"/>
          <w:noProof w:val="0"/>
          <w:color w:val="000000" w:themeColor="text1" w:themeTint="FF" w:themeShade="FF"/>
          <w:sz w:val="56"/>
          <w:szCs w:val="56"/>
          <w:lang w:val="en-GB"/>
        </w:rPr>
        <w:t xml:space="preserve">  </w:t>
      </w:r>
      <w:r w:rsidRPr="389D9928" w:rsidR="287F87D8">
        <w:rPr>
          <w:rFonts w:ascii="Arial" w:hAnsi="Arial" w:eastAsia="Arial" w:cs="Arial"/>
          <w:b w:val="0"/>
          <w:bCs w:val="0"/>
          <w:i w:val="0"/>
          <w:iCs w:val="0"/>
          <w:caps w:val="0"/>
          <w:smallCaps w:val="0"/>
          <w:noProof w:val="0"/>
          <w:color w:val="000000" w:themeColor="text1" w:themeTint="FF" w:themeShade="FF"/>
          <w:sz w:val="56"/>
          <w:szCs w:val="56"/>
          <w:lang w:val="en-GB"/>
        </w:rPr>
        <w:t>Assessment</w:t>
      </w:r>
      <w:r w:rsidRPr="389D9928" w:rsidR="287F87D8">
        <w:rPr>
          <w:rFonts w:ascii="Arial" w:hAnsi="Arial" w:eastAsia="Arial" w:cs="Arial"/>
          <w:b w:val="0"/>
          <w:bCs w:val="0"/>
          <w:i w:val="0"/>
          <w:iCs w:val="0"/>
          <w:caps w:val="0"/>
          <w:smallCaps w:val="0"/>
          <w:noProof w:val="0"/>
          <w:color w:val="000000" w:themeColor="text1" w:themeTint="FF" w:themeShade="FF"/>
          <w:sz w:val="56"/>
          <w:szCs w:val="56"/>
          <w:lang w:val="en-GB"/>
        </w:rPr>
        <w:t xml:space="preserve"> 1</w:t>
      </w:r>
    </w:p>
    <w:p w:rsidR="001834FC" w:rsidP="389D9928" w:rsidRDefault="001834FC" w14:paraId="69461769" w14:textId="20098B6F">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001834FC" w:rsidP="389D9928" w:rsidRDefault="001834FC" w14:paraId="163BF0F1" w14:textId="7B07E444">
      <w:pPr>
        <w:spacing w:after="160" w:line="259" w:lineRule="auto"/>
        <w:rPr>
          <w:rFonts w:ascii="Arial" w:hAnsi="Arial" w:eastAsia="Arial" w:cs="Arial"/>
          <w:b w:val="0"/>
          <w:bCs w:val="0"/>
          <w:i w:val="0"/>
          <w:iCs w:val="0"/>
          <w:caps w:val="0"/>
          <w:smallCaps w:val="0"/>
          <w:noProof w:val="0"/>
          <w:color w:val="000000" w:themeColor="text1" w:themeTint="FF" w:themeShade="FF"/>
          <w:sz w:val="32"/>
          <w:szCs w:val="32"/>
          <w:lang w:val="en-GB"/>
        </w:rPr>
      </w:pPr>
    </w:p>
    <w:p w:rsidR="001834FC" w:rsidP="389D9928" w:rsidRDefault="001834FC" w14:paraId="5F7E7CB5" w14:textId="2B19B7E5">
      <w:pPr>
        <w:spacing w:after="160" w:line="259"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389D9928" w:rsidR="287F87D8">
        <w:rPr>
          <w:rFonts w:ascii="Arial" w:hAnsi="Arial" w:eastAsia="Arial" w:cs="Arial"/>
          <w:b w:val="0"/>
          <w:bCs w:val="0"/>
          <w:i w:val="0"/>
          <w:iCs w:val="0"/>
          <w:caps w:val="0"/>
          <w:smallCaps w:val="0"/>
          <w:noProof w:val="0"/>
          <w:color w:val="000000" w:themeColor="text1" w:themeTint="FF" w:themeShade="FF"/>
          <w:sz w:val="32"/>
          <w:szCs w:val="32"/>
          <w:lang w:val="en-GB"/>
        </w:rPr>
        <w:t>Student name: Andreea Cornelia Lupu</w:t>
      </w:r>
    </w:p>
    <w:p w:rsidR="001834FC" w:rsidP="389D9928" w:rsidRDefault="001834FC" w14:paraId="27E937E2" w14:textId="53CD2B7E">
      <w:pPr>
        <w:spacing w:after="160" w:line="259"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389D9928" w:rsidR="287F87D8">
        <w:rPr>
          <w:rFonts w:ascii="Arial" w:hAnsi="Arial" w:eastAsia="Arial" w:cs="Arial"/>
          <w:b w:val="0"/>
          <w:bCs w:val="0"/>
          <w:i w:val="0"/>
          <w:iCs w:val="0"/>
          <w:caps w:val="0"/>
          <w:smallCaps w:val="0"/>
          <w:noProof w:val="0"/>
          <w:color w:val="000000" w:themeColor="text1" w:themeTint="FF" w:themeShade="FF"/>
          <w:sz w:val="32"/>
          <w:szCs w:val="32"/>
          <w:lang w:val="en-GB"/>
        </w:rPr>
        <w:t>Student ID: 1906519</w:t>
      </w:r>
    </w:p>
    <w:p w:rsidR="001834FC" w:rsidP="389D9928" w:rsidRDefault="001834FC" w14:paraId="5DB29281" w14:textId="3B3AFCD6">
      <w:pPr>
        <w:pStyle w:val="Normal"/>
        <w:spacing w:after="160" w:line="259" w:lineRule="auto"/>
        <w:rPr>
          <w:rFonts w:ascii="Times New Roman" w:hAnsi="Times New Roman" w:eastAsia="Calibri" w:cs="Vrinda"/>
          <w:color w:val="000000" w:themeColor="text1" w:themeTint="FF" w:themeShade="FF"/>
          <w:sz w:val="24"/>
          <w:szCs w:val="24"/>
        </w:rPr>
      </w:pPr>
      <w:r w:rsidRPr="389D9928" w:rsidR="287F87D8">
        <w:rPr>
          <w:rFonts w:ascii="Arial" w:hAnsi="Arial" w:eastAsia="Arial" w:cs="Arial"/>
          <w:b w:val="0"/>
          <w:bCs w:val="0"/>
          <w:i w:val="0"/>
          <w:iCs w:val="0"/>
          <w:caps w:val="0"/>
          <w:smallCaps w:val="0"/>
          <w:noProof w:val="0"/>
          <w:color w:val="000000" w:themeColor="text1" w:themeTint="FF" w:themeShade="FF"/>
          <w:sz w:val="32"/>
          <w:szCs w:val="32"/>
          <w:lang w:val="en-GB"/>
        </w:rPr>
        <w:t>Module title: Living with care</w:t>
      </w:r>
      <w:r w:rsidRPr="389D9928" w:rsidR="287F87D8">
        <w:rPr>
          <w:rFonts w:ascii="Arial" w:hAnsi="Arial" w:eastAsia="Arial" w:cs="Arial"/>
          <w:sz w:val="32"/>
          <w:szCs w:val="32"/>
        </w:rPr>
        <w:t>: The older person</w:t>
      </w:r>
    </w:p>
    <w:p w:rsidR="001834FC" w:rsidP="389D9928" w:rsidRDefault="001834FC" w14:paraId="76FD45BB" w14:textId="6C07C101">
      <w:pPr>
        <w:spacing w:after="160" w:line="259"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389D9928" w:rsidR="287F87D8">
        <w:rPr>
          <w:rFonts w:ascii="Arial" w:hAnsi="Arial" w:eastAsia="Arial" w:cs="Arial"/>
          <w:b w:val="0"/>
          <w:bCs w:val="0"/>
          <w:i w:val="0"/>
          <w:iCs w:val="0"/>
          <w:caps w:val="0"/>
          <w:smallCaps w:val="0"/>
          <w:noProof w:val="0"/>
          <w:color w:val="000000" w:themeColor="text1" w:themeTint="FF" w:themeShade="FF"/>
          <w:sz w:val="32"/>
          <w:szCs w:val="32"/>
          <w:lang w:val="en-GB"/>
        </w:rPr>
        <w:t>Module code: BMHP600</w:t>
      </w:r>
      <w:r w:rsidRPr="389D9928" w:rsidR="63316C05">
        <w:rPr>
          <w:rFonts w:ascii="Arial" w:hAnsi="Arial" w:eastAsia="Arial" w:cs="Arial"/>
          <w:b w:val="0"/>
          <w:bCs w:val="0"/>
          <w:i w:val="0"/>
          <w:iCs w:val="0"/>
          <w:caps w:val="0"/>
          <w:smallCaps w:val="0"/>
          <w:noProof w:val="0"/>
          <w:color w:val="000000" w:themeColor="text1" w:themeTint="FF" w:themeShade="FF"/>
          <w:sz w:val="32"/>
          <w:szCs w:val="32"/>
          <w:lang w:val="en-GB"/>
        </w:rPr>
        <w:t>9</w:t>
      </w:r>
    </w:p>
    <w:p w:rsidR="001834FC" w:rsidP="389D9928" w:rsidRDefault="001834FC" w14:paraId="08C3679E" w14:textId="4A539786">
      <w:pPr>
        <w:spacing w:after="160" w:line="259"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389D9928" w:rsidR="287F87D8">
        <w:rPr>
          <w:rFonts w:ascii="Arial" w:hAnsi="Arial" w:eastAsia="Arial" w:cs="Arial"/>
          <w:b w:val="0"/>
          <w:bCs w:val="0"/>
          <w:i w:val="0"/>
          <w:iCs w:val="0"/>
          <w:caps w:val="0"/>
          <w:smallCaps w:val="0"/>
          <w:noProof w:val="0"/>
          <w:color w:val="000000" w:themeColor="text1" w:themeTint="FF" w:themeShade="FF"/>
          <w:sz w:val="32"/>
          <w:szCs w:val="32"/>
          <w:lang w:val="en-GB"/>
        </w:rPr>
        <w:t xml:space="preserve">Lecturer: </w:t>
      </w:r>
      <w:r w:rsidRPr="389D9928" w:rsidR="6141490D">
        <w:rPr>
          <w:rFonts w:ascii="Arial" w:hAnsi="Arial" w:eastAsia="Arial" w:cs="Arial"/>
          <w:b w:val="0"/>
          <w:bCs w:val="0"/>
          <w:i w:val="0"/>
          <w:iCs w:val="0"/>
          <w:caps w:val="0"/>
          <w:smallCaps w:val="0"/>
          <w:noProof w:val="0"/>
          <w:color w:val="000000" w:themeColor="text1" w:themeTint="FF" w:themeShade="FF"/>
          <w:sz w:val="32"/>
          <w:szCs w:val="32"/>
          <w:lang w:val="en-GB"/>
        </w:rPr>
        <w:t>Edward Goka</w:t>
      </w:r>
    </w:p>
    <w:p w:rsidR="001834FC" w:rsidP="389D9928" w:rsidRDefault="001834FC" w14:paraId="0F5CE645" w14:textId="2406DC56">
      <w:pPr>
        <w:pStyle w:val="Normal"/>
        <w:rPr>
          <w:rFonts w:ascii="Times New Roman" w:hAnsi="Times New Roman" w:eastAsia="Calibri" w:cs="Vrinda"/>
          <w:color w:val="000000" w:themeColor="text1" w:themeTint="FF" w:themeShade="FF"/>
          <w:sz w:val="24"/>
          <w:szCs w:val="24"/>
        </w:rPr>
      </w:pPr>
    </w:p>
    <w:p w:rsidR="001834FC" w:rsidP="389D9928" w:rsidRDefault="001834FC" w14:paraId="4102EBC4" w14:textId="6BD0C29C">
      <w:pPr>
        <w:pStyle w:val="Title"/>
        <w:jc w:val="center"/>
        <w:rPr>
          <w:rFonts w:ascii="Arial" w:hAnsi="Arial" w:eastAsia="Arial" w:cs="Arial"/>
        </w:rPr>
      </w:pPr>
    </w:p>
    <w:p w:rsidR="001834FC" w:rsidP="389D9928" w:rsidRDefault="001834FC" w14:paraId="27EC08B1" w14:textId="4279EA64">
      <w:pPr>
        <w:pStyle w:val="Title"/>
        <w:jc w:val="center"/>
        <w:rPr>
          <w:rFonts w:ascii="Arial" w:hAnsi="Arial" w:eastAsia="Arial" w:cs="Arial"/>
        </w:rPr>
      </w:pPr>
    </w:p>
    <w:p w:rsidR="001834FC" w:rsidP="389D9928" w:rsidRDefault="001834FC" w14:paraId="27346035" w14:textId="41ADAA5A">
      <w:pPr>
        <w:pStyle w:val="Title"/>
        <w:jc w:val="center"/>
        <w:rPr>
          <w:rFonts w:ascii="Arial" w:hAnsi="Arial" w:eastAsia="Arial" w:cs="Arial"/>
        </w:rPr>
      </w:pPr>
    </w:p>
    <w:p w:rsidR="001834FC" w:rsidP="389D9928" w:rsidRDefault="001834FC" w14:paraId="3C67747A" w14:textId="4F3E5A9E">
      <w:pPr>
        <w:pStyle w:val="Normal"/>
        <w:jc w:val="center"/>
        <w:rPr>
          <w:rFonts w:ascii="Times New Roman" w:hAnsi="Times New Roman" w:eastAsia="Calibri" w:cs="Vrinda"/>
          <w:color w:val="000000" w:themeColor="text1" w:themeTint="FF" w:themeShade="FF"/>
          <w:sz w:val="24"/>
          <w:szCs w:val="24"/>
        </w:rPr>
      </w:pPr>
    </w:p>
    <w:p w:rsidR="389D9928" w:rsidP="389D9928" w:rsidRDefault="389D9928" w14:paraId="680DE163" w14:textId="608DC0F5">
      <w:pPr>
        <w:pStyle w:val="Normal"/>
        <w:jc w:val="center"/>
        <w:rPr>
          <w:rFonts w:ascii="Times New Roman" w:hAnsi="Times New Roman" w:eastAsia="Calibri" w:cs="Vrinda"/>
          <w:color w:val="000000" w:themeColor="text1" w:themeTint="FF" w:themeShade="FF"/>
          <w:sz w:val="24"/>
          <w:szCs w:val="24"/>
        </w:rPr>
      </w:pPr>
    </w:p>
    <w:sdt>
      <w:sdtPr>
        <w:rPr>
          <w:rFonts w:ascii="Times New Roman" w:hAnsi="Times New Roman" w:eastAsiaTheme="minorHAnsi" w:cstheme="minorBidi"/>
          <w:color w:val="000000" w:themeColor="text1"/>
          <w:sz w:val="24"/>
          <w:szCs w:val="22"/>
          <w:lang w:val="en-GB"/>
        </w:rPr>
        <w:id w:val="1042171579"/>
        <w:docPartObj>
          <w:docPartGallery w:val="Table of Contents"/>
          <w:docPartUnique/>
        </w:docPartObj>
      </w:sdtPr>
      <w:sdtEndPr>
        <w:rPr>
          <w:b/>
          <w:bCs/>
          <w:noProof/>
        </w:rPr>
      </w:sdtEndPr>
      <w:sdtContent>
        <w:p w:rsidR="001834FC" w:rsidP="389D9928" w:rsidRDefault="001834FC" w14:paraId="5358D54C" w14:textId="28855B5F" w14:noSpellErr="1">
          <w:pPr>
            <w:pStyle w:val="TOCHeading"/>
            <w:spacing w:line="360" w:lineRule="auto"/>
            <w:rPr>
              <w:rFonts w:ascii="Arial" w:hAnsi="Arial" w:eastAsia="Arial" w:cs="Arial"/>
              <w:sz w:val="22"/>
              <w:szCs w:val="22"/>
            </w:rPr>
          </w:pPr>
          <w:r w:rsidRPr="389D9928" w:rsidR="001834FC">
            <w:rPr>
              <w:rFonts w:ascii="Arial" w:hAnsi="Arial" w:eastAsia="Arial" w:cs="Arial"/>
              <w:sz w:val="22"/>
              <w:szCs w:val="22"/>
            </w:rPr>
            <w:t>Table of Contents</w:t>
          </w:r>
        </w:p>
        <w:p w:rsidR="00F53430" w:rsidP="389D9928" w:rsidRDefault="001834FC" w14:paraId="7B5FB11A" w14:textId="4BEF5CEA" w14:noSpellErr="1">
          <w:pPr>
            <w:pStyle w:val="TOC1"/>
            <w:tabs>
              <w:tab w:val="right" w:leader="dot" w:pos="9350"/>
            </w:tabs>
            <w:rPr>
              <w:rFonts w:ascii="Arial" w:hAnsi="Arial" w:eastAsia="Arial" w:cs="Arial"/>
              <w:noProof/>
              <w:color w:val="auto"/>
              <w:sz w:val="22"/>
              <w:szCs w:val="22"/>
              <w:lang w:eastAsia="en-GB"/>
            </w:rPr>
          </w:pPr>
          <w:r>
            <w:rPr>
              <w:b w:val="1"/>
              <w:bCs w:val="1"/>
              <w:noProof/>
            </w:rPr>
            <w:fldChar w:fldCharType="begin"/>
          </w:r>
          <w:r>
            <w:rPr>
              <w:b w:val="1"/>
              <w:bCs w:val="1"/>
              <w:noProof/>
            </w:rPr>
            <w:instrText xml:space="preserve"> TOC \o "1-3" \h \z \u </w:instrText>
          </w:r>
          <w:r>
            <w:rPr>
              <w:b w:val="1"/>
              <w:bCs w:val="1"/>
              <w:noProof/>
            </w:rPr>
            <w:fldChar w:fldCharType="separate"/>
          </w:r>
          <w:r w:rsidR="00F53430">
            <w:t>￼</w:t>
          </w:r>
        </w:p>
        <w:p w:rsidR="00F53430" w:rsidP="389D9928" w:rsidRDefault="00F53430" w14:paraId="211A278F" w14:textId="4A160EB5" w14:noSpellErr="1">
          <w:pPr>
            <w:pStyle w:val="TOC1"/>
            <w:tabs>
              <w:tab w:val="right" w:leader="dot" w:pos="9350"/>
            </w:tabs>
            <w:rPr>
              <w:rFonts w:ascii="Arial" w:hAnsi="Arial" w:eastAsia="Arial" w:cs="Arial"/>
              <w:noProof/>
              <w:color w:val="auto"/>
              <w:sz w:val="22"/>
              <w:szCs w:val="22"/>
              <w:lang w:eastAsia="en-GB"/>
            </w:rPr>
          </w:pPr>
          <w:r w:rsidR="00F53430">
            <w:t>￼</w:t>
          </w:r>
        </w:p>
        <w:p w:rsidR="00F53430" w:rsidP="389D9928" w:rsidRDefault="00F53430" w14:paraId="036C6F32" w14:textId="5BB47B13" w14:noSpellErr="1">
          <w:pPr>
            <w:pStyle w:val="TOC1"/>
            <w:tabs>
              <w:tab w:val="right" w:leader="dot" w:pos="9350"/>
            </w:tabs>
            <w:rPr>
              <w:rFonts w:ascii="Arial" w:hAnsi="Arial" w:eastAsia="Arial" w:cs="Arial"/>
              <w:noProof/>
              <w:color w:val="auto"/>
              <w:sz w:val="22"/>
              <w:szCs w:val="22"/>
              <w:lang w:eastAsia="en-GB"/>
            </w:rPr>
          </w:pPr>
          <w:r w:rsidR="00F53430">
            <w:t>￼</w:t>
          </w:r>
        </w:p>
        <w:p w:rsidR="00F53430" w:rsidP="389D9928" w:rsidRDefault="00F53430" w14:paraId="71F28742" w14:textId="1D9BF303" w14:noSpellErr="1">
          <w:pPr>
            <w:pStyle w:val="TOC1"/>
            <w:tabs>
              <w:tab w:val="right" w:leader="dot" w:pos="9350"/>
            </w:tabs>
            <w:rPr>
              <w:rFonts w:ascii="Arial" w:hAnsi="Arial" w:eastAsia="Arial" w:cs="Arial"/>
              <w:noProof/>
              <w:color w:val="auto"/>
              <w:sz w:val="22"/>
              <w:szCs w:val="22"/>
              <w:lang w:eastAsia="en-GB"/>
            </w:rPr>
          </w:pPr>
          <w:r w:rsidR="00F53430">
            <w:t>￼</w:t>
          </w:r>
        </w:p>
        <w:p w:rsidR="00F53430" w:rsidP="389D9928" w:rsidRDefault="00F53430" w14:paraId="003BF4BA" w14:textId="70E2246F" w14:noSpellErr="1">
          <w:pPr>
            <w:pStyle w:val="TOC1"/>
            <w:tabs>
              <w:tab w:val="right" w:leader="dot" w:pos="9350"/>
            </w:tabs>
            <w:rPr>
              <w:rFonts w:ascii="Arial" w:hAnsi="Arial" w:eastAsia="Arial" w:cs="Arial"/>
              <w:noProof/>
              <w:color w:val="auto"/>
              <w:sz w:val="22"/>
              <w:szCs w:val="22"/>
              <w:lang w:eastAsia="en-GB"/>
            </w:rPr>
          </w:pPr>
          <w:r w:rsidR="00F53430">
            <w:t>￼</w:t>
          </w:r>
        </w:p>
        <w:p w:rsidR="00F53430" w:rsidP="389D9928" w:rsidRDefault="00F53430" w14:paraId="17283FE4" w14:textId="5E39D23A" w14:noSpellErr="1">
          <w:pPr>
            <w:pStyle w:val="TOC1"/>
            <w:tabs>
              <w:tab w:val="right" w:leader="dot" w:pos="9350"/>
            </w:tabs>
            <w:rPr>
              <w:rFonts w:ascii="Arial" w:hAnsi="Arial" w:eastAsia="Arial" w:cs="Arial"/>
              <w:noProof/>
              <w:color w:val="auto"/>
              <w:sz w:val="22"/>
              <w:szCs w:val="22"/>
              <w:lang w:eastAsia="en-GB"/>
            </w:rPr>
          </w:pPr>
          <w:r w:rsidR="00F53430">
            <w:t>￼</w:t>
          </w:r>
        </w:p>
        <w:p w:rsidR="00F53430" w:rsidP="389D9928" w:rsidRDefault="00F53430" w14:paraId="7E27C9C5" w14:textId="6FC13A54" w14:noSpellErr="1">
          <w:pPr>
            <w:pStyle w:val="TOC1"/>
            <w:tabs>
              <w:tab w:val="right" w:leader="dot" w:pos="9350"/>
            </w:tabs>
            <w:rPr>
              <w:rFonts w:ascii="Arial" w:hAnsi="Arial" w:eastAsia="Arial" w:cs="Arial"/>
              <w:noProof/>
              <w:color w:val="auto"/>
              <w:sz w:val="22"/>
              <w:szCs w:val="22"/>
              <w:lang w:eastAsia="en-GB"/>
            </w:rPr>
          </w:pPr>
          <w:r w:rsidR="00F53430">
            <w:t>￼</w:t>
          </w:r>
        </w:p>
        <w:p w:rsidR="00F53430" w:rsidP="389D9928" w:rsidRDefault="00F53430" w14:paraId="57747EC3" w14:textId="66E576DC" w14:noSpellErr="1">
          <w:pPr>
            <w:pStyle w:val="TOC1"/>
            <w:tabs>
              <w:tab w:val="right" w:leader="dot" w:pos="9350"/>
            </w:tabs>
            <w:rPr>
              <w:rFonts w:ascii="Arial" w:hAnsi="Arial" w:eastAsia="Arial" w:cs="Arial"/>
              <w:noProof/>
              <w:color w:val="auto"/>
              <w:sz w:val="22"/>
              <w:szCs w:val="22"/>
              <w:lang w:eastAsia="en-GB"/>
            </w:rPr>
          </w:pPr>
          <w:r w:rsidR="00F53430">
            <w:t>￼</w:t>
          </w:r>
        </w:p>
        <w:p w:rsidR="00F53430" w:rsidP="389D9928" w:rsidRDefault="00F53430" w14:paraId="2B2FD5FC" w14:textId="7C74DC97" w14:noSpellErr="1">
          <w:pPr>
            <w:pStyle w:val="TOC1"/>
            <w:tabs>
              <w:tab w:val="right" w:leader="dot" w:pos="9350"/>
            </w:tabs>
            <w:rPr>
              <w:rFonts w:ascii="Arial" w:hAnsi="Arial" w:eastAsia="Arial" w:cs="Arial"/>
              <w:noProof/>
              <w:color w:val="auto"/>
              <w:sz w:val="22"/>
              <w:szCs w:val="22"/>
              <w:lang w:eastAsia="en-GB"/>
            </w:rPr>
          </w:pPr>
          <w:r w:rsidR="00F53430">
            <w:t>￼</w:t>
          </w:r>
        </w:p>
        <w:p w:rsidR="00F53430" w:rsidP="389D9928" w:rsidRDefault="00F53430" w14:paraId="6530E189" w14:textId="56603D46" w14:noSpellErr="1">
          <w:pPr>
            <w:pStyle w:val="TOC1"/>
            <w:tabs>
              <w:tab w:val="right" w:leader="dot" w:pos="9350"/>
            </w:tabs>
            <w:rPr>
              <w:rFonts w:ascii="Arial" w:hAnsi="Arial" w:eastAsia="Arial" w:cs="Arial"/>
              <w:noProof/>
              <w:color w:val="auto"/>
              <w:sz w:val="22"/>
              <w:szCs w:val="22"/>
              <w:lang w:eastAsia="en-GB"/>
            </w:rPr>
          </w:pPr>
          <w:r w:rsidR="00F53430">
            <w:t>￼</w:t>
          </w:r>
        </w:p>
        <w:p w:rsidR="00F53430" w:rsidP="389D9928" w:rsidRDefault="00F53430" w14:paraId="1F493F6E" w14:textId="4C54AD5E" w14:noSpellErr="1">
          <w:pPr>
            <w:pStyle w:val="TOC1"/>
            <w:tabs>
              <w:tab w:val="right" w:leader="dot" w:pos="9350"/>
            </w:tabs>
            <w:rPr>
              <w:rFonts w:ascii="Arial" w:hAnsi="Arial" w:eastAsia="Arial" w:cs="Arial"/>
              <w:noProof/>
              <w:color w:val="auto"/>
              <w:sz w:val="22"/>
              <w:szCs w:val="22"/>
              <w:lang w:eastAsia="en-GB"/>
            </w:rPr>
          </w:pPr>
          <w:r w:rsidR="00F53430">
            <w:t>￼</w:t>
          </w:r>
        </w:p>
        <w:p w:rsidR="001834FC" w:rsidP="389D9928" w:rsidRDefault="001834FC" w14:paraId="11FB9FCD" w14:textId="58131FB3" w14:noSpellErr="1">
          <w:pPr>
            <w:spacing w:line="360" w:lineRule="auto"/>
            <w:rPr>
              <w:rFonts w:ascii="Arial" w:hAnsi="Arial" w:eastAsia="Arial" w:cs="Arial"/>
              <w:sz w:val="22"/>
              <w:szCs w:val="22"/>
            </w:rPr>
          </w:pPr>
          <w:r w:rsidRPr="389D9928">
            <w:rPr>
              <w:b w:val="1"/>
              <w:bCs w:val="1"/>
              <w:noProof/>
            </w:rPr>
            <w:fldChar w:fldCharType="end"/>
          </w:r>
        </w:p>
      </w:sdtContent>
    </w:sdt>
    <w:p w:rsidR="001834FC" w:rsidP="389D9928" w:rsidRDefault="001834FC" w14:paraId="0E64312A" w14:textId="73F329D3" w14:noSpellErr="1">
      <w:pPr>
        <w:spacing w:line="360" w:lineRule="auto"/>
        <w:rPr>
          <w:rFonts w:ascii="Arial" w:hAnsi="Arial" w:eastAsia="Arial" w:cs="Arial"/>
          <w:sz w:val="22"/>
          <w:szCs w:val="22"/>
        </w:rPr>
      </w:pPr>
    </w:p>
    <w:p w:rsidR="001834FC" w:rsidP="389D9928" w:rsidRDefault="001834FC" w14:paraId="52988457" w14:textId="77777777" w14:noSpellErr="1">
      <w:pPr>
        <w:spacing w:line="360" w:lineRule="auto"/>
        <w:rPr>
          <w:rFonts w:ascii="Arial" w:hAnsi="Arial" w:eastAsia="Arial" w:cs="Arial"/>
          <w:sz w:val="22"/>
          <w:szCs w:val="22"/>
        </w:rPr>
      </w:pPr>
      <w:r w:rsidRPr="389D9928">
        <w:rPr>
          <w:rFonts w:ascii="Arial" w:hAnsi="Arial" w:eastAsia="Arial" w:cs="Arial"/>
          <w:sz w:val="22"/>
          <w:szCs w:val="22"/>
        </w:rPr>
        <w:br w:type="page"/>
      </w:r>
    </w:p>
    <w:p w:rsidR="001834FC" w:rsidP="389D9928" w:rsidRDefault="001834FC" w14:paraId="0BEB37EE" w14:textId="77777777" w14:noSpellErr="1">
      <w:pPr>
        <w:pStyle w:val="Heading1"/>
        <w:spacing w:line="360" w:lineRule="auto"/>
        <w:rPr>
          <w:rFonts w:ascii="Arial" w:hAnsi="Arial" w:eastAsia="Arial" w:cs="Arial"/>
          <w:sz w:val="22"/>
          <w:szCs w:val="22"/>
        </w:rPr>
        <w:sectPr w:rsidR="001834FC" w:rsidSect="001834FC">
          <w:footerReference w:type="default" r:id="rId7"/>
          <w:pgSz w:w="12240" w:h="15840" w:orient="portrait"/>
          <w:pgMar w:top="1440" w:right="1440" w:bottom="1440" w:left="1440" w:header="720" w:footer="720" w:gutter="0"/>
          <w:pgNumType w:fmt="lowerRoman"/>
          <w:cols w:space="720"/>
          <w:docGrid w:linePitch="360"/>
        </w:sectPr>
      </w:pPr>
    </w:p>
    <w:p w:rsidR="001834FC" w:rsidP="389D9928" w:rsidRDefault="001834FC" w14:paraId="194129F4" w14:textId="35E02EAE" w14:noSpellErr="1">
      <w:pPr>
        <w:pStyle w:val="Heading1"/>
        <w:rPr>
          <w:rFonts w:ascii="Arial" w:hAnsi="Arial" w:eastAsia="Arial" w:cs="Arial"/>
          <w:sz w:val="22"/>
          <w:szCs w:val="22"/>
        </w:rPr>
      </w:pPr>
      <w:bookmarkStart w:name="_Toc92568879" w:id="0"/>
      <w:r w:rsidRPr="389D9928" w:rsidR="001834FC">
        <w:rPr>
          <w:rFonts w:ascii="Arial" w:hAnsi="Arial" w:eastAsia="Arial" w:cs="Arial"/>
          <w:sz w:val="22"/>
          <w:szCs w:val="22"/>
        </w:rPr>
        <w:t>Introduction</w:t>
      </w:r>
      <w:bookmarkEnd w:id="0"/>
      <w:r w:rsidRPr="389D9928" w:rsidR="001834FC">
        <w:rPr>
          <w:rFonts w:ascii="Arial" w:hAnsi="Arial" w:eastAsia="Arial" w:cs="Arial"/>
          <w:sz w:val="22"/>
          <w:szCs w:val="22"/>
        </w:rPr>
        <w:t xml:space="preserve"> </w:t>
      </w:r>
    </w:p>
    <w:p w:rsidR="0076786B" w:rsidP="389D9928" w:rsidRDefault="0076786B" w14:paraId="5D0B018B" w14:textId="213E6F19">
      <w:pPr>
        <w:rPr>
          <w:rFonts w:ascii="Arial" w:hAnsi="Arial" w:eastAsia="Arial" w:cs="Arial"/>
          <w:sz w:val="22"/>
          <w:szCs w:val="22"/>
        </w:rPr>
      </w:pPr>
      <w:r w:rsidRPr="389D9928" w:rsidR="0076786B">
        <w:rPr>
          <w:rFonts w:ascii="Arial" w:hAnsi="Arial" w:eastAsia="Arial" w:cs="Arial"/>
          <w:sz w:val="22"/>
          <w:szCs w:val="22"/>
        </w:rPr>
        <w:t>An aged person's care is defined as providing assistance to the elderly. When it comes to providing assistance and support to the elderly, the term eldercare is used. When it comes to caring for older people, it's important to remember that although they may need assistance with daily tasks and health care, the goal is to help them age in place as comfortably and independently as possible. Local, national, and international services for the elderly are not always available</w:t>
      </w:r>
      <w:r w:rsidRPr="389D9928" w:rsidR="00C73540">
        <w:rPr>
          <w:rFonts w:ascii="Arial" w:hAnsi="Arial" w:eastAsia="Arial" w:cs="Arial"/>
          <w:sz w:val="22"/>
          <w:szCs w:val="22"/>
        </w:rPr>
        <w:t xml:space="preserve"> </w:t>
      </w:r>
      <w:r w:rsidRPr="389D9928" w:rsidR="00C73540">
        <w:rPr>
          <w:rFonts w:ascii="Arial" w:hAnsi="Arial" w:eastAsia="Arial" w:cs="Arial"/>
          <w:sz w:val="22"/>
          <w:szCs w:val="22"/>
        </w:rPr>
        <w:t>(</w:t>
      </w:r>
      <w:r w:rsidRPr="389D9928" w:rsidR="00C73540">
        <w:rPr>
          <w:rFonts w:ascii="Arial" w:hAnsi="Arial" w:eastAsia="Arial" w:cs="Arial"/>
          <w:sz w:val="22"/>
          <w:szCs w:val="22"/>
        </w:rPr>
        <w:t>Hellström</w:t>
      </w:r>
      <w:r w:rsidRPr="389D9928" w:rsidR="00C73540">
        <w:rPr>
          <w:rFonts w:ascii="Arial" w:hAnsi="Arial" w:eastAsia="Arial" w:cs="Arial"/>
          <w:sz w:val="22"/>
          <w:szCs w:val="22"/>
        </w:rPr>
        <w:t xml:space="preserve"> </w:t>
      </w:r>
      <w:r w:rsidRPr="389D9928" w:rsidR="00C73540">
        <w:rPr>
          <w:rFonts w:ascii="Arial" w:hAnsi="Arial" w:eastAsia="Arial" w:cs="Arial"/>
          <w:sz w:val="22"/>
          <w:szCs w:val="22"/>
        </w:rPr>
        <w:t>and Hallberg, 2011</w:t>
      </w:r>
      <w:r w:rsidRPr="389D9928" w:rsidR="00C73540">
        <w:rPr>
          <w:rFonts w:ascii="Arial" w:hAnsi="Arial" w:eastAsia="Arial" w:cs="Arial"/>
          <w:sz w:val="22"/>
          <w:szCs w:val="22"/>
        </w:rPr>
        <w:t>)</w:t>
      </w:r>
      <w:r w:rsidRPr="389D9928" w:rsidR="0076786B">
        <w:rPr>
          <w:rFonts w:ascii="Arial" w:hAnsi="Arial" w:eastAsia="Arial" w:cs="Arial"/>
          <w:sz w:val="22"/>
          <w:szCs w:val="22"/>
        </w:rPr>
        <w:t xml:space="preserve">. The future of aged care will be determined by the current efforts and rules guiding it. We will compare and contrast current UK policy and assistance for the elderly with those in at least one other country as part of this study. An elderly individual in the United Kingdom and another country of your choice is described in detail. Statistics on the aging population and how they have changed in recent years are examined. In addition, we'll look at fundamental theories of loneliness and isolation, as well as literary references to loneliness. Loneliness and isolation may have a negative impact on an elderly person in a care facility, and existing laws and regulations aimed at reducing or preventing this phenomenon will be examined in this study. The creation of initiatives to combat senior loneliness and the use of cutting-edge technical solutions to the care of the aged population will also be discussed. </w:t>
      </w:r>
    </w:p>
    <w:p w:rsidRPr="0076786B" w:rsidR="0076786B" w:rsidP="389D9928" w:rsidRDefault="0076786B" w14:paraId="746B8CF1" w14:textId="77777777" w14:noSpellErr="1">
      <w:pPr>
        <w:rPr>
          <w:rFonts w:ascii="Arial" w:hAnsi="Arial" w:eastAsia="Arial" w:cs="Arial"/>
          <w:sz w:val="22"/>
          <w:szCs w:val="22"/>
        </w:rPr>
      </w:pPr>
    </w:p>
    <w:p w:rsidR="001834FC" w:rsidP="389D9928" w:rsidRDefault="001834FC" w14:paraId="1133F87D" w14:textId="018DE8FB" w14:noSpellErr="1">
      <w:pPr>
        <w:rPr>
          <w:rFonts w:ascii="Arial" w:hAnsi="Arial" w:eastAsia="Arial" w:cs="Arial"/>
          <w:sz w:val="22"/>
          <w:szCs w:val="22"/>
        </w:rPr>
      </w:pPr>
      <w:r w:rsidRPr="389D9928">
        <w:rPr>
          <w:rFonts w:ascii="Arial" w:hAnsi="Arial" w:eastAsia="Arial" w:cs="Arial"/>
          <w:sz w:val="22"/>
          <w:szCs w:val="22"/>
        </w:rPr>
        <w:br w:type="page"/>
      </w:r>
    </w:p>
    <w:p w:rsidR="0076786B" w:rsidP="389D9928" w:rsidRDefault="0076786B" w14:paraId="434E45F4" w14:textId="0238FD3C" w14:noSpellErr="1">
      <w:pPr>
        <w:pStyle w:val="Heading1"/>
        <w:rPr>
          <w:rFonts w:ascii="Arial" w:hAnsi="Arial" w:eastAsia="Arial" w:cs="Arial"/>
          <w:sz w:val="22"/>
          <w:szCs w:val="22"/>
        </w:rPr>
      </w:pPr>
      <w:bookmarkStart w:name="_Toc92568880" w:id="1"/>
      <w:r w:rsidRPr="389D9928" w:rsidR="0076786B">
        <w:rPr>
          <w:rFonts w:ascii="Arial" w:hAnsi="Arial" w:eastAsia="Arial" w:cs="Arial"/>
          <w:sz w:val="22"/>
          <w:szCs w:val="22"/>
        </w:rPr>
        <w:t>E</w:t>
      </w:r>
      <w:r w:rsidRPr="389D9928" w:rsidR="0076786B">
        <w:rPr>
          <w:rFonts w:ascii="Arial" w:hAnsi="Arial" w:eastAsia="Arial" w:cs="Arial"/>
          <w:sz w:val="22"/>
          <w:szCs w:val="22"/>
        </w:rPr>
        <w:t xml:space="preserve">lderly person in the UK and </w:t>
      </w:r>
      <w:r w:rsidRPr="389D9928" w:rsidR="0076786B">
        <w:rPr>
          <w:rFonts w:ascii="Arial" w:hAnsi="Arial" w:eastAsia="Arial" w:cs="Arial"/>
          <w:sz w:val="22"/>
          <w:szCs w:val="22"/>
        </w:rPr>
        <w:t>Romania</w:t>
      </w:r>
      <w:bookmarkEnd w:id="1"/>
    </w:p>
    <w:p w:rsidR="0076786B" w:rsidP="389D9928" w:rsidRDefault="0076786B" w14:paraId="2CDE88F8" w14:textId="77777777" w14:noSpellErr="1">
      <w:pPr>
        <w:rPr>
          <w:rFonts w:ascii="Arial" w:hAnsi="Arial" w:eastAsia="Arial" w:cs="Arial"/>
          <w:sz w:val="22"/>
          <w:szCs w:val="22"/>
        </w:rPr>
      </w:pPr>
      <w:r w:rsidRPr="389D9928" w:rsidR="0076786B">
        <w:rPr>
          <w:rFonts w:ascii="Arial" w:hAnsi="Arial" w:eastAsia="Arial" w:cs="Arial"/>
          <w:sz w:val="22"/>
          <w:szCs w:val="22"/>
        </w:rPr>
        <w:t>Society considers everyone above the age of 65 to be an old person. Due to biological age differences, it's difficult to come up with a universal description. Because of this, a person who is 75 years old could have greater health than someone who is 60 years old.</w:t>
      </w:r>
    </w:p>
    <w:p w:rsidR="0076786B" w:rsidP="389D9928" w:rsidRDefault="0076786B" w14:paraId="70395813" w14:textId="5035F5BC">
      <w:pPr>
        <w:rPr>
          <w:rFonts w:ascii="Arial" w:hAnsi="Arial" w:eastAsia="Arial" w:cs="Arial"/>
          <w:sz w:val="22"/>
          <w:szCs w:val="22"/>
        </w:rPr>
      </w:pPr>
      <w:r w:rsidRPr="389D9928" w:rsidR="0076786B">
        <w:rPr>
          <w:rFonts w:ascii="Arial" w:hAnsi="Arial" w:eastAsia="Arial" w:cs="Arial"/>
          <w:sz w:val="22"/>
          <w:szCs w:val="22"/>
        </w:rPr>
        <w:t>It is generally accepted that those who are 60 or older are considered old enough for statistical and administrative purposes. However, in Romania, citizens are eligible for old age facilities once they reach the standard retirement age. Therefore, for Romania, old age can be defined as the age when people reach the standard retirement time. For males, the average retirement age is 65 years. On the other hand, the average retirement time for females is 61.5 years. The standard retirement age mark for females is being gradually increased and will rise to 63 years by the year 2030</w:t>
      </w:r>
      <w:r w:rsidRPr="389D9928" w:rsidR="00C73540">
        <w:rPr>
          <w:rFonts w:ascii="Arial" w:hAnsi="Arial" w:eastAsia="Arial" w:cs="Arial"/>
          <w:sz w:val="22"/>
          <w:szCs w:val="22"/>
        </w:rPr>
        <w:t xml:space="preserve"> (</w:t>
      </w:r>
      <w:proofErr w:type="spellStart"/>
      <w:r w:rsidRPr="389D9928" w:rsidR="00C73540">
        <w:rPr>
          <w:rFonts w:ascii="Arial" w:hAnsi="Arial" w:eastAsia="Arial" w:cs="Arial"/>
          <w:sz w:val="22"/>
          <w:szCs w:val="22"/>
        </w:rPr>
        <w:t>Bodogai</w:t>
      </w:r>
      <w:proofErr w:type="spellEnd"/>
      <w:r w:rsidRPr="389D9928" w:rsidR="00C73540">
        <w:rPr>
          <w:rFonts w:ascii="Arial" w:hAnsi="Arial" w:eastAsia="Arial" w:cs="Arial"/>
          <w:sz w:val="22"/>
          <w:szCs w:val="22"/>
        </w:rPr>
        <w:t xml:space="preserve"> </w:t>
      </w:r>
      <w:r w:rsidRPr="389D9928" w:rsidR="00C73540">
        <w:rPr>
          <w:rFonts w:ascii="Arial" w:hAnsi="Arial" w:eastAsia="Arial" w:cs="Arial"/>
          <w:sz w:val="22"/>
          <w:szCs w:val="22"/>
        </w:rPr>
        <w:t>and Cutler, 2014</w:t>
      </w:r>
      <w:r w:rsidRPr="389D9928" w:rsidR="00C73540">
        <w:rPr>
          <w:rFonts w:ascii="Arial" w:hAnsi="Arial" w:eastAsia="Arial" w:cs="Arial"/>
          <w:sz w:val="22"/>
          <w:szCs w:val="22"/>
        </w:rPr>
        <w:t>)</w:t>
      </w:r>
      <w:r w:rsidRPr="389D9928" w:rsidR="00C73540">
        <w:rPr>
          <w:rFonts w:ascii="Arial" w:hAnsi="Arial" w:eastAsia="Arial" w:cs="Arial"/>
          <w:sz w:val="22"/>
          <w:szCs w:val="22"/>
        </w:rPr>
        <w:t xml:space="preserve">. </w:t>
      </w:r>
      <w:r w:rsidRPr="389D9928" w:rsidR="0076786B">
        <w:rPr>
          <w:rFonts w:ascii="Arial" w:hAnsi="Arial" w:eastAsia="Arial" w:cs="Arial"/>
          <w:sz w:val="22"/>
          <w:szCs w:val="22"/>
        </w:rPr>
        <w:t>In Romania, the age of retirement was increased for both men and women (from 62 to 65 years old in 2015) due to a decline in the number of people paying into the social security system as well as a spike in the proportion of people receiving benefits from it.</w:t>
      </w:r>
    </w:p>
    <w:p w:rsidR="0076786B" w:rsidP="389D9928" w:rsidRDefault="0076786B" w14:paraId="62F4C3C4" w14:textId="28ECA001" w14:noSpellErr="1">
      <w:pPr>
        <w:pStyle w:val="Heading1"/>
        <w:rPr>
          <w:rFonts w:ascii="Arial" w:hAnsi="Arial" w:eastAsia="Arial" w:cs="Arial"/>
          <w:sz w:val="22"/>
          <w:szCs w:val="22"/>
        </w:rPr>
      </w:pPr>
      <w:bookmarkStart w:name="_Toc92568881" w:id="2"/>
      <w:r w:rsidRPr="389D9928" w:rsidR="0076786B">
        <w:rPr>
          <w:rFonts w:ascii="Arial" w:hAnsi="Arial" w:eastAsia="Arial" w:cs="Arial"/>
          <w:sz w:val="22"/>
          <w:szCs w:val="22"/>
        </w:rPr>
        <w:t>A</w:t>
      </w:r>
      <w:r w:rsidRPr="389D9928" w:rsidR="0076786B">
        <w:rPr>
          <w:rFonts w:ascii="Arial" w:hAnsi="Arial" w:eastAsia="Arial" w:cs="Arial"/>
          <w:sz w:val="22"/>
          <w:szCs w:val="22"/>
        </w:rPr>
        <w:t>geing population and how these have changed in recent years</w:t>
      </w:r>
      <w:bookmarkEnd w:id="2"/>
    </w:p>
    <w:p w:rsidR="0076786B" w:rsidP="389D9928" w:rsidRDefault="0076786B" w14:paraId="63072193" w14:textId="77777777" w14:noSpellErr="1">
      <w:pPr>
        <w:rPr>
          <w:rFonts w:ascii="Arial" w:hAnsi="Arial" w:eastAsia="Arial" w:cs="Arial"/>
          <w:sz w:val="22"/>
          <w:szCs w:val="22"/>
        </w:rPr>
      </w:pPr>
      <w:r w:rsidRPr="389D9928" w:rsidR="0076786B">
        <w:rPr>
          <w:rFonts w:ascii="Arial" w:hAnsi="Arial" w:eastAsia="Arial" w:cs="Arial"/>
          <w:sz w:val="22"/>
          <w:szCs w:val="22"/>
        </w:rPr>
        <w:t>Since the early 1930s, the number of people over 65 in the United Kingdom has more than doubled. One in five people are over 60 years old nowadays. Nearly half of the population will be over 80 by 2025, while the number of those over 90 is predicted to more than treble over the same period. The United Kingdom's population is aging. In the United Kingdom, there are approximately 12 million persons (11,989,322) who are 65 and older. Among which there are people of the age 75 plus and older make up 5.4 million people in the United States, 1.6 million of whom are 85 and older, 579,776, and 14,430 centenarians. The number of British centenarians has increased by 85% in the previous 15 years. Over 21,000 centenarians are expected to exist by 2030. In the next 50 years, an additional 8.6 million people aged 65 and above are expected to be born, about the population of London. A quarter of the population in the United Kingdom will be 65 or older by 2030; 6.8% will be 75 or older; and 3.2% will be 85 or older. It is predicted that the number of those aged 85 and above would double to 3.2 million by the middle of 2041 and quadruple to 5.1 million by the year 2066. (representing 7 percent of the UK population).</w:t>
      </w:r>
    </w:p>
    <w:p w:rsidR="0076786B" w:rsidP="389D9928" w:rsidRDefault="0076786B" w14:paraId="239FE968" w14:textId="67C613E3">
      <w:pPr>
        <w:rPr>
          <w:rFonts w:ascii="Arial" w:hAnsi="Arial" w:eastAsia="Arial" w:cs="Arial"/>
          <w:sz w:val="22"/>
          <w:szCs w:val="22"/>
        </w:rPr>
      </w:pPr>
      <w:r w:rsidRPr="389D9928" w:rsidR="0076786B">
        <w:rPr>
          <w:rFonts w:ascii="Arial" w:hAnsi="Arial" w:eastAsia="Arial" w:cs="Arial"/>
          <w:sz w:val="22"/>
          <w:szCs w:val="22"/>
        </w:rPr>
        <w:t xml:space="preserve">Romania is entering a period of rapid and large population aging that is likely to last for some time. Older Romanians are expected to make up more than a third of the country's total population </w:t>
      </w:r>
      <w:r w:rsidRPr="389D9928" w:rsidR="0076786B">
        <w:rPr>
          <w:rFonts w:ascii="Arial" w:hAnsi="Arial" w:eastAsia="Arial" w:cs="Arial"/>
          <w:sz w:val="22"/>
          <w:szCs w:val="22"/>
        </w:rPr>
        <w:t xml:space="preserve">by the year 2050. In the next several decades, the senior population in Romania is expected to grow significantly, according to all demographic projections. There has been a significant increase in the median age of the Romanian population during 2000, from 34.4 years to 38.3 years in 2010. The percentage of people 65 and older who are 80 years old or older is predicted to climb from 18.7% in 2008 to 30.5 percent in 2050 in Romania </w:t>
      </w:r>
      <w:r w:rsidRPr="389D9928" w:rsidR="00C73540">
        <w:rPr>
          <w:rFonts w:ascii="Arial" w:hAnsi="Arial" w:eastAsia="Arial" w:cs="Arial"/>
          <w:sz w:val="22"/>
          <w:szCs w:val="22"/>
        </w:rPr>
        <w:t>(</w:t>
      </w:r>
      <w:r w:rsidRPr="389D9928" w:rsidR="00C73540">
        <w:rPr>
          <w:rFonts w:ascii="Arial" w:hAnsi="Arial" w:eastAsia="Arial" w:cs="Arial"/>
          <w:sz w:val="22"/>
          <w:szCs w:val="22"/>
        </w:rPr>
        <w:t>Lanzieri</w:t>
      </w:r>
      <w:r w:rsidRPr="389D9928" w:rsidR="00C73540">
        <w:rPr>
          <w:rFonts w:ascii="Arial" w:hAnsi="Arial" w:eastAsia="Arial" w:cs="Arial"/>
          <w:sz w:val="22"/>
          <w:szCs w:val="22"/>
        </w:rPr>
        <w:t>, 2011</w:t>
      </w:r>
      <w:r w:rsidRPr="389D9928" w:rsidR="00C73540">
        <w:rPr>
          <w:rFonts w:ascii="Arial" w:hAnsi="Arial" w:eastAsia="Arial" w:cs="Arial"/>
          <w:sz w:val="22"/>
          <w:szCs w:val="22"/>
        </w:rPr>
        <w:t>).</w:t>
      </w:r>
      <w:r w:rsidRPr="389D9928" w:rsidR="00C73540">
        <w:rPr>
          <w:rFonts w:ascii="Arial" w:hAnsi="Arial" w:eastAsia="Arial" w:cs="Arial"/>
          <w:b w:val="1"/>
          <w:bCs w:val="1"/>
          <w:sz w:val="22"/>
          <w:szCs w:val="22"/>
        </w:rPr>
        <w:t xml:space="preserve"> </w:t>
      </w:r>
      <w:r w:rsidRPr="389D9928" w:rsidR="0076786B">
        <w:rPr>
          <w:rFonts w:ascii="Arial" w:hAnsi="Arial" w:eastAsia="Arial" w:cs="Arial"/>
          <w:sz w:val="22"/>
          <w:szCs w:val="22"/>
        </w:rPr>
        <w:t>Because of lower fertility, more emigration, and an increase in Romanians' average life expectancy since 1990, the population's age structure has demonstrated a stable but continuous trend of aging</w:t>
      </w:r>
      <w:r w:rsidRPr="389D9928" w:rsidR="00C73540">
        <w:rPr>
          <w:rFonts w:ascii="Arial" w:hAnsi="Arial" w:eastAsia="Arial" w:cs="Arial"/>
          <w:sz w:val="22"/>
          <w:szCs w:val="22"/>
        </w:rPr>
        <w:t xml:space="preserve"> (</w:t>
      </w:r>
      <w:r w:rsidRPr="389D9928" w:rsidR="00C73540">
        <w:rPr>
          <w:rFonts w:ascii="Arial" w:hAnsi="Arial" w:eastAsia="Arial" w:cs="Arial"/>
          <w:sz w:val="22"/>
          <w:szCs w:val="22"/>
        </w:rPr>
        <w:t>Roper, 2016</w:t>
      </w:r>
      <w:r w:rsidRPr="389D9928" w:rsidR="00C73540">
        <w:rPr>
          <w:rFonts w:ascii="Arial" w:hAnsi="Arial" w:eastAsia="Arial" w:cs="Arial"/>
          <w:sz w:val="22"/>
          <w:szCs w:val="22"/>
        </w:rPr>
        <w:t>).</w:t>
      </w:r>
    </w:p>
    <w:p w:rsidR="0076786B" w:rsidP="389D9928" w:rsidRDefault="0076786B" w14:paraId="48CA0EED" w14:textId="20CBCD34" w14:noSpellErr="1">
      <w:pPr>
        <w:pStyle w:val="Heading1"/>
        <w:rPr>
          <w:rFonts w:ascii="Arial" w:hAnsi="Arial" w:eastAsia="Arial" w:cs="Arial"/>
          <w:sz w:val="22"/>
          <w:szCs w:val="22"/>
        </w:rPr>
      </w:pPr>
      <w:bookmarkStart w:name="_Toc92568882" w:id="3"/>
      <w:r w:rsidRPr="389D9928" w:rsidR="0076786B">
        <w:rPr>
          <w:rFonts w:ascii="Arial" w:hAnsi="Arial" w:eastAsia="Arial" w:cs="Arial"/>
          <w:sz w:val="22"/>
          <w:szCs w:val="22"/>
        </w:rPr>
        <w:t>T</w:t>
      </w:r>
      <w:r w:rsidRPr="389D9928" w:rsidR="0076786B">
        <w:rPr>
          <w:rFonts w:ascii="Arial" w:hAnsi="Arial" w:eastAsia="Arial" w:cs="Arial"/>
          <w:sz w:val="22"/>
          <w:szCs w:val="22"/>
        </w:rPr>
        <w:t>heories of loneliness and isolation and explore the concepts associated with loneliness</w:t>
      </w:r>
      <w:bookmarkEnd w:id="3"/>
    </w:p>
    <w:p w:rsidR="0076786B" w:rsidP="389D9928" w:rsidRDefault="0076786B" w14:paraId="0AAB7344" w14:textId="5E38D592">
      <w:pPr>
        <w:rPr>
          <w:rFonts w:ascii="Arial" w:hAnsi="Arial" w:eastAsia="Arial" w:cs="Arial"/>
          <w:sz w:val="22"/>
          <w:szCs w:val="22"/>
        </w:rPr>
      </w:pPr>
      <w:r w:rsidRPr="389D9928" w:rsidR="0076786B">
        <w:rPr>
          <w:rFonts w:ascii="Arial" w:hAnsi="Arial" w:eastAsia="Arial" w:cs="Arial"/>
          <w:sz w:val="22"/>
          <w:szCs w:val="22"/>
        </w:rPr>
        <w:t>Loneliness can be better understood if individual characteristics and environmental influences are considered together. There are two instances of this kind of variable: sociocultural aspects and socio structural aspects. Loneliness is a common motivator for people to reconnect with others after a move or the death of a loved one, for example, resulting in less or no social isolation. Loneliness affects a wide range of affective and psychological processes and results. Loneliness can be correlated to various elements of daily life</w:t>
      </w:r>
      <w:r w:rsidRPr="389D9928" w:rsidR="00071FF5">
        <w:rPr>
          <w:rFonts w:ascii="Arial" w:hAnsi="Arial" w:eastAsia="Arial" w:cs="Arial"/>
          <w:sz w:val="22"/>
          <w:szCs w:val="22"/>
        </w:rPr>
        <w:t xml:space="preserve"> </w:t>
      </w:r>
      <w:r w:rsidRPr="389D9928" w:rsidR="00071FF5">
        <w:rPr>
          <w:rFonts w:ascii="Arial" w:hAnsi="Arial" w:eastAsia="Arial" w:cs="Arial"/>
          <w:sz w:val="22"/>
          <w:szCs w:val="22"/>
        </w:rPr>
        <w:t>(</w:t>
      </w:r>
      <w:r w:rsidRPr="389D9928" w:rsidR="00071FF5">
        <w:rPr>
          <w:rFonts w:ascii="Arial" w:hAnsi="Arial" w:eastAsia="Arial" w:cs="Arial"/>
          <w:sz w:val="22"/>
          <w:szCs w:val="22"/>
        </w:rPr>
        <w:t>Zhou, Wong</w:t>
      </w:r>
      <w:r w:rsidRPr="389D9928" w:rsidR="00071FF5">
        <w:rPr>
          <w:rFonts w:ascii="Arial" w:hAnsi="Arial" w:eastAsia="Arial" w:cs="Arial"/>
          <w:sz w:val="22"/>
          <w:szCs w:val="22"/>
        </w:rPr>
        <w:t xml:space="preserve"> </w:t>
      </w:r>
      <w:r w:rsidRPr="389D9928" w:rsidR="00071FF5">
        <w:rPr>
          <w:rFonts w:ascii="Arial" w:hAnsi="Arial" w:eastAsia="Arial" w:cs="Arial"/>
          <w:sz w:val="22"/>
          <w:szCs w:val="22"/>
        </w:rPr>
        <w:t>and Li, 2014</w:t>
      </w:r>
      <w:r w:rsidRPr="389D9928" w:rsidR="00071FF5">
        <w:rPr>
          <w:rFonts w:ascii="Arial" w:hAnsi="Arial" w:eastAsia="Arial" w:cs="Arial"/>
          <w:sz w:val="22"/>
          <w:szCs w:val="22"/>
        </w:rPr>
        <w:t>)</w:t>
      </w:r>
      <w:r w:rsidRPr="389D9928" w:rsidR="0076786B">
        <w:rPr>
          <w:rFonts w:ascii="Arial" w:hAnsi="Arial" w:eastAsia="Arial" w:cs="Arial"/>
          <w:sz w:val="22"/>
          <w:szCs w:val="22"/>
        </w:rPr>
        <w:t>. More night-time micro-awakenings were associated with worse daytime dysfunction in young people, which ultimately led to loneliness</w:t>
      </w:r>
      <w:r w:rsidRPr="389D9928" w:rsidR="00C73540">
        <w:rPr>
          <w:rFonts w:ascii="Arial" w:hAnsi="Arial" w:eastAsia="Arial" w:cs="Arial"/>
          <w:sz w:val="22"/>
          <w:szCs w:val="22"/>
        </w:rPr>
        <w:t xml:space="preserve"> </w:t>
      </w:r>
      <w:r w:rsidRPr="389D9928" w:rsidR="00C73540">
        <w:rPr>
          <w:rFonts w:ascii="Arial" w:hAnsi="Arial" w:eastAsia="Arial" w:cs="Arial"/>
          <w:sz w:val="22"/>
          <w:szCs w:val="22"/>
        </w:rPr>
        <w:t>(</w:t>
      </w:r>
      <w:r w:rsidRPr="389D9928" w:rsidR="00C73540">
        <w:rPr>
          <w:rFonts w:ascii="Arial" w:hAnsi="Arial" w:eastAsia="Arial" w:cs="Arial"/>
          <w:sz w:val="22"/>
          <w:szCs w:val="22"/>
        </w:rPr>
        <w:t>Marangoni</w:t>
      </w:r>
      <w:r w:rsidRPr="389D9928" w:rsidR="00C73540">
        <w:rPr>
          <w:rFonts w:ascii="Arial" w:hAnsi="Arial" w:eastAsia="Arial" w:cs="Arial"/>
          <w:sz w:val="22"/>
          <w:szCs w:val="22"/>
        </w:rPr>
        <w:t xml:space="preserve"> </w:t>
      </w:r>
      <w:r w:rsidRPr="389D9928" w:rsidR="00C73540">
        <w:rPr>
          <w:rFonts w:ascii="Arial" w:hAnsi="Arial" w:eastAsia="Arial" w:cs="Arial"/>
          <w:sz w:val="22"/>
          <w:szCs w:val="22"/>
        </w:rPr>
        <w:t>and Ickes, 2019</w:t>
      </w:r>
      <w:r w:rsidRPr="389D9928" w:rsidR="00C73540">
        <w:rPr>
          <w:rFonts w:ascii="Arial" w:hAnsi="Arial" w:eastAsia="Arial" w:cs="Arial"/>
          <w:sz w:val="22"/>
          <w:szCs w:val="22"/>
        </w:rPr>
        <w:t>)</w:t>
      </w:r>
      <w:r w:rsidRPr="389D9928" w:rsidR="0076786B">
        <w:rPr>
          <w:rFonts w:ascii="Arial" w:hAnsi="Arial" w:eastAsia="Arial" w:cs="Arial"/>
          <w:sz w:val="22"/>
          <w:szCs w:val="22"/>
        </w:rPr>
        <w:t>. For elderly people, absence of daywork reduces the chances of mixing with peers or other people of the society. This, in turn, acts as the primary factor for loneliness in adults. Lonesome and lonely are two different yet related concepts. Lonesome is a usual state of mind, generally seen as temporary. Loneliness, on the other hand, is a pervasive and debilitating affliction that eats away at the soul. Selfishness, grandiosity, and animosity are all related to loneliness. The egocentric, lonesome individual holds onto infantile notions of power and superiority</w:t>
      </w:r>
      <w:r w:rsidRPr="389D9928" w:rsidR="00C73540">
        <w:rPr>
          <w:rFonts w:ascii="Arial" w:hAnsi="Arial" w:eastAsia="Arial" w:cs="Arial"/>
          <w:sz w:val="22"/>
          <w:szCs w:val="22"/>
        </w:rPr>
        <w:t xml:space="preserve"> </w:t>
      </w:r>
      <w:r w:rsidRPr="389D9928" w:rsidR="00C73540">
        <w:rPr>
          <w:rFonts w:ascii="Arial" w:hAnsi="Arial" w:eastAsia="Arial" w:cs="Arial"/>
          <w:sz w:val="22"/>
          <w:szCs w:val="22"/>
        </w:rPr>
        <w:t>(</w:t>
      </w:r>
      <w:r w:rsidRPr="389D9928" w:rsidR="00C73540">
        <w:rPr>
          <w:rFonts w:ascii="Arial" w:hAnsi="Arial" w:eastAsia="Arial" w:cs="Arial"/>
          <w:sz w:val="22"/>
          <w:szCs w:val="22"/>
        </w:rPr>
        <w:t>Hawkley</w:t>
      </w:r>
      <w:r w:rsidRPr="389D9928" w:rsidR="00C73540">
        <w:rPr>
          <w:rFonts w:ascii="Arial" w:hAnsi="Arial" w:eastAsia="Arial" w:cs="Arial"/>
          <w:sz w:val="22"/>
          <w:szCs w:val="22"/>
        </w:rPr>
        <w:t xml:space="preserve"> </w:t>
      </w:r>
      <w:r w:rsidRPr="389D9928" w:rsidR="00C73540">
        <w:rPr>
          <w:rFonts w:ascii="Arial" w:hAnsi="Arial" w:eastAsia="Arial" w:cs="Arial"/>
          <w:sz w:val="22"/>
          <w:szCs w:val="22"/>
        </w:rPr>
        <w:t>and Cacioppo, 2010</w:t>
      </w:r>
      <w:r w:rsidRPr="389D9928" w:rsidR="00C73540">
        <w:rPr>
          <w:rFonts w:ascii="Arial" w:hAnsi="Arial" w:eastAsia="Arial" w:cs="Arial"/>
          <w:sz w:val="22"/>
          <w:szCs w:val="22"/>
        </w:rPr>
        <w:t xml:space="preserve">). </w:t>
      </w:r>
    </w:p>
    <w:p w:rsidR="0076786B" w:rsidP="389D9928" w:rsidRDefault="00C73540" w14:paraId="6E71B105" w14:textId="276401DD" w14:noSpellErr="1">
      <w:pPr>
        <w:pStyle w:val="Heading1"/>
        <w:rPr>
          <w:rFonts w:ascii="Arial" w:hAnsi="Arial" w:eastAsia="Arial" w:cs="Arial"/>
          <w:sz w:val="22"/>
          <w:szCs w:val="22"/>
        </w:rPr>
      </w:pPr>
      <w:bookmarkStart w:name="_Toc92568883" w:id="4"/>
      <w:r w:rsidRPr="389D9928" w:rsidR="00C73540">
        <w:rPr>
          <w:rFonts w:ascii="Arial" w:hAnsi="Arial" w:eastAsia="Arial" w:cs="Arial"/>
          <w:sz w:val="22"/>
          <w:szCs w:val="22"/>
        </w:rPr>
        <w:t>T</w:t>
      </w:r>
      <w:r w:rsidRPr="389D9928" w:rsidR="0076786B">
        <w:rPr>
          <w:rFonts w:ascii="Arial" w:hAnsi="Arial" w:eastAsia="Arial" w:cs="Arial"/>
          <w:sz w:val="22"/>
          <w:szCs w:val="22"/>
        </w:rPr>
        <w:t>he impact of loneliness and isolation on an older person living within a care setting</w:t>
      </w:r>
      <w:bookmarkEnd w:id="4"/>
    </w:p>
    <w:p w:rsidR="0076786B" w:rsidP="389D9928" w:rsidRDefault="0076786B" w14:paraId="0C4BF351" w14:textId="413AC41D" w14:noSpellErr="1">
      <w:pPr>
        <w:rPr>
          <w:rFonts w:ascii="Arial" w:hAnsi="Arial" w:eastAsia="Arial" w:cs="Arial"/>
          <w:sz w:val="22"/>
          <w:szCs w:val="22"/>
        </w:rPr>
      </w:pPr>
      <w:r w:rsidRPr="389D9928" w:rsidR="0076786B">
        <w:rPr>
          <w:rFonts w:ascii="Arial" w:hAnsi="Arial" w:eastAsia="Arial" w:cs="Arial"/>
          <w:sz w:val="22"/>
          <w:szCs w:val="22"/>
        </w:rPr>
        <w:t xml:space="preserve">When people are unable to participate in the meaningful conversations and connections that they need, they experience loneliness. As a result of the disease and the following lockdowns, many elderly people have been forced to live far from their families, friends, and neighbours. Loneliness </w:t>
      </w:r>
      <w:r w:rsidRPr="389D9928" w:rsidR="0076786B">
        <w:rPr>
          <w:rFonts w:ascii="Arial" w:hAnsi="Arial" w:eastAsia="Arial" w:cs="Arial"/>
          <w:sz w:val="22"/>
          <w:szCs w:val="22"/>
        </w:rPr>
        <w:t>is becoming an increasingly common problem among the elderly.</w:t>
      </w:r>
      <w:r w:rsidRPr="389D9928" w:rsidR="00C73540">
        <w:rPr>
          <w:rFonts w:ascii="Arial" w:hAnsi="Arial" w:eastAsia="Arial" w:cs="Arial"/>
          <w:sz w:val="22"/>
          <w:szCs w:val="22"/>
        </w:rPr>
        <w:t xml:space="preserve"> </w:t>
      </w:r>
      <w:r w:rsidRPr="389D9928" w:rsidR="0076786B">
        <w:rPr>
          <w:rFonts w:ascii="Arial" w:hAnsi="Arial" w:eastAsia="Arial" w:cs="Arial"/>
          <w:sz w:val="22"/>
          <w:szCs w:val="22"/>
        </w:rPr>
        <w:t>Even though Covid-19 has created many new situations for the already-alone elderly, it has had minimal effect on those who were already alone before the epidemic hit; this is the reality for hundreds of millions of senior individuals all over the world</w:t>
      </w:r>
      <w:r w:rsidRPr="389D9928" w:rsidR="00071FF5">
        <w:rPr>
          <w:rFonts w:ascii="Arial" w:hAnsi="Arial" w:eastAsia="Arial" w:cs="Arial"/>
          <w:sz w:val="22"/>
          <w:szCs w:val="22"/>
        </w:rPr>
        <w:t xml:space="preserve"> </w:t>
      </w:r>
      <w:r w:rsidRPr="389D9928" w:rsidR="00071FF5">
        <w:rPr>
          <w:rFonts w:ascii="Arial" w:hAnsi="Arial" w:eastAsia="Arial" w:cs="Arial"/>
          <w:sz w:val="22"/>
          <w:szCs w:val="22"/>
        </w:rPr>
        <w:t>(</w:t>
      </w:r>
      <w:r w:rsidRPr="389D9928" w:rsidR="00071FF5">
        <w:rPr>
          <w:rFonts w:ascii="Arial" w:hAnsi="Arial" w:eastAsia="Arial" w:cs="Arial"/>
          <w:sz w:val="22"/>
          <w:szCs w:val="22"/>
        </w:rPr>
        <w:t>Wu, 2020</w:t>
      </w:r>
      <w:r w:rsidRPr="389D9928" w:rsidR="00071FF5">
        <w:rPr>
          <w:rFonts w:ascii="Arial" w:hAnsi="Arial" w:eastAsia="Arial" w:cs="Arial"/>
          <w:sz w:val="22"/>
          <w:szCs w:val="22"/>
        </w:rPr>
        <w:t>)</w:t>
      </w:r>
      <w:r w:rsidRPr="389D9928" w:rsidR="0076786B">
        <w:rPr>
          <w:rFonts w:ascii="Arial" w:hAnsi="Arial" w:eastAsia="Arial" w:cs="Arial"/>
          <w:sz w:val="22"/>
          <w:szCs w:val="22"/>
        </w:rPr>
        <w:t>.</w:t>
      </w:r>
      <w:r w:rsidRPr="389D9928" w:rsidR="00C73540">
        <w:rPr>
          <w:rFonts w:ascii="Arial" w:hAnsi="Arial" w:eastAsia="Arial" w:cs="Arial"/>
          <w:sz w:val="22"/>
          <w:szCs w:val="22"/>
        </w:rPr>
        <w:t xml:space="preserve"> </w:t>
      </w:r>
      <w:r w:rsidRPr="389D9928" w:rsidR="0076786B">
        <w:rPr>
          <w:rFonts w:ascii="Arial" w:hAnsi="Arial" w:eastAsia="Arial" w:cs="Arial"/>
          <w:sz w:val="22"/>
          <w:szCs w:val="22"/>
        </w:rPr>
        <w:t>Older people are at greater risk of loneliness because of a number of risk factors that increase with age and may act to reduce our ability for meaningful interaction and connection, rather than aging itself being the source of loneliness. It is more common for older people to be grieving, live alone, suffer from a disability or sickness that limits their ability to leave the house, or be caring for a loved one, all of which limit their socialization and the ability to leave the house altogether.</w:t>
      </w:r>
    </w:p>
    <w:p w:rsidR="0076786B" w:rsidP="389D9928" w:rsidRDefault="0076786B" w14:paraId="58C23008" w14:textId="4770440C" w14:noSpellErr="1">
      <w:pPr>
        <w:rPr>
          <w:rFonts w:ascii="Arial" w:hAnsi="Arial" w:eastAsia="Arial" w:cs="Arial"/>
          <w:sz w:val="22"/>
          <w:szCs w:val="22"/>
        </w:rPr>
      </w:pPr>
      <w:r w:rsidRPr="389D9928" w:rsidR="0076786B">
        <w:rPr>
          <w:rFonts w:ascii="Arial" w:hAnsi="Arial" w:eastAsia="Arial" w:cs="Arial"/>
          <w:sz w:val="22"/>
          <w:szCs w:val="22"/>
        </w:rPr>
        <w:t>Seniors are more likely than younger individuals to suffer social isolation, which has been demonstrated to have a long-term detrimental effect on their health and well-being. Individuals may feel a range of negative consequences as a result of loneliness and social isolation, including the following: Additionally, the risk of premature mortality is enhanced. Other health problems, such as heart disease, are also prevalent</w:t>
      </w:r>
      <w:r w:rsidRPr="389D9928" w:rsidR="00071FF5">
        <w:rPr>
          <w:rFonts w:ascii="Arial" w:hAnsi="Arial" w:eastAsia="Arial" w:cs="Arial"/>
          <w:sz w:val="22"/>
          <w:szCs w:val="22"/>
        </w:rPr>
        <w:t xml:space="preserve"> </w:t>
      </w:r>
      <w:r w:rsidRPr="389D9928" w:rsidR="00071FF5">
        <w:rPr>
          <w:rFonts w:ascii="Arial" w:hAnsi="Arial" w:eastAsia="Arial" w:cs="Arial"/>
          <w:sz w:val="22"/>
          <w:szCs w:val="22"/>
        </w:rPr>
        <w:t>(</w:t>
      </w:r>
      <w:r w:rsidRPr="389D9928" w:rsidR="00071FF5">
        <w:rPr>
          <w:rFonts w:ascii="Arial" w:hAnsi="Arial" w:eastAsia="Arial" w:cs="Arial"/>
          <w:sz w:val="22"/>
          <w:szCs w:val="22"/>
        </w:rPr>
        <w:t>Wu, 2020</w:t>
      </w:r>
      <w:r w:rsidRPr="389D9928" w:rsidR="00071FF5">
        <w:rPr>
          <w:rFonts w:ascii="Arial" w:hAnsi="Arial" w:eastAsia="Arial" w:cs="Arial"/>
          <w:sz w:val="22"/>
          <w:szCs w:val="22"/>
        </w:rPr>
        <w:t>)</w:t>
      </w:r>
      <w:r w:rsidRPr="389D9928" w:rsidR="0076786B">
        <w:rPr>
          <w:rFonts w:ascii="Arial" w:hAnsi="Arial" w:eastAsia="Arial" w:cs="Arial"/>
          <w:sz w:val="22"/>
          <w:szCs w:val="22"/>
        </w:rPr>
        <w:t>. Heart disease is a medical sickness that affects the heart and may result in a stroke. Suicidal ideation develops as a result of sadness or anxiety. Hospitalization rates increase as the population ages and gets frailer. The loss of caring social interactions has increased the demand for care. It has been shown that social exclusion and a lack of social interaction have a detrimental effect on overall well-being. Individuals often endure psychological anguish, resulting in a worse overall quality of life.</w:t>
      </w:r>
    </w:p>
    <w:p w:rsidR="0076786B" w:rsidP="389D9928" w:rsidRDefault="0076786B" w14:paraId="2CB9994B" w14:textId="45AAD0E2">
      <w:pPr>
        <w:rPr>
          <w:rFonts w:ascii="Arial" w:hAnsi="Arial" w:eastAsia="Arial" w:cs="Arial"/>
          <w:sz w:val="22"/>
          <w:szCs w:val="22"/>
        </w:rPr>
      </w:pPr>
      <w:r w:rsidRPr="389D9928" w:rsidR="0076786B">
        <w:rPr>
          <w:rFonts w:ascii="Arial" w:hAnsi="Arial" w:eastAsia="Arial" w:cs="Arial"/>
          <w:sz w:val="22"/>
          <w:szCs w:val="22"/>
        </w:rPr>
        <w:t>Loneliness is linked to an increased risk of early mortality in persons of all ages because it sets off a cascade of associated physiological or behavioural processes. When a sense of belonging and community is lost, a person's perspective on the world changes. Physical defines mechanisms may be activated by persistent loneliness, which may make someone feel scared and wary of others. Anti-inflammatory immune system cells, which human bodies need to heal themselves after an injury, are far less active when we're lonely. There may be a link between loneliness and diminished immune cells that are ineffective in fighting off infectious diseases such as influenza in those who are isolated. Improved immune cell activity has been linked to a greater sense of life's meaning and purpose</w:t>
      </w:r>
      <w:r w:rsidRPr="389D9928" w:rsidR="00071FF5">
        <w:rPr>
          <w:rFonts w:ascii="Arial" w:hAnsi="Arial" w:eastAsia="Arial" w:cs="Arial"/>
          <w:sz w:val="22"/>
          <w:szCs w:val="22"/>
        </w:rPr>
        <w:t xml:space="preserve"> (</w:t>
      </w:r>
      <w:r w:rsidRPr="389D9928" w:rsidR="00071FF5">
        <w:rPr>
          <w:rFonts w:ascii="Arial" w:hAnsi="Arial" w:eastAsia="Arial" w:cs="Arial"/>
          <w:sz w:val="22"/>
          <w:szCs w:val="22"/>
        </w:rPr>
        <w:t>Ciobanu</w:t>
      </w:r>
      <w:r w:rsidRPr="389D9928" w:rsidR="00071FF5">
        <w:rPr>
          <w:rFonts w:ascii="Arial" w:hAnsi="Arial" w:eastAsia="Arial" w:cs="Arial"/>
          <w:sz w:val="22"/>
          <w:szCs w:val="22"/>
        </w:rPr>
        <w:t xml:space="preserve"> </w:t>
      </w:r>
      <w:r w:rsidRPr="389D9928" w:rsidR="00071FF5">
        <w:rPr>
          <w:rFonts w:ascii="Arial" w:hAnsi="Arial" w:eastAsia="Arial" w:cs="Arial"/>
          <w:sz w:val="22"/>
          <w:szCs w:val="22"/>
        </w:rPr>
        <w:t xml:space="preserve">and </w:t>
      </w:r>
      <w:proofErr w:type="spellStart"/>
      <w:r w:rsidRPr="389D9928" w:rsidR="00071FF5">
        <w:rPr>
          <w:rFonts w:ascii="Arial" w:hAnsi="Arial" w:eastAsia="Arial" w:cs="Arial"/>
          <w:sz w:val="22"/>
          <w:szCs w:val="22"/>
        </w:rPr>
        <w:t>Fokkema</w:t>
      </w:r>
      <w:proofErr w:type="spellEnd"/>
      <w:r w:rsidRPr="389D9928" w:rsidR="00071FF5">
        <w:rPr>
          <w:rFonts w:ascii="Arial" w:hAnsi="Arial" w:eastAsia="Arial" w:cs="Arial"/>
          <w:sz w:val="22"/>
          <w:szCs w:val="22"/>
        </w:rPr>
        <w:t>, 2021</w:t>
      </w:r>
      <w:r w:rsidRPr="389D9928" w:rsidR="00071FF5">
        <w:rPr>
          <w:rFonts w:ascii="Arial" w:hAnsi="Arial" w:eastAsia="Arial" w:cs="Arial"/>
          <w:sz w:val="22"/>
          <w:szCs w:val="22"/>
        </w:rPr>
        <w:t>)</w:t>
      </w:r>
      <w:r w:rsidRPr="389D9928" w:rsidR="00071FF5">
        <w:rPr>
          <w:rFonts w:ascii="Arial" w:hAnsi="Arial" w:eastAsia="Arial" w:cs="Arial"/>
          <w:sz w:val="22"/>
          <w:szCs w:val="22"/>
        </w:rPr>
        <w:t xml:space="preserve">. </w:t>
      </w:r>
      <w:r w:rsidRPr="389D9928" w:rsidR="0076786B">
        <w:rPr>
          <w:rFonts w:ascii="Arial" w:hAnsi="Arial" w:eastAsia="Arial" w:cs="Arial"/>
          <w:sz w:val="22"/>
          <w:szCs w:val="22"/>
        </w:rPr>
        <w:t>For elderly people in care setting, this feeling of purpose is lost among most individuals. The situational factors alter the natural state of mind and make them susceptible to the far-reaching impacts of loneliness.</w:t>
      </w:r>
    </w:p>
    <w:p w:rsidR="0076786B" w:rsidP="389D9928" w:rsidRDefault="0076786B" w14:paraId="673AABC9" w14:textId="43BDB759" w14:noSpellErr="1">
      <w:pPr>
        <w:pStyle w:val="Heading1"/>
        <w:rPr>
          <w:rFonts w:ascii="Arial" w:hAnsi="Arial" w:eastAsia="Arial" w:cs="Arial"/>
          <w:sz w:val="22"/>
          <w:szCs w:val="22"/>
        </w:rPr>
      </w:pPr>
      <w:bookmarkStart w:name="_Toc92568884" w:id="5"/>
      <w:r w:rsidRPr="389D9928" w:rsidR="0076786B">
        <w:rPr>
          <w:rFonts w:ascii="Arial" w:hAnsi="Arial" w:eastAsia="Arial" w:cs="Arial"/>
          <w:sz w:val="22"/>
          <w:szCs w:val="22"/>
        </w:rPr>
        <w:t>C</w:t>
      </w:r>
      <w:r w:rsidRPr="389D9928" w:rsidR="0076786B">
        <w:rPr>
          <w:rFonts w:ascii="Arial" w:hAnsi="Arial" w:eastAsia="Arial" w:cs="Arial"/>
          <w:sz w:val="22"/>
          <w:szCs w:val="22"/>
        </w:rPr>
        <w:t>urrent legislation and policies that deal with or aim to raise awareness or reduce loneliness and isolation in the elderly population</w:t>
      </w:r>
      <w:bookmarkEnd w:id="5"/>
    </w:p>
    <w:p w:rsidR="0076786B" w:rsidP="389D9928" w:rsidRDefault="0076786B" w14:paraId="01B48739" w14:textId="45AE33BE">
      <w:pPr>
        <w:rPr>
          <w:rFonts w:ascii="Arial" w:hAnsi="Arial" w:eastAsia="Arial" w:cs="Arial"/>
          <w:sz w:val="22"/>
          <w:szCs w:val="22"/>
        </w:rPr>
      </w:pPr>
      <w:r w:rsidRPr="389D9928" w:rsidR="0076786B">
        <w:rPr>
          <w:rFonts w:ascii="Arial" w:hAnsi="Arial" w:eastAsia="Arial" w:cs="Arial"/>
          <w:sz w:val="22"/>
          <w:szCs w:val="22"/>
        </w:rPr>
        <w:t>The Care Act 2014 has introduced a new legal framework for the provision of care and support services in England (the Act). Local stakeholders, including but not limited to adult social care providers, health and well-being boards, clinical commissioning groups, and public health agencies, have a high need for action on loneliness and isolation. Care Act 2014 introduced the wellbeing principle, which states that the fundamental purpose of local governments is to promote the well-being of their residents. When it comes to designing and implementing policies, local governments must take into account the relationship between loneliness and low well-being. According to the Care Act and its associated guidance, proactive measures such as befriending and community involvement are expected to help prevent the emergence of a need</w:t>
      </w:r>
      <w:r w:rsidRPr="389D9928" w:rsidR="00830E59">
        <w:rPr>
          <w:rFonts w:ascii="Arial" w:hAnsi="Arial" w:eastAsia="Arial" w:cs="Arial"/>
          <w:sz w:val="22"/>
          <w:szCs w:val="22"/>
        </w:rPr>
        <w:t xml:space="preserve"> </w:t>
      </w:r>
      <w:r w:rsidRPr="389D9928" w:rsidR="00830E59">
        <w:rPr>
          <w:rFonts w:ascii="Arial" w:hAnsi="Arial" w:eastAsia="Arial" w:cs="Arial"/>
          <w:sz w:val="22"/>
          <w:szCs w:val="22"/>
        </w:rPr>
        <w:t>(</w:t>
      </w:r>
      <w:r w:rsidRPr="389D9928" w:rsidR="00830E59">
        <w:rPr>
          <w:rFonts w:ascii="Arial" w:hAnsi="Arial" w:eastAsia="Arial" w:cs="Arial"/>
          <w:sz w:val="22"/>
          <w:szCs w:val="22"/>
        </w:rPr>
        <w:t>Ståhl</w:t>
      </w:r>
      <w:r w:rsidRPr="389D9928" w:rsidR="00830E59">
        <w:rPr>
          <w:rFonts w:ascii="Arial" w:hAnsi="Arial" w:eastAsia="Arial" w:cs="Arial"/>
          <w:sz w:val="22"/>
          <w:szCs w:val="22"/>
        </w:rPr>
        <w:t>, 2018</w:t>
      </w:r>
      <w:r w:rsidRPr="389D9928" w:rsidR="00830E59">
        <w:rPr>
          <w:rFonts w:ascii="Arial" w:hAnsi="Arial" w:eastAsia="Arial" w:cs="Arial"/>
          <w:sz w:val="22"/>
          <w:szCs w:val="22"/>
        </w:rPr>
        <w:t>)</w:t>
      </w:r>
      <w:r w:rsidRPr="389D9928" w:rsidR="0076786B">
        <w:rPr>
          <w:rFonts w:ascii="Arial" w:hAnsi="Arial" w:eastAsia="Arial" w:cs="Arial"/>
          <w:sz w:val="22"/>
          <w:szCs w:val="22"/>
        </w:rPr>
        <w:t>. An aging population was formed and maintained, demonstrating that loneliness is a recognized need under the Act. As a result, the Care Act recognizes loneliness as a medically necessary condition. In order to achieve and exceed goals and provide people a choice in how their needs is served, guidelines propose focusing on prevention, facilitation, ways to minimize loneliness and social isolation, and development of independence.</w:t>
      </w:r>
      <w:r w:rsidRPr="389D9928" w:rsidR="00830E59">
        <w:rPr>
          <w:rFonts w:ascii="Arial" w:hAnsi="Arial" w:eastAsia="Arial" w:cs="Arial"/>
          <w:sz w:val="22"/>
          <w:szCs w:val="22"/>
        </w:rPr>
        <w:t xml:space="preserve"> </w:t>
      </w:r>
      <w:r w:rsidRPr="389D9928" w:rsidR="0076786B">
        <w:rPr>
          <w:rFonts w:ascii="Arial" w:hAnsi="Arial" w:eastAsia="Arial" w:cs="Arial"/>
          <w:sz w:val="22"/>
          <w:szCs w:val="22"/>
        </w:rPr>
        <w:t xml:space="preserve">Approaches to overcoming loneliness often focus on the unique characteristics of the individual that make them more prone to feeling lonely or alone in the world. Legislative actions play a substantial role in ensuring the sound situation for the best interest of elderly citizens. </w:t>
      </w:r>
    </w:p>
    <w:p w:rsidR="0076786B" w:rsidP="389D9928" w:rsidRDefault="0076786B" w14:paraId="6F7ACCC4" w14:textId="7BEDC05A" w14:noSpellErr="1">
      <w:pPr>
        <w:pStyle w:val="Heading1"/>
        <w:rPr>
          <w:rFonts w:ascii="Arial" w:hAnsi="Arial" w:eastAsia="Arial" w:cs="Arial"/>
          <w:sz w:val="22"/>
          <w:szCs w:val="22"/>
        </w:rPr>
      </w:pPr>
      <w:bookmarkStart w:name="_Toc92568885" w:id="6"/>
      <w:r w:rsidRPr="389D9928" w:rsidR="0076786B">
        <w:rPr>
          <w:rFonts w:ascii="Arial" w:hAnsi="Arial" w:eastAsia="Arial" w:cs="Arial"/>
          <w:sz w:val="22"/>
          <w:szCs w:val="22"/>
        </w:rPr>
        <w:t>E</w:t>
      </w:r>
      <w:r w:rsidRPr="389D9928" w:rsidR="0076786B">
        <w:rPr>
          <w:rFonts w:ascii="Arial" w:hAnsi="Arial" w:eastAsia="Arial" w:cs="Arial"/>
          <w:sz w:val="22"/>
          <w:szCs w:val="22"/>
        </w:rPr>
        <w:t>valuat</w:t>
      </w:r>
      <w:r w:rsidRPr="389D9928" w:rsidR="0076786B">
        <w:rPr>
          <w:rFonts w:ascii="Arial" w:hAnsi="Arial" w:eastAsia="Arial" w:cs="Arial"/>
          <w:sz w:val="22"/>
          <w:szCs w:val="22"/>
        </w:rPr>
        <w:t>ion</w:t>
      </w:r>
      <w:r w:rsidRPr="389D9928" w:rsidR="0076786B">
        <w:rPr>
          <w:rFonts w:ascii="Arial" w:hAnsi="Arial" w:eastAsia="Arial" w:cs="Arial"/>
          <w:sz w:val="22"/>
          <w:szCs w:val="22"/>
        </w:rPr>
        <w:t xml:space="preserve"> compar</w:t>
      </w:r>
      <w:r w:rsidRPr="389D9928" w:rsidR="0076786B">
        <w:rPr>
          <w:rFonts w:ascii="Arial" w:hAnsi="Arial" w:eastAsia="Arial" w:cs="Arial"/>
          <w:sz w:val="22"/>
          <w:szCs w:val="22"/>
        </w:rPr>
        <w:t>ison</w:t>
      </w:r>
      <w:r w:rsidRPr="389D9928" w:rsidR="0076786B">
        <w:rPr>
          <w:rFonts w:ascii="Arial" w:hAnsi="Arial" w:eastAsia="Arial" w:cs="Arial"/>
          <w:sz w:val="22"/>
          <w:szCs w:val="22"/>
        </w:rPr>
        <w:t xml:space="preserve"> local, national and global provision of services for the older person in line with current initiatives and policy</w:t>
      </w:r>
      <w:bookmarkEnd w:id="6"/>
    </w:p>
    <w:p w:rsidR="0076786B" w:rsidP="389D9928" w:rsidRDefault="0076786B" w14:paraId="550E7DF4" w14:textId="163EA81B" w14:noSpellErr="1">
      <w:pPr>
        <w:rPr>
          <w:rFonts w:ascii="Arial" w:hAnsi="Arial" w:eastAsia="Arial" w:cs="Arial"/>
          <w:sz w:val="22"/>
          <w:szCs w:val="22"/>
        </w:rPr>
      </w:pPr>
      <w:r w:rsidRPr="389D9928" w:rsidR="0076786B">
        <w:rPr>
          <w:rFonts w:ascii="Arial" w:hAnsi="Arial" w:eastAsia="Arial" w:cs="Arial"/>
          <w:sz w:val="22"/>
          <w:szCs w:val="22"/>
        </w:rPr>
        <w:t xml:space="preserve">The Care Act has a </w:t>
      </w:r>
      <w:r w:rsidRPr="389D9928" w:rsidR="0076786B">
        <w:rPr>
          <w:rFonts w:ascii="Arial" w:hAnsi="Arial" w:eastAsia="Arial" w:cs="Arial"/>
          <w:sz w:val="22"/>
          <w:szCs w:val="22"/>
        </w:rPr>
        <w:t>favourable</w:t>
      </w:r>
      <w:r w:rsidRPr="389D9928" w:rsidR="0076786B">
        <w:rPr>
          <w:rFonts w:ascii="Arial" w:hAnsi="Arial" w:eastAsia="Arial" w:cs="Arial"/>
          <w:sz w:val="22"/>
          <w:szCs w:val="22"/>
        </w:rPr>
        <w:t xml:space="preserve"> influence on the health and well-being of individuals. Providing or organizing services that aid people in reaching the stage where they need continuous care and support as defined by this Act is prohibited, and delaying those who have already reached that point in their deterioration from getting those necessities is prohibited. Prior to the Care Act, individuals' rights to different types of care and support services were very variable. Some of them were more than 60 years old and were found in a variety of Parliamentary acts. The law was convoluted and difficult to grasp. The promulgation of this act should have a positive impact on reducing the negative effects of loneliness on the elderly people of the society.</w:t>
      </w:r>
    </w:p>
    <w:p w:rsidR="0076786B" w:rsidP="389D9928" w:rsidRDefault="0076786B" w14:paraId="2802D222" w14:textId="77777777" w14:noSpellErr="1">
      <w:pPr>
        <w:rPr>
          <w:rFonts w:ascii="Arial" w:hAnsi="Arial" w:eastAsia="Arial" w:cs="Arial"/>
          <w:sz w:val="22"/>
          <w:szCs w:val="22"/>
        </w:rPr>
      </w:pPr>
    </w:p>
    <w:p w:rsidR="0076786B" w:rsidP="389D9928" w:rsidRDefault="0076786B" w14:paraId="0F4429B0" w14:textId="3EDFFB8E" w14:noSpellErr="1">
      <w:pPr>
        <w:pStyle w:val="Heading1"/>
        <w:rPr>
          <w:rFonts w:ascii="Arial" w:hAnsi="Arial" w:eastAsia="Arial" w:cs="Arial"/>
          <w:sz w:val="22"/>
          <w:szCs w:val="22"/>
        </w:rPr>
      </w:pPr>
      <w:bookmarkStart w:name="_Toc92568886" w:id="7"/>
      <w:r w:rsidRPr="389D9928" w:rsidR="0076786B">
        <w:rPr>
          <w:rFonts w:ascii="Arial" w:hAnsi="Arial" w:eastAsia="Arial" w:cs="Arial"/>
          <w:sz w:val="22"/>
          <w:szCs w:val="22"/>
        </w:rPr>
        <w:t>T</w:t>
      </w:r>
      <w:r w:rsidRPr="389D9928" w:rsidR="0076786B">
        <w:rPr>
          <w:rFonts w:ascii="Arial" w:hAnsi="Arial" w:eastAsia="Arial" w:cs="Arial"/>
          <w:sz w:val="22"/>
          <w:szCs w:val="22"/>
        </w:rPr>
        <w:t>he prospective future of the care of the older person and how technology could be applied in the provision of care provision to lonely older persons</w:t>
      </w:r>
      <w:bookmarkEnd w:id="7"/>
    </w:p>
    <w:p w:rsidR="0076786B" w:rsidP="389D9928" w:rsidRDefault="0076786B" w14:paraId="2A76D15B" w14:textId="77777777" w14:noSpellErr="1">
      <w:pPr>
        <w:rPr>
          <w:rFonts w:ascii="Arial" w:hAnsi="Arial" w:eastAsia="Arial" w:cs="Arial"/>
          <w:sz w:val="22"/>
          <w:szCs w:val="22"/>
        </w:rPr>
      </w:pPr>
      <w:r w:rsidRPr="389D9928" w:rsidR="0076786B">
        <w:rPr>
          <w:rFonts w:ascii="Arial" w:hAnsi="Arial" w:eastAsia="Arial" w:cs="Arial"/>
          <w:sz w:val="22"/>
          <w:szCs w:val="22"/>
        </w:rPr>
        <w:t xml:space="preserve">Care was unable to withstand the whirlwind that blasted into it in the form of this pandemic after years of underfunding. Attempts to keep the virus out of residential settings, for example, were hampered by chronic understaffing and reliance on agency personnel among other factors. Prior to the coronavirus outbreak, there was universal agreement that additional billions of dollars in healthcare expenditure were necessary, if not sufficient, and this is reaffirmed by the pandemic. Providers of health care may potentially need emergency assistance this year and next year if they go bankrupt as a consequence of the pandemic's rising costs and vacancies. The outbreak will very certainly have intensified the desire of the vast majority to stay in their own houses for as long as feasible. Quality home health care is therefore a top priority, even though that demand is now low owing to infection concerns. Cleaning, gardening, and washing are some of the duties that home assistants of a bygone age may be called upon to aid the elderly. Installing assistive equipment and changes in the home should promote and support the desire to stay at home in order to prevent future issues. </w:t>
      </w:r>
    </w:p>
    <w:p w:rsidR="0076786B" w:rsidP="389D9928" w:rsidRDefault="0076786B" w14:paraId="2B4A4E7A" w14:textId="1B6467DB" w14:noSpellErr="1">
      <w:pPr>
        <w:rPr>
          <w:rFonts w:ascii="Arial" w:hAnsi="Arial" w:eastAsia="Arial" w:cs="Arial"/>
          <w:sz w:val="22"/>
          <w:szCs w:val="22"/>
        </w:rPr>
      </w:pPr>
      <w:r w:rsidRPr="389D9928" w:rsidR="0076786B">
        <w:rPr>
          <w:rFonts w:ascii="Arial" w:hAnsi="Arial" w:eastAsia="Arial" w:cs="Arial"/>
          <w:sz w:val="22"/>
          <w:szCs w:val="22"/>
        </w:rPr>
        <w:t>Due to the absence of social contact, fundamental telecommunication methods such as telephone or video conferencing may be used to develop social skills, social support, and online interactions. Lack of frequent social activity has additional detrimental consequences on elderly persons than loneliness. Absence of routine, such as daily or weekly exercise or medication, might increase feelings of loneliness</w:t>
      </w:r>
      <w:r w:rsidRPr="389D9928" w:rsidR="00EC3A58">
        <w:rPr>
          <w:rFonts w:ascii="Arial" w:hAnsi="Arial" w:eastAsia="Arial" w:cs="Arial"/>
          <w:sz w:val="22"/>
          <w:szCs w:val="22"/>
        </w:rPr>
        <w:t xml:space="preserve"> </w:t>
      </w:r>
      <w:r w:rsidRPr="389D9928" w:rsidR="00EC3A58">
        <w:rPr>
          <w:rFonts w:ascii="Arial" w:hAnsi="Arial" w:eastAsia="Arial" w:cs="Arial"/>
          <w:sz w:val="22"/>
          <w:szCs w:val="22"/>
        </w:rPr>
        <w:t>(</w:t>
      </w:r>
      <w:r w:rsidRPr="389D9928" w:rsidR="00EC3A58">
        <w:rPr>
          <w:rFonts w:ascii="Arial" w:hAnsi="Arial" w:eastAsia="Arial" w:cs="Arial"/>
          <w:sz w:val="22"/>
          <w:szCs w:val="22"/>
        </w:rPr>
        <w:t>Conroy</w:t>
      </w:r>
      <w:r w:rsidRPr="389D9928" w:rsidR="00EC3A58">
        <w:rPr>
          <w:rFonts w:ascii="Arial" w:hAnsi="Arial" w:eastAsia="Arial" w:cs="Arial"/>
          <w:sz w:val="22"/>
          <w:szCs w:val="22"/>
        </w:rPr>
        <w:t xml:space="preserve"> et al., 2020)</w:t>
      </w:r>
      <w:r w:rsidRPr="389D9928" w:rsidR="0076786B">
        <w:rPr>
          <w:rFonts w:ascii="Arial" w:hAnsi="Arial" w:eastAsia="Arial" w:cs="Arial"/>
          <w:sz w:val="22"/>
          <w:szCs w:val="22"/>
        </w:rPr>
        <w:t xml:space="preserve">. This might cause health difficulties including despair and anxiety. Technology may help people reconnect socially and revert to old behaviours. During the COVID-19 outbreak, video conferencing apps (like FaceTime) and services (like Zoom) gained popularity. These apps may replace in-person visits from family, friends, and volunteers. Online group meetings using video conferencing solutions are also feasible. Participating in online group activities like spiritual services, yoga, or games may help relieve loneliness while providing cognitive stimulation and regularity. The Campaign to End Loneliness advises family members, </w:t>
      </w:r>
      <w:r w:rsidRPr="389D9928" w:rsidR="0076786B">
        <w:rPr>
          <w:rFonts w:ascii="Arial" w:hAnsi="Arial" w:eastAsia="Arial" w:cs="Arial"/>
          <w:sz w:val="22"/>
          <w:szCs w:val="22"/>
        </w:rPr>
        <w:t>friends, and neighbours to remain in touch with the elderly using social media such as WhatsApp groups, Facebook, and Twitter. These materials may help an elderly person's health.</w:t>
      </w:r>
    </w:p>
    <w:p w:rsidR="0076786B" w:rsidP="389D9928" w:rsidRDefault="0076786B" w14:paraId="5CB15D8F" w14:textId="65F623E7" w14:noSpellErr="1">
      <w:pPr>
        <w:pStyle w:val="Heading1"/>
        <w:rPr>
          <w:rFonts w:ascii="Arial" w:hAnsi="Arial" w:eastAsia="Arial" w:cs="Arial"/>
          <w:sz w:val="22"/>
          <w:szCs w:val="22"/>
        </w:rPr>
      </w:pPr>
      <w:bookmarkStart w:name="_Toc92568887" w:id="8"/>
      <w:r w:rsidRPr="389D9928" w:rsidR="0076786B">
        <w:rPr>
          <w:rFonts w:ascii="Arial" w:hAnsi="Arial" w:eastAsia="Arial" w:cs="Arial"/>
          <w:sz w:val="22"/>
          <w:szCs w:val="22"/>
        </w:rPr>
        <w:t>R</w:t>
      </w:r>
      <w:r w:rsidRPr="389D9928" w:rsidR="0076786B">
        <w:rPr>
          <w:rFonts w:ascii="Arial" w:hAnsi="Arial" w:eastAsia="Arial" w:cs="Arial"/>
          <w:sz w:val="22"/>
          <w:szCs w:val="22"/>
        </w:rPr>
        <w:t>ecommendations</w:t>
      </w:r>
      <w:bookmarkEnd w:id="8"/>
    </w:p>
    <w:p w:rsidR="0076786B" w:rsidP="389D9928" w:rsidRDefault="0076786B" w14:paraId="78B0C471" w14:textId="3DAB76FC" w14:noSpellErr="1">
      <w:pPr>
        <w:rPr>
          <w:rFonts w:ascii="Arial" w:hAnsi="Arial" w:eastAsia="Arial" w:cs="Arial"/>
          <w:b w:val="1"/>
          <w:bCs w:val="1"/>
          <w:sz w:val="22"/>
          <w:szCs w:val="22"/>
        </w:rPr>
      </w:pPr>
      <w:r w:rsidRPr="389D9928" w:rsidR="0076786B">
        <w:rPr>
          <w:rFonts w:ascii="Arial" w:hAnsi="Arial" w:eastAsia="Arial" w:cs="Arial"/>
          <w:sz w:val="22"/>
          <w:szCs w:val="22"/>
        </w:rPr>
        <w:t>Social prescribing is a typical treatment for loneliness. When people are linked to community services provided by the municipality or a local charity, their health and well-being are typically improved. But only if there are enough and appropriate programs accessible to refer to that social prescribing may help manage or minimize feelings of loneliness. Locking down and re-energizing the workforce have both been hampered by the lack of volunteer commitment and ability. As a result of the spread of Covid-19, several local Age UK groups have lost or resisted face-to-face volunteering</w:t>
      </w:r>
      <w:r w:rsidRPr="389D9928" w:rsidR="00EC3A58">
        <w:rPr>
          <w:rFonts w:ascii="Arial" w:hAnsi="Arial" w:eastAsia="Arial" w:cs="Arial"/>
          <w:sz w:val="22"/>
          <w:szCs w:val="22"/>
        </w:rPr>
        <w:t xml:space="preserve"> </w:t>
      </w:r>
      <w:r w:rsidRPr="389D9928" w:rsidR="00EC3A58">
        <w:rPr>
          <w:rFonts w:ascii="Arial" w:hAnsi="Arial" w:eastAsia="Arial" w:cs="Arial"/>
          <w:sz w:val="22"/>
          <w:szCs w:val="22"/>
        </w:rPr>
        <w:t>(</w:t>
      </w:r>
      <w:r w:rsidRPr="389D9928" w:rsidR="00EC3A58">
        <w:rPr>
          <w:rFonts w:ascii="Arial" w:hAnsi="Arial" w:eastAsia="Arial" w:cs="Arial"/>
          <w:sz w:val="22"/>
          <w:szCs w:val="22"/>
        </w:rPr>
        <w:t>HM Government, 2018</w:t>
      </w:r>
      <w:r w:rsidRPr="389D9928" w:rsidR="00EC3A58">
        <w:rPr>
          <w:rFonts w:ascii="Arial" w:hAnsi="Arial" w:eastAsia="Arial" w:cs="Arial"/>
          <w:sz w:val="22"/>
          <w:szCs w:val="22"/>
        </w:rPr>
        <w:t>)</w:t>
      </w:r>
      <w:r w:rsidRPr="389D9928" w:rsidR="0076786B">
        <w:rPr>
          <w:rFonts w:ascii="Arial" w:hAnsi="Arial" w:eastAsia="Arial" w:cs="Arial"/>
          <w:sz w:val="22"/>
          <w:szCs w:val="22"/>
        </w:rPr>
        <w:t xml:space="preserve">. Those who volunteer and those who are befriended may benefit each other. The ageist norms and practices of certain organizations may make it difficult for people to volunteer for the benefit of those who are elderly. Older people with visual, auditory, and cognitive impairments may have physical challenges, such as ensuring that they are in a safe environment or having enough transportation. Due to a lack of funds, several local Age UKs have a history of subsidizing programs. The full expenses of running programs (e.g., covering recruitment, training and retention and connecting specialist volunteer talents with needs) and provide funding that permits assistance to be supplied for the period required is a possible recommendation. Since many of their philanthropic funds were depleted during the epidemic, this is unsustainable. One-on-one instruction with their chosen device, on a regular basis, is the most effective method for teaching digital skills to the majority of the elderly population. The plan is to provide low-cost smartphones, PCs, and tablets to those who are now unable to access the internet. Federal and local governments should focus on helping people go online, including low-cost equipment, internet connectivity, and training. They should also improve non-digital access to essential products and services. Individual participation in society is impossible without access to transportation. The inability to maintain meaningful contacts and relationships due to a lack of affordable, reliable, and appropriate transportation may lead to new or developing feelings of loneliness. Covid-19 may not be able to afford or access other modes of transportation. Concessionary travel plans make it easier for the elderly who are struggling to get about to find affordable, reliable, and aesthetically pleasing modes of public transit. Allowing people to travel for free on a variety of modes, including buses, may encourage more people to participate in </w:t>
      </w:r>
      <w:r w:rsidRPr="389D9928" w:rsidR="0076786B">
        <w:rPr>
          <w:rFonts w:ascii="Arial" w:hAnsi="Arial" w:eastAsia="Arial" w:cs="Arial"/>
          <w:sz w:val="22"/>
          <w:szCs w:val="22"/>
        </w:rPr>
        <w:t>society. Even though local authorities differ widely in the availability and distribution of free community transportation and taxi cards and the like, they are flexible alternatives to the concessionary travel plan.</w:t>
      </w:r>
      <w:r w:rsidRPr="389D9928">
        <w:rPr>
          <w:rFonts w:ascii="Arial" w:hAnsi="Arial" w:eastAsia="Arial" w:cs="Arial"/>
          <w:sz w:val="22"/>
          <w:szCs w:val="22"/>
        </w:rPr>
        <w:br w:type="page"/>
      </w:r>
    </w:p>
    <w:p w:rsidR="001834FC" w:rsidP="389D9928" w:rsidRDefault="001834FC" w14:paraId="0C5D1297" w14:textId="6CCE1BC1" w14:noSpellErr="1">
      <w:pPr>
        <w:pStyle w:val="Heading1"/>
        <w:rPr>
          <w:rFonts w:ascii="Arial" w:hAnsi="Arial" w:eastAsia="Arial" w:cs="Arial"/>
          <w:sz w:val="22"/>
          <w:szCs w:val="22"/>
        </w:rPr>
      </w:pPr>
      <w:bookmarkStart w:name="_Toc92568888" w:id="9"/>
      <w:r w:rsidRPr="389D9928" w:rsidR="001834FC">
        <w:rPr>
          <w:rFonts w:ascii="Arial" w:hAnsi="Arial" w:eastAsia="Arial" w:cs="Arial"/>
          <w:sz w:val="22"/>
          <w:szCs w:val="22"/>
        </w:rPr>
        <w:t>Conclusion</w:t>
      </w:r>
      <w:bookmarkEnd w:id="9"/>
      <w:r w:rsidRPr="389D9928" w:rsidR="001834FC">
        <w:rPr>
          <w:rFonts w:ascii="Arial" w:hAnsi="Arial" w:eastAsia="Arial" w:cs="Arial"/>
          <w:sz w:val="22"/>
          <w:szCs w:val="22"/>
        </w:rPr>
        <w:t xml:space="preserve"> </w:t>
      </w:r>
    </w:p>
    <w:p w:rsidRPr="0076786B" w:rsidR="0076786B" w:rsidP="389D9928" w:rsidRDefault="0076786B" w14:paraId="3A0BB180" w14:textId="56F59DE7" w14:noSpellErr="1">
      <w:pPr>
        <w:rPr>
          <w:rFonts w:ascii="Arial" w:hAnsi="Arial" w:eastAsia="Arial" w:cs="Arial"/>
          <w:sz w:val="22"/>
          <w:szCs w:val="22"/>
        </w:rPr>
      </w:pPr>
      <w:r w:rsidRPr="389D9928" w:rsidR="0076786B">
        <w:rPr>
          <w:rFonts w:ascii="Arial" w:hAnsi="Arial" w:eastAsia="Arial" w:cs="Arial"/>
          <w:sz w:val="22"/>
          <w:szCs w:val="22"/>
        </w:rPr>
        <w:t>Loneliness and isolation may have a negative impact on the health of an elderly resident at a nursing home. The utilization of cutting-edge technical solutions in aged care and the creation of anti-loneliness initiatives for seniors. An estimated one-third of Romanians will be above the age of 65 by 2050 due to the country's rapidly aging population and the fact that this trend is projected to continue for some time makes it even more alarming. In the long run, loneliness and social isolation have been found to have a detrimental effect on one's health and well-being, especially for seniors. For a country that has such a high share of elderly population, it is critical for the country that appropriate measures and policies are taken to ensure elderly citizens feel safe and loved, so that they do not go through that sense of loneliness when they are emotionally the most vulnerable. The people of the country who have contributed to country’s economy, the citizens on whom the country has relied on deserve much better than the current scenario.</w:t>
      </w:r>
    </w:p>
    <w:p w:rsidR="001834FC" w:rsidP="389D9928" w:rsidRDefault="001834FC" w14:paraId="3681A04B" w14:textId="77777777" w14:noSpellErr="1">
      <w:pPr>
        <w:rPr>
          <w:rFonts w:ascii="Arial" w:hAnsi="Arial" w:eastAsia="Arial" w:cs="Arial"/>
          <w:sz w:val="22"/>
          <w:szCs w:val="22"/>
        </w:rPr>
      </w:pPr>
      <w:r w:rsidRPr="389D9928">
        <w:rPr>
          <w:rFonts w:ascii="Arial" w:hAnsi="Arial" w:eastAsia="Arial" w:cs="Arial"/>
          <w:sz w:val="22"/>
          <w:szCs w:val="22"/>
        </w:rPr>
        <w:br w:type="page"/>
      </w:r>
    </w:p>
    <w:p w:rsidR="001834FC" w:rsidP="389D9928" w:rsidRDefault="001834FC" w14:paraId="17598CB2" w14:textId="22EFD5DA" w14:noSpellErr="1">
      <w:pPr>
        <w:pStyle w:val="Heading1"/>
        <w:rPr>
          <w:rFonts w:ascii="Arial" w:hAnsi="Arial" w:eastAsia="Arial" w:cs="Arial"/>
          <w:sz w:val="22"/>
          <w:szCs w:val="22"/>
        </w:rPr>
      </w:pPr>
      <w:bookmarkStart w:name="_Toc92568889" w:id="10"/>
      <w:r w:rsidRPr="389D9928" w:rsidR="001834FC">
        <w:rPr>
          <w:rFonts w:ascii="Arial" w:hAnsi="Arial" w:eastAsia="Arial" w:cs="Arial"/>
          <w:sz w:val="22"/>
          <w:szCs w:val="22"/>
        </w:rPr>
        <w:t>Reference</w:t>
      </w:r>
      <w:bookmarkEnd w:id="10"/>
      <w:r w:rsidRPr="389D9928" w:rsidR="001834FC">
        <w:rPr>
          <w:rFonts w:ascii="Arial" w:hAnsi="Arial" w:eastAsia="Arial" w:cs="Arial"/>
          <w:sz w:val="22"/>
          <w:szCs w:val="22"/>
        </w:rPr>
        <w:t xml:space="preserve"> </w:t>
      </w:r>
    </w:p>
    <w:p w:rsidR="00C73540" w:rsidP="389D9928" w:rsidRDefault="00C73540" w14:paraId="61E139B6" w14:textId="4FFFB83C">
      <w:pPr>
        <w:rPr>
          <w:rFonts w:ascii="Arial" w:hAnsi="Arial" w:eastAsia="Arial" w:cs="Arial"/>
          <w:sz w:val="22"/>
          <w:szCs w:val="22"/>
        </w:rPr>
      </w:pPr>
      <w:proofErr w:type="spellStart"/>
      <w:r w:rsidRPr="389D9928" w:rsidR="00C73540">
        <w:rPr>
          <w:rFonts w:ascii="Arial" w:hAnsi="Arial" w:eastAsia="Arial" w:cs="Arial"/>
          <w:sz w:val="22"/>
          <w:szCs w:val="22"/>
        </w:rPr>
        <w:t>Bodogai</w:t>
      </w:r>
      <w:proofErr w:type="spellEnd"/>
      <w:r w:rsidRPr="389D9928" w:rsidR="00C73540">
        <w:rPr>
          <w:rFonts w:ascii="Arial" w:hAnsi="Arial" w:eastAsia="Arial" w:cs="Arial"/>
          <w:sz w:val="22"/>
          <w:szCs w:val="22"/>
        </w:rPr>
        <w:t>, S.I. and Cutler, S.J., 2014. Aging in Romania: Research and public policy. The Gerontologist, 54(2), pp.147-152.</w:t>
      </w:r>
    </w:p>
    <w:p w:rsidR="00830E59" w:rsidP="389D9928" w:rsidRDefault="00071FF5" w14:paraId="66D9EF95" w14:textId="2BC32764">
      <w:pPr>
        <w:rPr>
          <w:rFonts w:ascii="Arial" w:hAnsi="Arial" w:eastAsia="Arial" w:cs="Arial"/>
          <w:sz w:val="22"/>
          <w:szCs w:val="22"/>
        </w:rPr>
      </w:pPr>
      <w:r w:rsidRPr="389D9928" w:rsidR="00071FF5">
        <w:rPr>
          <w:rFonts w:ascii="Arial" w:hAnsi="Arial" w:eastAsia="Arial" w:cs="Arial"/>
          <w:sz w:val="22"/>
          <w:szCs w:val="22"/>
        </w:rPr>
        <w:t xml:space="preserve">Ciobanu, R.O. and </w:t>
      </w:r>
      <w:proofErr w:type="spellStart"/>
      <w:r w:rsidRPr="389D9928" w:rsidR="00071FF5">
        <w:rPr>
          <w:rFonts w:ascii="Arial" w:hAnsi="Arial" w:eastAsia="Arial" w:cs="Arial"/>
          <w:sz w:val="22"/>
          <w:szCs w:val="22"/>
        </w:rPr>
        <w:t>Fokkema</w:t>
      </w:r>
      <w:proofErr w:type="spellEnd"/>
      <w:r w:rsidRPr="389D9928" w:rsidR="00071FF5">
        <w:rPr>
          <w:rFonts w:ascii="Arial" w:hAnsi="Arial" w:eastAsia="Arial" w:cs="Arial"/>
          <w:sz w:val="22"/>
          <w:szCs w:val="22"/>
        </w:rPr>
        <w:t>, T., 2021. What protects older Romanians in Switzerland from loneliness? A life-course perspective. European journal of ageing, 18(3), pp.323-331.</w:t>
      </w:r>
    </w:p>
    <w:p w:rsidR="00830E59" w:rsidP="389D9928" w:rsidRDefault="00830E59" w14:paraId="78CAED4F" w14:textId="0E90A833">
      <w:pPr>
        <w:rPr>
          <w:rFonts w:ascii="Arial" w:hAnsi="Arial" w:eastAsia="Arial" w:cs="Arial"/>
          <w:sz w:val="22"/>
          <w:szCs w:val="22"/>
        </w:rPr>
      </w:pPr>
      <w:r w:rsidRPr="389D9928" w:rsidR="00830E59">
        <w:rPr>
          <w:rFonts w:ascii="Arial" w:hAnsi="Arial" w:eastAsia="Arial" w:cs="Arial"/>
          <w:sz w:val="22"/>
          <w:szCs w:val="22"/>
        </w:rPr>
        <w:t xml:space="preserve">Conroy, K.M., Krishnan, S., </w:t>
      </w:r>
      <w:r w:rsidRPr="389D9928" w:rsidR="00830E59">
        <w:rPr>
          <w:rFonts w:ascii="Arial" w:hAnsi="Arial" w:eastAsia="Arial" w:cs="Arial"/>
          <w:sz w:val="22"/>
          <w:szCs w:val="22"/>
        </w:rPr>
        <w:t>Mittelstaedt</w:t>
      </w:r>
      <w:r w:rsidRPr="389D9928" w:rsidR="00830E59">
        <w:rPr>
          <w:rFonts w:ascii="Arial" w:hAnsi="Arial" w:eastAsia="Arial" w:cs="Arial"/>
          <w:sz w:val="22"/>
          <w:szCs w:val="22"/>
        </w:rPr>
        <w:t>, S. and Patel, S.S., 2020. Technological advancements to address elderly loneliness: Practical considerations and community resilience implications for COVID-19 pandemic. Working with Older People.</w:t>
      </w:r>
    </w:p>
    <w:p w:rsidR="00C73540" w:rsidP="389D9928" w:rsidRDefault="00C73540" w14:paraId="65EBE25C" w14:textId="29D10A43">
      <w:pPr>
        <w:rPr>
          <w:rFonts w:ascii="Arial" w:hAnsi="Arial" w:eastAsia="Arial" w:cs="Arial"/>
          <w:sz w:val="22"/>
          <w:szCs w:val="22"/>
        </w:rPr>
      </w:pPr>
      <w:r w:rsidRPr="389D9928" w:rsidR="00C73540">
        <w:rPr>
          <w:rFonts w:ascii="Arial" w:hAnsi="Arial" w:eastAsia="Arial" w:cs="Arial"/>
          <w:sz w:val="22"/>
          <w:szCs w:val="22"/>
        </w:rPr>
        <w:t>Hellström</w:t>
      </w:r>
      <w:r w:rsidRPr="389D9928" w:rsidR="00C73540">
        <w:rPr>
          <w:rFonts w:ascii="Arial" w:hAnsi="Arial" w:eastAsia="Arial" w:cs="Arial"/>
          <w:sz w:val="22"/>
          <w:szCs w:val="22"/>
        </w:rPr>
        <w:t>, Y. and Hallberg, I.R., 20</w:t>
      </w:r>
      <w:r w:rsidRPr="389D9928" w:rsidR="00C73540">
        <w:rPr>
          <w:rFonts w:ascii="Arial" w:hAnsi="Arial" w:eastAsia="Arial" w:cs="Arial"/>
          <w:sz w:val="22"/>
          <w:szCs w:val="22"/>
        </w:rPr>
        <w:t>1</w:t>
      </w:r>
      <w:r w:rsidRPr="389D9928" w:rsidR="00C73540">
        <w:rPr>
          <w:rFonts w:ascii="Arial" w:hAnsi="Arial" w:eastAsia="Arial" w:cs="Arial"/>
          <w:sz w:val="22"/>
          <w:szCs w:val="22"/>
        </w:rPr>
        <w:t>1. Perspectives of elderly people receiving home help on health, care and quality of life. Health &amp; social care in the community, 9(2), pp.61-71.</w:t>
      </w:r>
    </w:p>
    <w:p w:rsidR="00830E59" w:rsidP="389D9928" w:rsidRDefault="00830E59" w14:paraId="2B484A6B" w14:textId="5920B2F3">
      <w:pPr>
        <w:rPr>
          <w:rFonts w:ascii="Arial" w:hAnsi="Arial" w:eastAsia="Arial" w:cs="Arial"/>
          <w:sz w:val="22"/>
          <w:szCs w:val="22"/>
        </w:rPr>
      </w:pPr>
      <w:r w:rsidRPr="389D9928" w:rsidR="00830E59">
        <w:rPr>
          <w:rFonts w:ascii="Arial" w:hAnsi="Arial" w:eastAsia="Arial" w:cs="Arial"/>
          <w:sz w:val="22"/>
          <w:szCs w:val="22"/>
        </w:rPr>
        <w:t>Hawkley</w:t>
      </w:r>
      <w:r w:rsidRPr="389D9928" w:rsidR="00830E59">
        <w:rPr>
          <w:rFonts w:ascii="Arial" w:hAnsi="Arial" w:eastAsia="Arial" w:cs="Arial"/>
          <w:sz w:val="22"/>
          <w:szCs w:val="22"/>
        </w:rPr>
        <w:t xml:space="preserve">, L.C. and Cacioppo, J.T., 2010. Loneliness matters: A theoretical and empirical review of consequences and mechanisms. Annals of </w:t>
      </w:r>
      <w:proofErr w:type="spellStart"/>
      <w:r w:rsidRPr="389D9928" w:rsidR="00830E59">
        <w:rPr>
          <w:rFonts w:ascii="Arial" w:hAnsi="Arial" w:eastAsia="Arial" w:cs="Arial"/>
          <w:sz w:val="22"/>
          <w:szCs w:val="22"/>
        </w:rPr>
        <w:t>behavioral</w:t>
      </w:r>
      <w:proofErr w:type="spellEnd"/>
      <w:r w:rsidRPr="389D9928" w:rsidR="00830E59">
        <w:rPr>
          <w:rFonts w:ascii="Arial" w:hAnsi="Arial" w:eastAsia="Arial" w:cs="Arial"/>
          <w:sz w:val="22"/>
          <w:szCs w:val="22"/>
        </w:rPr>
        <w:t xml:space="preserve"> medicine, 40(2), pp.218-227.</w:t>
      </w:r>
    </w:p>
    <w:p w:rsidR="00EC3A58" w:rsidP="389D9928" w:rsidRDefault="00EC3A58" w14:paraId="72E5EC5B" w14:textId="282953BA" w14:noSpellErr="1">
      <w:pPr>
        <w:rPr>
          <w:rFonts w:ascii="Arial" w:hAnsi="Arial" w:eastAsia="Arial" w:cs="Arial"/>
          <w:sz w:val="22"/>
          <w:szCs w:val="22"/>
        </w:rPr>
      </w:pPr>
      <w:r w:rsidRPr="389D9928" w:rsidR="00EC3A58">
        <w:rPr>
          <w:rFonts w:ascii="Arial" w:hAnsi="Arial" w:eastAsia="Arial" w:cs="Arial"/>
          <w:sz w:val="22"/>
          <w:szCs w:val="22"/>
        </w:rPr>
        <w:t>HM Government, 2018. A connected society: A strategy for tackling loneliness–laying the foundations for change. Department for Digital, Culture, Media and Sport, London.</w:t>
      </w:r>
    </w:p>
    <w:p w:rsidR="00C73540" w:rsidP="389D9928" w:rsidRDefault="00C73540" w14:paraId="53836CED" w14:textId="3A8DF467">
      <w:pPr>
        <w:rPr>
          <w:rFonts w:ascii="Arial" w:hAnsi="Arial" w:eastAsia="Arial" w:cs="Arial"/>
          <w:sz w:val="22"/>
          <w:szCs w:val="22"/>
        </w:rPr>
      </w:pPr>
      <w:r w:rsidRPr="389D9928" w:rsidR="00C73540">
        <w:rPr>
          <w:rFonts w:ascii="Arial" w:hAnsi="Arial" w:eastAsia="Arial" w:cs="Arial"/>
          <w:sz w:val="22"/>
          <w:szCs w:val="22"/>
        </w:rPr>
        <w:t>Lanzieri</w:t>
      </w:r>
      <w:r w:rsidRPr="389D9928" w:rsidR="00C73540">
        <w:rPr>
          <w:rFonts w:ascii="Arial" w:hAnsi="Arial" w:eastAsia="Arial" w:cs="Arial"/>
          <w:sz w:val="22"/>
          <w:szCs w:val="22"/>
        </w:rPr>
        <w:t xml:space="preserve">, G., 2011. Fewer, older and </w:t>
      </w:r>
      <w:r w:rsidRPr="389D9928" w:rsidR="00C73540">
        <w:rPr>
          <w:rFonts w:ascii="Arial" w:hAnsi="Arial" w:eastAsia="Arial" w:cs="Arial"/>
          <w:sz w:val="22"/>
          <w:szCs w:val="22"/>
        </w:rPr>
        <w:t>multicultural?</w:t>
      </w:r>
      <w:r w:rsidRPr="389D9928" w:rsidR="00C73540">
        <w:rPr>
          <w:rFonts w:ascii="Arial" w:hAnsi="Arial" w:eastAsia="Arial" w:cs="Arial"/>
          <w:sz w:val="22"/>
          <w:szCs w:val="22"/>
        </w:rPr>
        <w:t xml:space="preserve"> projections of the EU populations by foreign/national background. Luxembourg: Publications Office of the European Union.</w:t>
      </w:r>
    </w:p>
    <w:p w:rsidR="00830E59" w:rsidP="389D9928" w:rsidRDefault="00830E59" w14:paraId="4C9BB2E9" w14:textId="72880541" w14:noSpellErr="1">
      <w:pPr>
        <w:rPr>
          <w:rFonts w:ascii="Arial" w:hAnsi="Arial" w:eastAsia="Arial" w:cs="Arial"/>
          <w:sz w:val="22"/>
          <w:szCs w:val="22"/>
        </w:rPr>
      </w:pPr>
      <w:r w:rsidRPr="389D9928" w:rsidR="00830E59">
        <w:rPr>
          <w:rFonts w:ascii="Arial" w:hAnsi="Arial" w:eastAsia="Arial" w:cs="Arial"/>
          <w:sz w:val="22"/>
          <w:szCs w:val="22"/>
        </w:rPr>
        <w:t>Marangoni, C. and Ickes, W., 2019. Loneliness: A theoretical review with implications for measurement. Journal of Social and Personal Relationships, 6(1), pp.93-128.</w:t>
      </w:r>
    </w:p>
    <w:p w:rsidR="00830E59" w:rsidP="389D9928" w:rsidRDefault="00830E59" w14:paraId="2F37997F" w14:textId="0B66F697">
      <w:pPr>
        <w:rPr>
          <w:rFonts w:ascii="Arial" w:hAnsi="Arial" w:eastAsia="Arial" w:cs="Arial"/>
          <w:sz w:val="22"/>
          <w:szCs w:val="22"/>
        </w:rPr>
      </w:pPr>
      <w:r w:rsidRPr="389D9928" w:rsidR="00830E59">
        <w:rPr>
          <w:rFonts w:ascii="Arial" w:hAnsi="Arial" w:eastAsia="Arial" w:cs="Arial"/>
          <w:sz w:val="22"/>
          <w:szCs w:val="22"/>
        </w:rPr>
        <w:t>Naughtin</w:t>
      </w:r>
      <w:r w:rsidRPr="389D9928" w:rsidR="00830E59">
        <w:rPr>
          <w:rFonts w:ascii="Arial" w:hAnsi="Arial" w:eastAsia="Arial" w:cs="Arial"/>
          <w:sz w:val="22"/>
          <w:szCs w:val="22"/>
        </w:rPr>
        <w:t>, G., 2008, June. Social inclusion and older people. In Social Inclusion Down Under Symposium Proceedings.</w:t>
      </w:r>
    </w:p>
    <w:p w:rsidR="00830E59" w:rsidP="389D9928" w:rsidRDefault="00C73540" w14:paraId="331C8C18" w14:textId="6BE9625A" w14:noSpellErr="1">
      <w:pPr>
        <w:rPr>
          <w:rFonts w:ascii="Arial" w:hAnsi="Arial" w:eastAsia="Arial" w:cs="Arial"/>
          <w:sz w:val="22"/>
          <w:szCs w:val="22"/>
        </w:rPr>
      </w:pPr>
      <w:r w:rsidRPr="389D9928" w:rsidR="00C73540">
        <w:rPr>
          <w:rFonts w:ascii="Arial" w:hAnsi="Arial" w:eastAsia="Arial" w:cs="Arial"/>
          <w:sz w:val="22"/>
          <w:szCs w:val="22"/>
        </w:rPr>
        <w:t>Roper, S.D., 20</w:t>
      </w:r>
      <w:r w:rsidRPr="389D9928" w:rsidR="00C73540">
        <w:rPr>
          <w:rFonts w:ascii="Arial" w:hAnsi="Arial" w:eastAsia="Arial" w:cs="Arial"/>
          <w:sz w:val="22"/>
          <w:szCs w:val="22"/>
        </w:rPr>
        <w:t>1</w:t>
      </w:r>
      <w:r w:rsidRPr="389D9928" w:rsidR="00C73540">
        <w:rPr>
          <w:rFonts w:ascii="Arial" w:hAnsi="Arial" w:eastAsia="Arial" w:cs="Arial"/>
          <w:sz w:val="22"/>
          <w:szCs w:val="22"/>
        </w:rPr>
        <w:t>6. The influence of party patronage and state finance on electoral outcomes: Evidence from Romania. Journal of Communist Studies and Transition Politics, 22(3), pp.362-382.</w:t>
      </w:r>
    </w:p>
    <w:p w:rsidR="00071FF5" w:rsidP="389D9928" w:rsidRDefault="00071FF5" w14:paraId="3738449F" w14:textId="6D56B156" w14:noSpellErr="1">
      <w:pPr>
        <w:rPr>
          <w:rFonts w:ascii="Arial" w:hAnsi="Arial" w:eastAsia="Arial" w:cs="Arial"/>
          <w:sz w:val="22"/>
          <w:szCs w:val="22"/>
        </w:rPr>
      </w:pPr>
      <w:r w:rsidRPr="389D9928" w:rsidR="00071FF5">
        <w:rPr>
          <w:rFonts w:ascii="Arial" w:hAnsi="Arial" w:eastAsia="Arial" w:cs="Arial"/>
          <w:sz w:val="22"/>
          <w:szCs w:val="22"/>
        </w:rPr>
        <w:t>Wu, B., 2020. Social isolation and loneliness among older adults in the context of COVID-19: a global challenge. Global health research and policy, 5(1), pp.1-3.</w:t>
      </w:r>
    </w:p>
    <w:p w:rsidRPr="00C73540" w:rsidR="00C73540" w:rsidP="389D9928" w:rsidRDefault="00C73540" w14:paraId="17FABBCA" w14:textId="08FF0BC9" w14:noSpellErr="1">
      <w:pPr>
        <w:rPr>
          <w:rFonts w:ascii="Arial" w:hAnsi="Arial" w:eastAsia="Arial" w:cs="Arial"/>
          <w:sz w:val="22"/>
          <w:szCs w:val="22"/>
        </w:rPr>
      </w:pPr>
      <w:r w:rsidRPr="389D9928" w:rsidR="00C73540">
        <w:rPr>
          <w:rFonts w:ascii="Arial" w:hAnsi="Arial" w:eastAsia="Arial" w:cs="Arial"/>
          <w:sz w:val="22"/>
          <w:szCs w:val="22"/>
        </w:rPr>
        <w:t>Zhou, Y.Y., Wong, W. and Li, H., 2014. Improving care for older adults: a model to segment the senior population. The Permanente Journal, 18(3), p.18.</w:t>
      </w:r>
    </w:p>
    <w:p w:rsidRPr="000F02BF" w:rsidR="000F02BF" w:rsidP="000F02BF" w:rsidRDefault="000F02BF" w14:paraId="0FD0F3B8" w14:textId="77777777"/>
    <w:sectPr w:rsidRPr="000F02BF" w:rsidR="000F02BF" w:rsidSect="001834FC">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D7EBA" w:rsidP="001834FC" w:rsidRDefault="005D7EBA" w14:paraId="47FAA59A" w14:textId="77777777">
      <w:pPr>
        <w:spacing w:after="0" w:line="240" w:lineRule="auto"/>
      </w:pPr>
      <w:r>
        <w:separator/>
      </w:r>
    </w:p>
  </w:endnote>
  <w:endnote w:type="continuationSeparator" w:id="0">
    <w:p w:rsidR="005D7EBA" w:rsidP="001834FC" w:rsidRDefault="005D7EBA" w14:paraId="76B4FA2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0564993"/>
      <w:docPartObj>
        <w:docPartGallery w:val="Page Numbers (Bottom of Page)"/>
        <w:docPartUnique/>
      </w:docPartObj>
    </w:sdtPr>
    <w:sdtEndPr>
      <w:rPr>
        <w:noProof/>
      </w:rPr>
    </w:sdtEndPr>
    <w:sdtContent>
      <w:p w:rsidR="001834FC" w:rsidRDefault="001834FC" w14:paraId="626AF6E3" w14:textId="3A5B4F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834FC" w:rsidRDefault="001834FC" w14:paraId="32ED363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D7EBA" w:rsidP="001834FC" w:rsidRDefault="005D7EBA" w14:paraId="7830CE55" w14:textId="77777777">
      <w:pPr>
        <w:spacing w:after="0" w:line="240" w:lineRule="auto"/>
      </w:pPr>
      <w:r>
        <w:separator/>
      </w:r>
    </w:p>
  </w:footnote>
  <w:footnote w:type="continuationSeparator" w:id="0">
    <w:p w:rsidR="005D7EBA" w:rsidP="001834FC" w:rsidRDefault="005D7EBA" w14:paraId="5D77E308"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QUATU1+dSwAAAA="/>
  </w:docVars>
  <w:rsids>
    <w:rsidRoot w:val="00A60069"/>
    <w:rsid w:val="00071FF5"/>
    <w:rsid w:val="000E047C"/>
    <w:rsid w:val="000F02BF"/>
    <w:rsid w:val="001834FC"/>
    <w:rsid w:val="001D16F6"/>
    <w:rsid w:val="0022399E"/>
    <w:rsid w:val="00252195"/>
    <w:rsid w:val="005D7EBA"/>
    <w:rsid w:val="006F3E7B"/>
    <w:rsid w:val="0076786B"/>
    <w:rsid w:val="00830E59"/>
    <w:rsid w:val="00913C8F"/>
    <w:rsid w:val="00975554"/>
    <w:rsid w:val="00A305DA"/>
    <w:rsid w:val="00A60069"/>
    <w:rsid w:val="00BB6D54"/>
    <w:rsid w:val="00C73540"/>
    <w:rsid w:val="00EB7A2D"/>
    <w:rsid w:val="00EC16C3"/>
    <w:rsid w:val="00EC3A58"/>
    <w:rsid w:val="00F53430"/>
    <w:rsid w:val="1775A11B"/>
    <w:rsid w:val="287F87D8"/>
    <w:rsid w:val="369EE41E"/>
    <w:rsid w:val="389D9928"/>
    <w:rsid w:val="3F0CDAAC"/>
    <w:rsid w:val="6047AAC4"/>
    <w:rsid w:val="6141490D"/>
    <w:rsid w:val="63316C05"/>
    <w:rsid w:val="6C3FFEEC"/>
    <w:rsid w:val="6DCCDA7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hAnsiTheme="majorHAnsi" w:eastAsiaTheme="majorEastAsia"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hAnsiTheme="majorHAnsi" w:eastAsiaTheme="majorEastAsia" w:cstheme="majorBidi"/>
      <w:b/>
      <w:sz w:val="28"/>
      <w:szCs w:val="26"/>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1834FC"/>
    <w:rPr>
      <w:rFonts w:asciiTheme="majorHAnsi" w:hAnsiTheme="majorHAnsi" w:eastAsiaTheme="majorEastAsia" w:cstheme="majorBidi"/>
      <w:b/>
      <w:color w:val="000000" w:themeColor="text1"/>
      <w:sz w:val="28"/>
      <w:szCs w:val="26"/>
    </w:rPr>
  </w:style>
  <w:style w:type="character" w:styleId="Heading1Char" w:customStyle="1">
    <w:name w:val="Heading 1 Char"/>
    <w:basedOn w:val="DefaultParagraphFont"/>
    <w:link w:val="Heading1"/>
    <w:uiPriority w:val="9"/>
    <w:rsid w:val="001834FC"/>
    <w:rPr>
      <w:rFonts w:asciiTheme="majorHAnsi" w:hAnsiTheme="majorHAnsi" w:eastAsiaTheme="majorEastAsia"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hAnsiTheme="majorHAnsi"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1834FC"/>
    <w:rPr>
      <w:rFonts w:asciiTheme="majorHAnsi" w:hAnsiTheme="majorHAnsi" w:eastAsiaTheme="majorEastAsia"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styleId="HeaderChar" w:customStyle="1">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styleId="FooterChar" w:customStyle="1">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jpg" Id="Rd959274195cf4bd6" /><Relationship Type="http://schemas.openxmlformats.org/officeDocument/2006/relationships/glossaryDocument" Target="glossary/document.xml" Id="R21bffc3fd686455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f705582-906e-45a7-b289-c7953efa22bf}"/>
      </w:docPartPr>
      <w:docPartBody>
        <w:p w14:paraId="2291F2F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Andreea Cornelia Lupu (1906519)</lastModifiedBy>
  <revision>2</revision>
  <dcterms:created xsi:type="dcterms:W3CDTF">2022-01-08T15:13:00.0000000Z</dcterms:created>
  <dcterms:modified xsi:type="dcterms:W3CDTF">2022-01-10T14:45:56.8884811Z</dcterms:modified>
</coreProperties>
</file>