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A7ABCB" w14:textId="77777777" w:rsidR="00DA20CF" w:rsidRPr="0079264C" w:rsidRDefault="00DA20CF" w:rsidP="0079264C">
      <w:pPr>
        <w:keepNext/>
        <w:spacing w:before="120"/>
        <w:jc w:val="center"/>
        <w:rPr>
          <w:rFonts w:cs="Arial"/>
          <w:b/>
        </w:rPr>
      </w:pPr>
      <w:r w:rsidRPr="0079264C">
        <w:rPr>
          <w:rFonts w:cs="Arial"/>
          <w:noProof/>
        </w:rPr>
        <w:drawing>
          <wp:inline distT="0" distB="0" distL="0" distR="0" wp14:anchorId="2ECFC532" wp14:editId="73CCEE52">
            <wp:extent cx="2447925" cy="885825"/>
            <wp:effectExtent l="0" t="0" r="9525"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447925" cy="885825"/>
                    </a:xfrm>
                    <a:prstGeom prst="rect">
                      <a:avLst/>
                    </a:prstGeom>
                    <a:noFill/>
                    <a:ln>
                      <a:noFill/>
                    </a:ln>
                  </pic:spPr>
                </pic:pic>
              </a:graphicData>
            </a:graphic>
          </wp:inline>
        </w:drawing>
      </w:r>
    </w:p>
    <w:p w14:paraId="787663FC" w14:textId="77777777" w:rsidR="00827B0C" w:rsidRPr="0079264C" w:rsidRDefault="00827B0C" w:rsidP="0079264C">
      <w:pPr>
        <w:keepNext/>
        <w:spacing w:before="120"/>
        <w:jc w:val="center"/>
        <w:rPr>
          <w:rFonts w:cs="Arial"/>
          <w:b/>
        </w:rPr>
      </w:pPr>
    </w:p>
    <w:p w14:paraId="70E6A132" w14:textId="77777777" w:rsidR="00827B0C" w:rsidRPr="0079264C" w:rsidRDefault="00827B0C" w:rsidP="0079264C">
      <w:pPr>
        <w:keepNext/>
        <w:spacing w:before="120"/>
        <w:jc w:val="center"/>
        <w:rPr>
          <w:rFonts w:cs="Arial"/>
          <w:b/>
        </w:rPr>
      </w:pPr>
    </w:p>
    <w:p w14:paraId="5AC2F5AC" w14:textId="77777777" w:rsidR="00DB18BB" w:rsidRPr="0079264C" w:rsidRDefault="00B3448C" w:rsidP="0079264C">
      <w:pPr>
        <w:keepNext/>
        <w:spacing w:before="120"/>
        <w:jc w:val="center"/>
        <w:rPr>
          <w:rFonts w:cs="Arial"/>
          <w:sz w:val="36"/>
        </w:rPr>
      </w:pPr>
      <w:r w:rsidRPr="0079264C">
        <w:rPr>
          <w:rFonts w:cs="Arial"/>
          <w:b/>
          <w:sz w:val="36"/>
        </w:rPr>
        <w:t>Remote Patient Monitoring for People with Type 1 Diabetes</w:t>
      </w:r>
    </w:p>
    <w:p w14:paraId="0457A0BA" w14:textId="42724421" w:rsidR="00DB18BB" w:rsidRPr="0079264C" w:rsidRDefault="00B3448C" w:rsidP="0079264C">
      <w:pPr>
        <w:keepNext/>
        <w:spacing w:before="120"/>
        <w:jc w:val="center"/>
        <w:rPr>
          <w:rFonts w:cs="Arial"/>
          <w:sz w:val="28"/>
        </w:rPr>
      </w:pPr>
      <w:r w:rsidRPr="0079264C">
        <w:rPr>
          <w:rFonts w:cs="Arial"/>
          <w:sz w:val="28"/>
        </w:rPr>
        <w:t xml:space="preserve">A critical evaluation of </w:t>
      </w:r>
      <w:proofErr w:type="spellStart"/>
      <w:r w:rsidRPr="0079264C">
        <w:rPr>
          <w:rFonts w:cs="Arial"/>
          <w:sz w:val="28"/>
        </w:rPr>
        <w:t>FreeStyle</w:t>
      </w:r>
      <w:proofErr w:type="spellEnd"/>
      <w:r w:rsidRPr="0079264C">
        <w:rPr>
          <w:rFonts w:cs="Arial"/>
          <w:sz w:val="28"/>
        </w:rPr>
        <w:t xml:space="preserve"> Libre 2 with </w:t>
      </w:r>
      <w:r w:rsidR="00A84A61" w:rsidRPr="0079264C">
        <w:rPr>
          <w:rFonts w:cs="Arial"/>
          <w:sz w:val="28"/>
        </w:rPr>
        <w:t>Libre View</w:t>
      </w:r>
      <w:r w:rsidRPr="0079264C">
        <w:rPr>
          <w:rFonts w:cs="Arial"/>
          <w:sz w:val="28"/>
        </w:rPr>
        <w:t xml:space="preserve"> in UK healthcare</w:t>
      </w:r>
    </w:p>
    <w:p w14:paraId="30BDBFDC" w14:textId="77777777" w:rsidR="00B066D8" w:rsidRPr="0079264C" w:rsidRDefault="00B066D8" w:rsidP="0079264C">
      <w:pPr>
        <w:keepNext/>
        <w:spacing w:before="120"/>
        <w:jc w:val="center"/>
        <w:rPr>
          <w:rFonts w:cs="Arial"/>
          <w:sz w:val="28"/>
        </w:rPr>
      </w:pPr>
    </w:p>
    <w:p w14:paraId="7A762EEA" w14:textId="77777777" w:rsidR="00B066D8" w:rsidRPr="0079264C" w:rsidRDefault="00B066D8" w:rsidP="0079264C">
      <w:pPr>
        <w:keepNext/>
        <w:spacing w:before="120"/>
        <w:jc w:val="center"/>
        <w:rPr>
          <w:rFonts w:cs="Arial"/>
          <w:sz w:val="28"/>
        </w:rPr>
      </w:pPr>
    </w:p>
    <w:p w14:paraId="22F2B89A" w14:textId="77777777" w:rsidR="00B066D8" w:rsidRPr="0079264C" w:rsidRDefault="00B066D8" w:rsidP="0079264C">
      <w:pPr>
        <w:keepNext/>
        <w:spacing w:before="120"/>
        <w:jc w:val="center"/>
        <w:rPr>
          <w:rFonts w:cs="Arial"/>
          <w:sz w:val="28"/>
        </w:rPr>
      </w:pPr>
    </w:p>
    <w:p w14:paraId="54A0AD82" w14:textId="77777777" w:rsidR="00BC2E26" w:rsidRPr="0079264C" w:rsidRDefault="00BC2E26" w:rsidP="0079264C">
      <w:pPr>
        <w:spacing w:before="120"/>
        <w:jc w:val="left"/>
        <w:rPr>
          <w:rFonts w:cs="Arial"/>
        </w:rPr>
      </w:pPr>
      <w:r w:rsidRPr="0079264C">
        <w:rPr>
          <w:rFonts w:cs="Arial"/>
          <w:b/>
        </w:rPr>
        <w:t xml:space="preserve">Assignment: </w:t>
      </w:r>
      <w:r w:rsidRPr="0079264C">
        <w:rPr>
          <w:rFonts w:cs="Arial"/>
        </w:rPr>
        <w:t>Component 1 Written Report</w:t>
      </w:r>
    </w:p>
    <w:p w14:paraId="332D2B98" w14:textId="6DB4A42D" w:rsidR="00BC2E26" w:rsidRPr="0079264C" w:rsidRDefault="00BC2E26" w:rsidP="0079264C">
      <w:pPr>
        <w:spacing w:before="120"/>
        <w:jc w:val="left"/>
        <w:rPr>
          <w:rFonts w:cs="Arial"/>
        </w:rPr>
      </w:pPr>
      <w:r w:rsidRPr="0079264C">
        <w:rPr>
          <w:rFonts w:cs="Arial"/>
          <w:b/>
        </w:rPr>
        <w:t xml:space="preserve">Student name: </w:t>
      </w:r>
      <w:r w:rsidR="002360C3">
        <w:rPr>
          <w:rFonts w:cs="Arial"/>
          <w:b/>
        </w:rPr>
        <w:t>ZAIBA TABASSUM</w:t>
      </w:r>
    </w:p>
    <w:p w14:paraId="66EE381D" w14:textId="00CBF07D" w:rsidR="00BC2E26" w:rsidRPr="0079264C" w:rsidRDefault="00BC2E26" w:rsidP="0079264C">
      <w:pPr>
        <w:spacing w:before="120"/>
        <w:jc w:val="left"/>
        <w:rPr>
          <w:rFonts w:cs="Arial"/>
        </w:rPr>
      </w:pPr>
      <w:r w:rsidRPr="0079264C">
        <w:rPr>
          <w:rFonts w:cs="Arial"/>
          <w:b/>
        </w:rPr>
        <w:t xml:space="preserve">Student number: </w:t>
      </w:r>
      <w:r w:rsidR="002360C3">
        <w:rPr>
          <w:rFonts w:cs="Arial"/>
          <w:b/>
        </w:rPr>
        <w:t>2407213</w:t>
      </w:r>
    </w:p>
    <w:p w14:paraId="5BEB9ED4" w14:textId="77777777" w:rsidR="00BC2E26" w:rsidRPr="0079264C" w:rsidRDefault="00BC2E26" w:rsidP="0079264C">
      <w:pPr>
        <w:spacing w:before="120"/>
        <w:jc w:val="left"/>
        <w:rPr>
          <w:rFonts w:cs="Arial"/>
        </w:rPr>
      </w:pPr>
      <w:r w:rsidRPr="0079264C">
        <w:rPr>
          <w:rFonts w:cs="Arial"/>
          <w:b/>
        </w:rPr>
        <w:t xml:space="preserve">Programme: </w:t>
      </w:r>
      <w:r w:rsidRPr="0079264C">
        <w:rPr>
          <w:rFonts w:cs="Arial"/>
        </w:rPr>
        <w:t>BSc (Hons) Health and Social Care</w:t>
      </w:r>
    </w:p>
    <w:p w14:paraId="7939133D" w14:textId="77777777" w:rsidR="00BC2E26" w:rsidRPr="0079264C" w:rsidRDefault="00BC2E26" w:rsidP="0079264C">
      <w:pPr>
        <w:spacing w:before="120"/>
        <w:jc w:val="left"/>
        <w:rPr>
          <w:rFonts w:cs="Arial"/>
        </w:rPr>
      </w:pPr>
      <w:r w:rsidRPr="0079264C">
        <w:rPr>
          <w:rFonts w:cs="Arial"/>
          <w:b/>
        </w:rPr>
        <w:t xml:space="preserve">Module: </w:t>
      </w:r>
      <w:r w:rsidRPr="0079264C">
        <w:rPr>
          <w:rFonts w:cs="Arial"/>
        </w:rPr>
        <w:t>Digital Transformation in the Health and Care Professions</w:t>
      </w:r>
    </w:p>
    <w:p w14:paraId="1DA3FE67" w14:textId="77777777" w:rsidR="00BC2E26" w:rsidRPr="0079264C" w:rsidRDefault="00BC2E26" w:rsidP="0079264C">
      <w:pPr>
        <w:spacing w:before="120"/>
        <w:jc w:val="left"/>
        <w:rPr>
          <w:rFonts w:cs="Arial"/>
        </w:rPr>
      </w:pPr>
      <w:r w:rsidRPr="0079264C">
        <w:rPr>
          <w:rFonts w:cs="Arial"/>
          <w:b/>
        </w:rPr>
        <w:t xml:space="preserve">Module code: </w:t>
      </w:r>
      <w:r w:rsidRPr="0079264C">
        <w:rPr>
          <w:rFonts w:cs="Arial"/>
        </w:rPr>
        <w:t>BMHP6026</w:t>
      </w:r>
    </w:p>
    <w:p w14:paraId="376376FB" w14:textId="34A9C8F8" w:rsidR="00BC2E26" w:rsidRPr="0079264C" w:rsidRDefault="00494C68" w:rsidP="0079264C">
      <w:pPr>
        <w:spacing w:before="120"/>
        <w:jc w:val="left"/>
        <w:rPr>
          <w:rFonts w:cs="Arial"/>
        </w:rPr>
      </w:pPr>
      <w:r>
        <w:rPr>
          <w:rFonts w:cs="Arial"/>
          <w:b/>
        </w:rPr>
        <w:t xml:space="preserve">LECTURER </w:t>
      </w:r>
      <w:proofErr w:type="gramStart"/>
      <w:r>
        <w:rPr>
          <w:rFonts w:cs="Arial"/>
          <w:b/>
        </w:rPr>
        <w:t>NAME</w:t>
      </w:r>
      <w:r w:rsidR="00BE48F5">
        <w:rPr>
          <w:rFonts w:cs="Arial"/>
          <w:b/>
        </w:rPr>
        <w:t xml:space="preserve"> :</w:t>
      </w:r>
      <w:proofErr w:type="gramEnd"/>
      <w:r w:rsidR="00A456C8">
        <w:rPr>
          <w:rFonts w:cs="Arial"/>
          <w:b/>
        </w:rPr>
        <w:t xml:space="preserve"> TOMY ADATTU CHACKO</w:t>
      </w:r>
    </w:p>
    <w:p w14:paraId="7DD8528C" w14:textId="77777777" w:rsidR="00BC2E26" w:rsidRPr="0079264C" w:rsidRDefault="00BC2E26" w:rsidP="0079264C">
      <w:pPr>
        <w:spacing w:before="120"/>
        <w:jc w:val="left"/>
        <w:rPr>
          <w:rFonts w:cs="Arial"/>
        </w:rPr>
      </w:pPr>
      <w:r w:rsidRPr="0079264C">
        <w:rPr>
          <w:rFonts w:cs="Arial"/>
          <w:b/>
        </w:rPr>
        <w:t xml:space="preserve">Word count: </w:t>
      </w:r>
      <w:r w:rsidRPr="0079264C">
        <w:rPr>
          <w:rFonts w:cs="Arial"/>
        </w:rPr>
        <w:t>20</w:t>
      </w:r>
      <w:r w:rsidR="007F7161" w:rsidRPr="0079264C">
        <w:rPr>
          <w:rFonts w:cs="Arial"/>
        </w:rPr>
        <w:t>27</w:t>
      </w:r>
      <w:r w:rsidRPr="0079264C">
        <w:rPr>
          <w:rFonts w:cs="Arial"/>
        </w:rPr>
        <w:t xml:space="preserve"> including section headings and in-text citations, excluding this title page and the reference list</w:t>
      </w:r>
    </w:p>
    <w:p w14:paraId="6EE3BD1E" w14:textId="77777777" w:rsidR="00BC2E26" w:rsidRPr="0079264C" w:rsidRDefault="00BC2E26" w:rsidP="0079264C">
      <w:pPr>
        <w:spacing w:before="120"/>
        <w:jc w:val="left"/>
        <w:rPr>
          <w:rFonts w:cs="Arial"/>
        </w:rPr>
      </w:pPr>
      <w:r w:rsidRPr="0079264C">
        <w:rPr>
          <w:rFonts w:cs="Arial"/>
        </w:rPr>
        <w:br w:type="page"/>
      </w:r>
    </w:p>
    <w:p w14:paraId="31DB1645" w14:textId="77777777" w:rsidR="00DB18BB" w:rsidRPr="0079264C" w:rsidRDefault="00BC2E26" w:rsidP="0079264C">
      <w:pPr>
        <w:keepNext/>
        <w:spacing w:before="120"/>
        <w:jc w:val="center"/>
        <w:rPr>
          <w:rFonts w:cs="Arial"/>
        </w:rPr>
      </w:pPr>
      <w:r w:rsidRPr="0079264C">
        <w:rPr>
          <w:rFonts w:cs="Arial"/>
        </w:rPr>
        <w:lastRenderedPageBreak/>
        <w:t>Table of Contents</w:t>
      </w:r>
    </w:p>
    <w:p w14:paraId="3CF21DF9" w14:textId="77777777" w:rsidR="00BB481C" w:rsidRPr="0079264C" w:rsidRDefault="00BC2E26" w:rsidP="0079264C">
      <w:pPr>
        <w:pStyle w:val="TOC1"/>
        <w:tabs>
          <w:tab w:val="right" w:leader="dot" w:pos="9015"/>
        </w:tabs>
        <w:spacing w:before="120" w:after="120"/>
        <w:rPr>
          <w:rFonts w:eastAsiaTheme="minorEastAsia" w:cs="Arial"/>
          <w:noProof/>
          <w:lang w:val="en-US"/>
        </w:rPr>
      </w:pPr>
      <w:r w:rsidRPr="0079264C">
        <w:rPr>
          <w:rFonts w:cs="Arial"/>
        </w:rPr>
        <w:fldChar w:fldCharType="begin"/>
      </w:r>
      <w:r w:rsidRPr="0079264C">
        <w:rPr>
          <w:rFonts w:cs="Arial"/>
        </w:rPr>
        <w:instrText xml:space="preserve"> TOC \o "1-3" \h \z \u </w:instrText>
      </w:r>
      <w:r w:rsidRPr="0079264C">
        <w:rPr>
          <w:rFonts w:cs="Arial"/>
        </w:rPr>
        <w:fldChar w:fldCharType="separate"/>
      </w:r>
      <w:hyperlink w:anchor="_Toc242179492" w:history="1">
        <w:r w:rsidR="00BB481C" w:rsidRPr="0079264C">
          <w:rPr>
            <w:rStyle w:val="Hyperlink"/>
            <w:rFonts w:cs="Arial"/>
            <w:noProof/>
          </w:rPr>
          <w:t>1. Introduction</w:t>
        </w:r>
        <w:r w:rsidR="00BB481C" w:rsidRPr="0079264C">
          <w:rPr>
            <w:rFonts w:cs="Arial"/>
            <w:noProof/>
            <w:webHidden/>
          </w:rPr>
          <w:tab/>
        </w:r>
        <w:r w:rsidR="00BB481C" w:rsidRPr="0079264C">
          <w:rPr>
            <w:rFonts w:cs="Arial"/>
            <w:noProof/>
            <w:webHidden/>
          </w:rPr>
          <w:fldChar w:fldCharType="begin"/>
        </w:r>
        <w:r w:rsidR="00BB481C" w:rsidRPr="0079264C">
          <w:rPr>
            <w:rFonts w:cs="Arial"/>
            <w:noProof/>
            <w:webHidden/>
          </w:rPr>
          <w:instrText xml:space="preserve"> PAGEREF _Toc242179492 \h </w:instrText>
        </w:r>
        <w:r w:rsidR="00BB481C" w:rsidRPr="0079264C">
          <w:rPr>
            <w:rFonts w:cs="Arial"/>
            <w:noProof/>
            <w:webHidden/>
          </w:rPr>
        </w:r>
        <w:r w:rsidR="00BB481C" w:rsidRPr="0079264C">
          <w:rPr>
            <w:rFonts w:cs="Arial"/>
            <w:noProof/>
            <w:webHidden/>
          </w:rPr>
          <w:fldChar w:fldCharType="separate"/>
        </w:r>
        <w:r w:rsidR="006C4DB0" w:rsidRPr="0079264C">
          <w:rPr>
            <w:rFonts w:cs="Arial"/>
            <w:noProof/>
            <w:webHidden/>
          </w:rPr>
          <w:t>3</w:t>
        </w:r>
        <w:r w:rsidR="00BB481C" w:rsidRPr="0079264C">
          <w:rPr>
            <w:rFonts w:cs="Arial"/>
            <w:noProof/>
            <w:webHidden/>
          </w:rPr>
          <w:fldChar w:fldCharType="end"/>
        </w:r>
      </w:hyperlink>
    </w:p>
    <w:p w14:paraId="2F74A92F" w14:textId="77777777" w:rsidR="00BB481C" w:rsidRPr="0079264C" w:rsidRDefault="00BB481C" w:rsidP="0079264C">
      <w:pPr>
        <w:pStyle w:val="TOC1"/>
        <w:tabs>
          <w:tab w:val="right" w:leader="dot" w:pos="9015"/>
        </w:tabs>
        <w:spacing w:before="120" w:after="120"/>
        <w:rPr>
          <w:rFonts w:eastAsiaTheme="minorEastAsia" w:cs="Arial"/>
          <w:noProof/>
          <w:lang w:val="en-US"/>
        </w:rPr>
      </w:pPr>
      <w:hyperlink w:anchor="_Toc242179493" w:history="1">
        <w:r w:rsidRPr="0079264C">
          <w:rPr>
            <w:rStyle w:val="Hyperlink"/>
            <w:rFonts w:cs="Arial"/>
            <w:noProof/>
          </w:rPr>
          <w:t>2. Workforce</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_Toc242179493 \h </w:instrText>
        </w:r>
        <w:r w:rsidRPr="0079264C">
          <w:rPr>
            <w:rFonts w:cs="Arial"/>
            <w:noProof/>
            <w:webHidden/>
          </w:rPr>
        </w:r>
        <w:r w:rsidRPr="0079264C">
          <w:rPr>
            <w:rFonts w:cs="Arial"/>
            <w:noProof/>
            <w:webHidden/>
          </w:rPr>
          <w:fldChar w:fldCharType="separate"/>
        </w:r>
        <w:r w:rsidR="006C4DB0" w:rsidRPr="0079264C">
          <w:rPr>
            <w:rFonts w:cs="Arial"/>
            <w:noProof/>
            <w:webHidden/>
          </w:rPr>
          <w:t>3</w:t>
        </w:r>
        <w:r w:rsidRPr="0079264C">
          <w:rPr>
            <w:rFonts w:cs="Arial"/>
            <w:noProof/>
            <w:webHidden/>
          </w:rPr>
          <w:fldChar w:fldCharType="end"/>
        </w:r>
      </w:hyperlink>
    </w:p>
    <w:p w14:paraId="298B2DBE"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494" w:history="1">
        <w:r w:rsidRPr="0079264C">
          <w:rPr>
            <w:rStyle w:val="Hyperlink"/>
            <w:rFonts w:cs="Arial"/>
            <w:noProof/>
          </w:rPr>
          <w:t>How roles have changed (new skills, training needs, job adjustments)?</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_Toc242179494 \h </w:instrText>
        </w:r>
        <w:r w:rsidRPr="0079264C">
          <w:rPr>
            <w:rFonts w:cs="Arial"/>
            <w:noProof/>
            <w:webHidden/>
          </w:rPr>
        </w:r>
        <w:r w:rsidRPr="0079264C">
          <w:rPr>
            <w:rFonts w:cs="Arial"/>
            <w:noProof/>
            <w:webHidden/>
          </w:rPr>
          <w:fldChar w:fldCharType="separate"/>
        </w:r>
        <w:r w:rsidR="006C4DB0" w:rsidRPr="0079264C">
          <w:rPr>
            <w:rFonts w:cs="Arial"/>
            <w:noProof/>
            <w:webHidden/>
          </w:rPr>
          <w:t>3</w:t>
        </w:r>
        <w:r w:rsidRPr="0079264C">
          <w:rPr>
            <w:rFonts w:cs="Arial"/>
            <w:noProof/>
            <w:webHidden/>
          </w:rPr>
          <w:fldChar w:fldCharType="end"/>
        </w:r>
      </w:hyperlink>
    </w:p>
    <w:p w14:paraId="5B66984E"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495" w:history="1">
        <w:r w:rsidRPr="0079264C">
          <w:rPr>
            <w:rStyle w:val="Hyperlink"/>
            <w:rFonts w:cs="Arial"/>
            <w:noProof/>
          </w:rPr>
          <w:t>Benefits</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_Toc242179495 \h </w:instrText>
        </w:r>
        <w:r w:rsidRPr="0079264C">
          <w:rPr>
            <w:rFonts w:cs="Arial"/>
            <w:noProof/>
            <w:webHidden/>
          </w:rPr>
        </w:r>
        <w:r w:rsidRPr="0079264C">
          <w:rPr>
            <w:rFonts w:cs="Arial"/>
            <w:noProof/>
            <w:webHidden/>
          </w:rPr>
          <w:fldChar w:fldCharType="separate"/>
        </w:r>
        <w:r w:rsidR="006C4DB0" w:rsidRPr="0079264C">
          <w:rPr>
            <w:rFonts w:cs="Arial"/>
            <w:noProof/>
            <w:webHidden/>
          </w:rPr>
          <w:t>3</w:t>
        </w:r>
        <w:r w:rsidRPr="0079264C">
          <w:rPr>
            <w:rFonts w:cs="Arial"/>
            <w:noProof/>
            <w:webHidden/>
          </w:rPr>
          <w:fldChar w:fldCharType="end"/>
        </w:r>
      </w:hyperlink>
    </w:p>
    <w:p w14:paraId="09EDD0B7"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496" w:history="1">
        <w:r w:rsidRPr="0079264C">
          <w:rPr>
            <w:rStyle w:val="Hyperlink"/>
            <w:rFonts w:cs="Arial"/>
            <w:noProof/>
          </w:rPr>
          <w:t>Challenges</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_Toc242179496 \h </w:instrText>
        </w:r>
        <w:r w:rsidRPr="0079264C">
          <w:rPr>
            <w:rFonts w:cs="Arial"/>
            <w:noProof/>
            <w:webHidden/>
          </w:rPr>
        </w:r>
        <w:r w:rsidRPr="0079264C">
          <w:rPr>
            <w:rFonts w:cs="Arial"/>
            <w:noProof/>
            <w:webHidden/>
          </w:rPr>
          <w:fldChar w:fldCharType="separate"/>
        </w:r>
        <w:r w:rsidR="006C4DB0" w:rsidRPr="0079264C">
          <w:rPr>
            <w:rFonts w:cs="Arial"/>
            <w:noProof/>
            <w:webHidden/>
          </w:rPr>
          <w:t>4</w:t>
        </w:r>
        <w:r w:rsidRPr="0079264C">
          <w:rPr>
            <w:rFonts w:cs="Arial"/>
            <w:noProof/>
            <w:webHidden/>
          </w:rPr>
          <w:fldChar w:fldCharType="end"/>
        </w:r>
      </w:hyperlink>
    </w:p>
    <w:p w14:paraId="036CB0EF" w14:textId="77777777" w:rsidR="00BB481C" w:rsidRPr="0079264C" w:rsidRDefault="00BB481C" w:rsidP="0079264C">
      <w:pPr>
        <w:pStyle w:val="TOC1"/>
        <w:tabs>
          <w:tab w:val="right" w:leader="dot" w:pos="9015"/>
        </w:tabs>
        <w:spacing w:before="120" w:after="120"/>
        <w:rPr>
          <w:rFonts w:eastAsiaTheme="minorEastAsia" w:cs="Arial"/>
          <w:noProof/>
          <w:lang w:val="en-US"/>
        </w:rPr>
      </w:pPr>
      <w:hyperlink w:anchor="_Toc242179497" w:history="1">
        <w:r w:rsidRPr="0079264C">
          <w:rPr>
            <w:rStyle w:val="Hyperlink"/>
            <w:rFonts w:cs="Arial"/>
            <w:noProof/>
          </w:rPr>
          <w:t>3. Service delivery</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_Toc242179497 \h </w:instrText>
        </w:r>
        <w:r w:rsidRPr="0079264C">
          <w:rPr>
            <w:rFonts w:cs="Arial"/>
            <w:noProof/>
            <w:webHidden/>
          </w:rPr>
        </w:r>
        <w:r w:rsidRPr="0079264C">
          <w:rPr>
            <w:rFonts w:cs="Arial"/>
            <w:noProof/>
            <w:webHidden/>
          </w:rPr>
          <w:fldChar w:fldCharType="separate"/>
        </w:r>
        <w:r w:rsidR="006C4DB0" w:rsidRPr="0079264C">
          <w:rPr>
            <w:rFonts w:cs="Arial"/>
            <w:noProof/>
            <w:webHidden/>
          </w:rPr>
          <w:t>4</w:t>
        </w:r>
        <w:r w:rsidRPr="0079264C">
          <w:rPr>
            <w:rFonts w:cs="Arial"/>
            <w:noProof/>
            <w:webHidden/>
          </w:rPr>
          <w:fldChar w:fldCharType="end"/>
        </w:r>
      </w:hyperlink>
    </w:p>
    <w:p w14:paraId="7BCC79FE"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498" w:history="1">
        <w:r w:rsidRPr="0079264C">
          <w:rPr>
            <w:rStyle w:val="Hyperlink"/>
            <w:rFonts w:cs="Arial"/>
            <w:noProof/>
          </w:rPr>
          <w:t>How daily practice has been affected?</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_Toc242179498 \h </w:instrText>
        </w:r>
        <w:r w:rsidRPr="0079264C">
          <w:rPr>
            <w:rFonts w:cs="Arial"/>
            <w:noProof/>
            <w:webHidden/>
          </w:rPr>
        </w:r>
        <w:r w:rsidRPr="0079264C">
          <w:rPr>
            <w:rFonts w:cs="Arial"/>
            <w:noProof/>
            <w:webHidden/>
          </w:rPr>
          <w:fldChar w:fldCharType="separate"/>
        </w:r>
        <w:r w:rsidR="006C4DB0" w:rsidRPr="0079264C">
          <w:rPr>
            <w:rFonts w:cs="Arial"/>
            <w:noProof/>
            <w:webHidden/>
          </w:rPr>
          <w:t>4</w:t>
        </w:r>
        <w:r w:rsidRPr="0079264C">
          <w:rPr>
            <w:rFonts w:cs="Arial"/>
            <w:noProof/>
            <w:webHidden/>
          </w:rPr>
          <w:fldChar w:fldCharType="end"/>
        </w:r>
      </w:hyperlink>
    </w:p>
    <w:p w14:paraId="6E70F5D0"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499" w:history="1">
        <w:r w:rsidRPr="0079264C">
          <w:rPr>
            <w:rStyle w:val="Hyperlink"/>
            <w:rFonts w:cs="Arial"/>
            <w:noProof/>
          </w:rPr>
          <w:t>Benefits and cost-effectiveness</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_Toc242179499 \h </w:instrText>
        </w:r>
        <w:r w:rsidRPr="0079264C">
          <w:rPr>
            <w:rFonts w:cs="Arial"/>
            <w:noProof/>
            <w:webHidden/>
          </w:rPr>
        </w:r>
        <w:r w:rsidRPr="0079264C">
          <w:rPr>
            <w:rFonts w:cs="Arial"/>
            <w:noProof/>
            <w:webHidden/>
          </w:rPr>
          <w:fldChar w:fldCharType="separate"/>
        </w:r>
        <w:r w:rsidR="006C4DB0" w:rsidRPr="0079264C">
          <w:rPr>
            <w:rFonts w:cs="Arial"/>
            <w:noProof/>
            <w:webHidden/>
          </w:rPr>
          <w:t>4</w:t>
        </w:r>
        <w:r w:rsidRPr="0079264C">
          <w:rPr>
            <w:rFonts w:cs="Arial"/>
            <w:noProof/>
            <w:webHidden/>
          </w:rPr>
          <w:fldChar w:fldCharType="end"/>
        </w:r>
      </w:hyperlink>
    </w:p>
    <w:p w14:paraId="7E93262B"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500" w:history="1">
        <w:r w:rsidRPr="0079264C">
          <w:rPr>
            <w:rStyle w:val="Hyperlink"/>
            <w:rFonts w:cs="Arial"/>
            <w:noProof/>
          </w:rPr>
          <w:t>Challenges and Services Reliability</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_Toc242179500 \h </w:instrText>
        </w:r>
        <w:r w:rsidRPr="0079264C">
          <w:rPr>
            <w:rFonts w:cs="Arial"/>
            <w:noProof/>
            <w:webHidden/>
          </w:rPr>
        </w:r>
        <w:r w:rsidRPr="0079264C">
          <w:rPr>
            <w:rFonts w:cs="Arial"/>
            <w:noProof/>
            <w:webHidden/>
          </w:rPr>
          <w:fldChar w:fldCharType="separate"/>
        </w:r>
        <w:r w:rsidR="006C4DB0" w:rsidRPr="0079264C">
          <w:rPr>
            <w:rFonts w:cs="Arial"/>
            <w:noProof/>
            <w:webHidden/>
          </w:rPr>
          <w:t>5</w:t>
        </w:r>
        <w:r w:rsidRPr="0079264C">
          <w:rPr>
            <w:rFonts w:cs="Arial"/>
            <w:noProof/>
            <w:webHidden/>
          </w:rPr>
          <w:fldChar w:fldCharType="end"/>
        </w:r>
      </w:hyperlink>
    </w:p>
    <w:p w14:paraId="6E2C3854" w14:textId="77777777" w:rsidR="00BB481C" w:rsidRPr="0079264C" w:rsidRDefault="00BB481C" w:rsidP="0079264C">
      <w:pPr>
        <w:pStyle w:val="TOC1"/>
        <w:tabs>
          <w:tab w:val="right" w:leader="dot" w:pos="9015"/>
        </w:tabs>
        <w:spacing w:before="120" w:after="120"/>
        <w:rPr>
          <w:rFonts w:eastAsiaTheme="minorEastAsia" w:cs="Arial"/>
          <w:noProof/>
          <w:lang w:val="en-US"/>
        </w:rPr>
      </w:pPr>
      <w:hyperlink w:anchor="_Toc242179501" w:history="1">
        <w:r w:rsidRPr="0079264C">
          <w:rPr>
            <w:rStyle w:val="Hyperlink"/>
            <w:rFonts w:cs="Arial"/>
            <w:noProof/>
          </w:rPr>
          <w:t>4. Patient and service user</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_Toc242179501 \h </w:instrText>
        </w:r>
        <w:r w:rsidRPr="0079264C">
          <w:rPr>
            <w:rFonts w:cs="Arial"/>
            <w:noProof/>
            <w:webHidden/>
          </w:rPr>
        </w:r>
        <w:r w:rsidRPr="0079264C">
          <w:rPr>
            <w:rFonts w:cs="Arial"/>
            <w:noProof/>
            <w:webHidden/>
          </w:rPr>
          <w:fldChar w:fldCharType="separate"/>
        </w:r>
        <w:r w:rsidR="006C4DB0" w:rsidRPr="0079264C">
          <w:rPr>
            <w:rFonts w:cs="Arial"/>
            <w:noProof/>
            <w:webHidden/>
          </w:rPr>
          <w:t>5</w:t>
        </w:r>
        <w:r w:rsidRPr="0079264C">
          <w:rPr>
            <w:rFonts w:cs="Arial"/>
            <w:noProof/>
            <w:webHidden/>
          </w:rPr>
          <w:fldChar w:fldCharType="end"/>
        </w:r>
      </w:hyperlink>
    </w:p>
    <w:p w14:paraId="3179E055"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502" w:history="1">
        <w:r w:rsidRPr="0079264C">
          <w:rPr>
            <w:rStyle w:val="Hyperlink"/>
            <w:rFonts w:cs="Arial"/>
            <w:noProof/>
          </w:rPr>
          <w:t>How patient/service user experiences have changed?</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_Toc242179502 \h </w:instrText>
        </w:r>
        <w:r w:rsidRPr="0079264C">
          <w:rPr>
            <w:rFonts w:cs="Arial"/>
            <w:noProof/>
            <w:webHidden/>
          </w:rPr>
        </w:r>
        <w:r w:rsidRPr="0079264C">
          <w:rPr>
            <w:rFonts w:cs="Arial"/>
            <w:noProof/>
            <w:webHidden/>
          </w:rPr>
          <w:fldChar w:fldCharType="separate"/>
        </w:r>
        <w:r w:rsidR="006C4DB0" w:rsidRPr="0079264C">
          <w:rPr>
            <w:rFonts w:cs="Arial"/>
            <w:noProof/>
            <w:webHidden/>
          </w:rPr>
          <w:t>5</w:t>
        </w:r>
        <w:r w:rsidRPr="0079264C">
          <w:rPr>
            <w:rFonts w:cs="Arial"/>
            <w:noProof/>
            <w:webHidden/>
          </w:rPr>
          <w:fldChar w:fldCharType="end"/>
        </w:r>
      </w:hyperlink>
    </w:p>
    <w:p w14:paraId="2B9FF36C"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503" w:history="1">
        <w:r w:rsidRPr="0079264C">
          <w:rPr>
            <w:rStyle w:val="Hyperlink"/>
            <w:rFonts w:cs="Arial"/>
            <w:noProof/>
          </w:rPr>
          <w:t>Benefits - Independence and emotional wellbeing</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_Toc242179503 \h </w:instrText>
        </w:r>
        <w:r w:rsidRPr="0079264C">
          <w:rPr>
            <w:rFonts w:cs="Arial"/>
            <w:noProof/>
            <w:webHidden/>
          </w:rPr>
        </w:r>
        <w:r w:rsidRPr="0079264C">
          <w:rPr>
            <w:rFonts w:cs="Arial"/>
            <w:noProof/>
            <w:webHidden/>
          </w:rPr>
          <w:fldChar w:fldCharType="separate"/>
        </w:r>
        <w:r w:rsidR="006C4DB0" w:rsidRPr="0079264C">
          <w:rPr>
            <w:rFonts w:cs="Arial"/>
            <w:noProof/>
            <w:webHidden/>
          </w:rPr>
          <w:t>5</w:t>
        </w:r>
        <w:r w:rsidRPr="0079264C">
          <w:rPr>
            <w:rFonts w:cs="Arial"/>
            <w:noProof/>
            <w:webHidden/>
          </w:rPr>
          <w:fldChar w:fldCharType="end"/>
        </w:r>
      </w:hyperlink>
    </w:p>
    <w:p w14:paraId="324A4835"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504" w:history="1">
        <w:r w:rsidRPr="0079264C">
          <w:rPr>
            <w:rStyle w:val="Hyperlink"/>
            <w:rFonts w:cs="Arial"/>
            <w:noProof/>
          </w:rPr>
          <w:t>Patient choice, privacy and data protection</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_Toc242179504 \h </w:instrText>
        </w:r>
        <w:r w:rsidRPr="0079264C">
          <w:rPr>
            <w:rFonts w:cs="Arial"/>
            <w:noProof/>
            <w:webHidden/>
          </w:rPr>
        </w:r>
        <w:r w:rsidRPr="0079264C">
          <w:rPr>
            <w:rFonts w:cs="Arial"/>
            <w:noProof/>
            <w:webHidden/>
          </w:rPr>
          <w:fldChar w:fldCharType="separate"/>
        </w:r>
        <w:r w:rsidR="006C4DB0" w:rsidRPr="0079264C">
          <w:rPr>
            <w:rFonts w:cs="Arial"/>
            <w:noProof/>
            <w:webHidden/>
          </w:rPr>
          <w:t>6</w:t>
        </w:r>
        <w:r w:rsidRPr="0079264C">
          <w:rPr>
            <w:rFonts w:cs="Arial"/>
            <w:noProof/>
            <w:webHidden/>
          </w:rPr>
          <w:fldChar w:fldCharType="end"/>
        </w:r>
      </w:hyperlink>
    </w:p>
    <w:p w14:paraId="66C0E827" w14:textId="77777777" w:rsidR="00BB481C" w:rsidRPr="0079264C" w:rsidRDefault="00BB481C" w:rsidP="0079264C">
      <w:pPr>
        <w:pStyle w:val="TOC1"/>
        <w:tabs>
          <w:tab w:val="right" w:leader="dot" w:pos="9015"/>
        </w:tabs>
        <w:spacing w:before="120" w:after="120"/>
        <w:rPr>
          <w:rFonts w:eastAsiaTheme="minorEastAsia" w:cs="Arial"/>
          <w:noProof/>
          <w:lang w:val="en-US"/>
        </w:rPr>
      </w:pPr>
      <w:hyperlink w:anchor="_Toc242179505" w:history="1">
        <w:r w:rsidRPr="0079264C">
          <w:rPr>
            <w:rStyle w:val="Hyperlink"/>
            <w:rFonts w:cs="Arial"/>
            <w:noProof/>
          </w:rPr>
          <w:t>5. Community</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_Toc242179505 \h </w:instrText>
        </w:r>
        <w:r w:rsidRPr="0079264C">
          <w:rPr>
            <w:rFonts w:cs="Arial"/>
            <w:noProof/>
            <w:webHidden/>
          </w:rPr>
        </w:r>
        <w:r w:rsidRPr="0079264C">
          <w:rPr>
            <w:rFonts w:cs="Arial"/>
            <w:noProof/>
            <w:webHidden/>
          </w:rPr>
          <w:fldChar w:fldCharType="separate"/>
        </w:r>
        <w:r w:rsidR="006C4DB0" w:rsidRPr="0079264C">
          <w:rPr>
            <w:rFonts w:cs="Arial"/>
            <w:noProof/>
            <w:webHidden/>
          </w:rPr>
          <w:t>6</w:t>
        </w:r>
        <w:r w:rsidRPr="0079264C">
          <w:rPr>
            <w:rFonts w:cs="Arial"/>
            <w:noProof/>
            <w:webHidden/>
          </w:rPr>
          <w:fldChar w:fldCharType="end"/>
        </w:r>
      </w:hyperlink>
    </w:p>
    <w:p w14:paraId="11970446"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506" w:history="1">
        <w:r w:rsidRPr="0079264C">
          <w:rPr>
            <w:rStyle w:val="Hyperlink"/>
            <w:rFonts w:cs="Arial"/>
            <w:noProof/>
          </w:rPr>
          <w:t>Access for rural and underserved communities</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_Toc242179506 \h </w:instrText>
        </w:r>
        <w:r w:rsidRPr="0079264C">
          <w:rPr>
            <w:rFonts w:cs="Arial"/>
            <w:noProof/>
            <w:webHidden/>
          </w:rPr>
        </w:r>
        <w:r w:rsidRPr="0079264C">
          <w:rPr>
            <w:rFonts w:cs="Arial"/>
            <w:noProof/>
            <w:webHidden/>
          </w:rPr>
          <w:fldChar w:fldCharType="separate"/>
        </w:r>
        <w:r w:rsidR="006C4DB0" w:rsidRPr="0079264C">
          <w:rPr>
            <w:rFonts w:cs="Arial"/>
            <w:noProof/>
            <w:webHidden/>
          </w:rPr>
          <w:t>6</w:t>
        </w:r>
        <w:r w:rsidRPr="0079264C">
          <w:rPr>
            <w:rFonts w:cs="Arial"/>
            <w:noProof/>
            <w:webHidden/>
          </w:rPr>
          <w:fldChar w:fldCharType="end"/>
        </w:r>
      </w:hyperlink>
    </w:p>
    <w:p w14:paraId="698BBEAE" w14:textId="77777777" w:rsidR="00BB481C" w:rsidRPr="0079264C" w:rsidRDefault="00BB481C" w:rsidP="0079264C">
      <w:pPr>
        <w:pStyle w:val="TOC2"/>
        <w:tabs>
          <w:tab w:val="right" w:leader="dot" w:pos="9015"/>
        </w:tabs>
        <w:spacing w:before="120" w:after="120"/>
        <w:rPr>
          <w:rFonts w:eastAsiaTheme="minorEastAsia" w:cs="Arial"/>
          <w:noProof/>
          <w:lang w:val="en-US"/>
        </w:rPr>
      </w:pPr>
      <w:hyperlink w:anchor="_Toc242179507" w:history="1">
        <w:r w:rsidRPr="0079264C">
          <w:rPr>
            <w:rStyle w:val="Hyperlink"/>
            <w:rFonts w:cs="Arial"/>
            <w:noProof/>
          </w:rPr>
          <w:t>Inequalities in access</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_Toc242179507 \h </w:instrText>
        </w:r>
        <w:r w:rsidRPr="0079264C">
          <w:rPr>
            <w:rFonts w:cs="Arial"/>
            <w:noProof/>
            <w:webHidden/>
          </w:rPr>
        </w:r>
        <w:r w:rsidRPr="0079264C">
          <w:rPr>
            <w:rFonts w:cs="Arial"/>
            <w:noProof/>
            <w:webHidden/>
          </w:rPr>
          <w:fldChar w:fldCharType="separate"/>
        </w:r>
        <w:r w:rsidR="006C4DB0" w:rsidRPr="0079264C">
          <w:rPr>
            <w:rFonts w:cs="Arial"/>
            <w:noProof/>
            <w:webHidden/>
          </w:rPr>
          <w:t>6</w:t>
        </w:r>
        <w:r w:rsidRPr="0079264C">
          <w:rPr>
            <w:rFonts w:cs="Arial"/>
            <w:noProof/>
            <w:webHidden/>
          </w:rPr>
          <w:fldChar w:fldCharType="end"/>
        </w:r>
      </w:hyperlink>
    </w:p>
    <w:p w14:paraId="311EFD77" w14:textId="77777777" w:rsidR="00BB481C" w:rsidRPr="0079264C" w:rsidRDefault="00BB481C" w:rsidP="0079264C">
      <w:pPr>
        <w:pStyle w:val="TOC1"/>
        <w:tabs>
          <w:tab w:val="right" w:leader="dot" w:pos="9015"/>
        </w:tabs>
        <w:spacing w:before="120" w:after="120"/>
        <w:rPr>
          <w:rFonts w:eastAsiaTheme="minorEastAsia" w:cs="Arial"/>
          <w:noProof/>
          <w:lang w:val="en-US"/>
        </w:rPr>
      </w:pPr>
      <w:hyperlink w:anchor="_Toc242179508" w:history="1">
        <w:r w:rsidRPr="0079264C">
          <w:rPr>
            <w:rStyle w:val="Hyperlink"/>
            <w:rFonts w:cs="Arial"/>
            <w:noProof/>
          </w:rPr>
          <w:t>6. Conclusion and recommendations</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_Toc242179508 \h </w:instrText>
        </w:r>
        <w:r w:rsidRPr="0079264C">
          <w:rPr>
            <w:rFonts w:cs="Arial"/>
            <w:noProof/>
            <w:webHidden/>
          </w:rPr>
        </w:r>
        <w:r w:rsidRPr="0079264C">
          <w:rPr>
            <w:rFonts w:cs="Arial"/>
            <w:noProof/>
            <w:webHidden/>
          </w:rPr>
          <w:fldChar w:fldCharType="separate"/>
        </w:r>
        <w:r w:rsidR="006C4DB0" w:rsidRPr="0079264C">
          <w:rPr>
            <w:rFonts w:cs="Arial"/>
            <w:noProof/>
            <w:webHidden/>
          </w:rPr>
          <w:t>7</w:t>
        </w:r>
        <w:r w:rsidRPr="0079264C">
          <w:rPr>
            <w:rFonts w:cs="Arial"/>
            <w:noProof/>
            <w:webHidden/>
          </w:rPr>
          <w:fldChar w:fldCharType="end"/>
        </w:r>
      </w:hyperlink>
    </w:p>
    <w:p w14:paraId="0CEE996C" w14:textId="77777777" w:rsidR="00BB481C" w:rsidRPr="0079264C" w:rsidRDefault="00BB481C" w:rsidP="0079264C">
      <w:pPr>
        <w:pStyle w:val="TOC1"/>
        <w:tabs>
          <w:tab w:val="right" w:leader="dot" w:pos="9015"/>
        </w:tabs>
        <w:spacing w:before="120" w:after="120"/>
        <w:rPr>
          <w:rFonts w:eastAsiaTheme="minorEastAsia" w:cs="Arial"/>
          <w:noProof/>
          <w:lang w:val="en-US"/>
        </w:rPr>
      </w:pPr>
      <w:hyperlink w:anchor="_Toc242179509" w:history="1">
        <w:r w:rsidRPr="0079264C">
          <w:rPr>
            <w:rStyle w:val="Hyperlink"/>
            <w:rFonts w:cs="Arial"/>
            <w:noProof/>
          </w:rPr>
          <w:t>References</w:t>
        </w:r>
        <w:r w:rsidRPr="0079264C">
          <w:rPr>
            <w:rFonts w:cs="Arial"/>
            <w:noProof/>
            <w:webHidden/>
          </w:rPr>
          <w:tab/>
        </w:r>
        <w:r w:rsidRPr="0079264C">
          <w:rPr>
            <w:rFonts w:cs="Arial"/>
            <w:noProof/>
            <w:webHidden/>
          </w:rPr>
          <w:fldChar w:fldCharType="begin"/>
        </w:r>
        <w:r w:rsidRPr="0079264C">
          <w:rPr>
            <w:rFonts w:cs="Arial"/>
            <w:noProof/>
            <w:webHidden/>
          </w:rPr>
          <w:instrText xml:space="preserve"> PAGEREF _Toc242179509 \h </w:instrText>
        </w:r>
        <w:r w:rsidRPr="0079264C">
          <w:rPr>
            <w:rFonts w:cs="Arial"/>
            <w:noProof/>
            <w:webHidden/>
          </w:rPr>
        </w:r>
        <w:r w:rsidRPr="0079264C">
          <w:rPr>
            <w:rFonts w:cs="Arial"/>
            <w:noProof/>
            <w:webHidden/>
          </w:rPr>
          <w:fldChar w:fldCharType="separate"/>
        </w:r>
        <w:r w:rsidR="006C4DB0" w:rsidRPr="0079264C">
          <w:rPr>
            <w:rFonts w:cs="Arial"/>
            <w:noProof/>
            <w:webHidden/>
          </w:rPr>
          <w:t>9</w:t>
        </w:r>
        <w:r w:rsidRPr="0079264C">
          <w:rPr>
            <w:rFonts w:cs="Arial"/>
            <w:noProof/>
            <w:webHidden/>
          </w:rPr>
          <w:fldChar w:fldCharType="end"/>
        </w:r>
      </w:hyperlink>
    </w:p>
    <w:p w14:paraId="388079E2" w14:textId="77777777" w:rsidR="00BC2E26" w:rsidRPr="0079264C" w:rsidRDefault="00BC2E26" w:rsidP="0079264C">
      <w:pPr>
        <w:keepNext/>
        <w:spacing w:before="120"/>
        <w:jc w:val="center"/>
        <w:rPr>
          <w:rFonts w:cs="Arial"/>
        </w:rPr>
      </w:pPr>
      <w:r w:rsidRPr="0079264C">
        <w:rPr>
          <w:rFonts w:cs="Arial"/>
        </w:rPr>
        <w:fldChar w:fldCharType="end"/>
      </w:r>
    </w:p>
    <w:p w14:paraId="33D0AF0A" w14:textId="77777777" w:rsidR="00F35A60" w:rsidRPr="0079264C" w:rsidRDefault="00F35A60" w:rsidP="0079264C">
      <w:pPr>
        <w:keepNext/>
        <w:spacing w:before="120"/>
        <w:jc w:val="center"/>
        <w:rPr>
          <w:rFonts w:cs="Arial"/>
        </w:rPr>
      </w:pPr>
    </w:p>
    <w:p w14:paraId="67D7E799" w14:textId="77777777" w:rsidR="0080082A" w:rsidRPr="0079264C" w:rsidRDefault="0080082A" w:rsidP="0079264C">
      <w:pPr>
        <w:keepNext/>
        <w:spacing w:before="120"/>
        <w:jc w:val="center"/>
        <w:rPr>
          <w:rFonts w:cs="Arial"/>
        </w:rPr>
      </w:pPr>
    </w:p>
    <w:p w14:paraId="60DCD809" w14:textId="77777777" w:rsidR="00EA0CB4" w:rsidRPr="0079264C" w:rsidRDefault="00EA0CB4" w:rsidP="0079264C">
      <w:pPr>
        <w:spacing w:before="120"/>
        <w:jc w:val="left"/>
        <w:rPr>
          <w:rFonts w:cs="Arial"/>
        </w:rPr>
      </w:pPr>
      <w:r w:rsidRPr="0079264C">
        <w:rPr>
          <w:rFonts w:cs="Arial"/>
        </w:rPr>
        <w:br w:type="page"/>
      </w:r>
    </w:p>
    <w:p w14:paraId="1358A9FD" w14:textId="77777777" w:rsidR="00DB18BB" w:rsidRPr="0079264C" w:rsidRDefault="00B3448C" w:rsidP="0079264C">
      <w:pPr>
        <w:pStyle w:val="Heading1"/>
        <w:spacing w:before="120"/>
        <w:rPr>
          <w:rFonts w:ascii="Arial" w:hAnsi="Arial" w:cs="Arial"/>
        </w:rPr>
      </w:pPr>
      <w:bookmarkStart w:id="0" w:name="_Toc242179492"/>
      <w:r w:rsidRPr="0079264C">
        <w:rPr>
          <w:rFonts w:ascii="Arial" w:hAnsi="Arial" w:cs="Arial"/>
        </w:rPr>
        <w:lastRenderedPageBreak/>
        <w:t>1. Introduction</w:t>
      </w:r>
      <w:bookmarkEnd w:id="0"/>
    </w:p>
    <w:p w14:paraId="4B7E04C9" w14:textId="77777777" w:rsidR="00DB18BB" w:rsidRPr="0079264C" w:rsidRDefault="00B3448C" w:rsidP="0079264C">
      <w:pPr>
        <w:spacing w:before="120"/>
        <w:rPr>
          <w:rFonts w:cs="Arial"/>
        </w:rPr>
      </w:pPr>
      <w:r w:rsidRPr="0079264C">
        <w:rPr>
          <w:rFonts w:cs="Arial"/>
        </w:rPr>
        <w:t xml:space="preserve">This report evaluates </w:t>
      </w:r>
      <w:proofErr w:type="spellStart"/>
      <w:r w:rsidRPr="0079264C">
        <w:rPr>
          <w:rFonts w:cs="Arial"/>
        </w:rPr>
        <w:t>FreeStyle</w:t>
      </w:r>
      <w:proofErr w:type="spellEnd"/>
      <w:r w:rsidRPr="0079264C">
        <w:rPr>
          <w:rFonts w:cs="Arial"/>
        </w:rPr>
        <w:t xml:space="preserve"> Libre 2, used with </w:t>
      </w:r>
      <w:proofErr w:type="spellStart"/>
      <w:r w:rsidRPr="0079264C">
        <w:rPr>
          <w:rFonts w:cs="Arial"/>
        </w:rPr>
        <w:t>LibreView</w:t>
      </w:r>
      <w:proofErr w:type="spellEnd"/>
      <w:r w:rsidRPr="0079264C">
        <w:rPr>
          <w:rFonts w:cs="Arial"/>
        </w:rPr>
        <w:t xml:space="preserve"> for remote patient monitoring in UK diabetes care. NHS England (</w:t>
      </w:r>
      <w:r w:rsidR="00BB4570" w:rsidRPr="0079264C">
        <w:rPr>
          <w:rFonts w:cs="Arial"/>
        </w:rPr>
        <w:t>2026</w:t>
      </w:r>
      <w:r w:rsidRPr="0079264C">
        <w:rPr>
          <w:rFonts w:cs="Arial"/>
        </w:rPr>
        <w:t>) confirms that Libre 2 became available for prescribing from 1 November 2020. Its UK introduction therefore falls within the last ten years. The system combines a wearable glucose sensor, optional alerts and online data sharing.</w:t>
      </w:r>
    </w:p>
    <w:p w14:paraId="3C8A5D80" w14:textId="77777777" w:rsidR="00DB18BB" w:rsidRPr="0079264C" w:rsidRDefault="00B3448C" w:rsidP="0079264C">
      <w:pPr>
        <w:spacing w:before="120"/>
        <w:rPr>
          <w:rFonts w:cs="Arial"/>
        </w:rPr>
      </w:pPr>
      <w:r w:rsidRPr="0079264C">
        <w:rPr>
          <w:rFonts w:cs="Arial"/>
        </w:rPr>
        <w:t>Abbott (</w:t>
      </w:r>
      <w:r w:rsidR="00BB4570" w:rsidRPr="0079264C">
        <w:rPr>
          <w:rFonts w:cs="Arial"/>
        </w:rPr>
        <w:t>2026</w:t>
      </w:r>
      <w:r w:rsidRPr="0079264C">
        <w:rPr>
          <w:rFonts w:cs="Arial"/>
        </w:rPr>
        <w:t xml:space="preserve">) explains that glucose readings can be uploaded to </w:t>
      </w:r>
      <w:proofErr w:type="spellStart"/>
      <w:r w:rsidRPr="0079264C">
        <w:rPr>
          <w:rFonts w:cs="Arial"/>
        </w:rPr>
        <w:t>LibreView</w:t>
      </w:r>
      <w:proofErr w:type="spellEnd"/>
      <w:r w:rsidRPr="0079264C">
        <w:rPr>
          <w:rFonts w:cs="Arial"/>
        </w:rPr>
        <w:t>, where healthcare professionals can review patterns and discuss treatment remotely. This creates opportunities to support people between appointments and make care more convenient. However, sharing readings does not itself provide a continuously staffed emergency service.</w:t>
      </w:r>
    </w:p>
    <w:p w14:paraId="2331C01C" w14:textId="77777777" w:rsidR="00DB18BB" w:rsidRPr="0079264C" w:rsidRDefault="00B3448C" w:rsidP="0079264C">
      <w:pPr>
        <w:spacing w:before="120"/>
        <w:rPr>
          <w:rFonts w:cs="Arial"/>
        </w:rPr>
      </w:pPr>
      <w:r w:rsidRPr="0079264C">
        <w:rPr>
          <w:rFonts w:cs="Arial"/>
        </w:rPr>
        <w:t>The report critically examines effects on the workforce, service delivery, patients and communities. It considers clinical evidence alongside costs, privacy and unequal access. Relevant guidance includes A Plan for Digital Health and Social Care, What Good Looks Like and UK GDPR. England-specific policies are identified alongside wider UK research.</w:t>
      </w:r>
    </w:p>
    <w:p w14:paraId="46A3A606" w14:textId="77777777" w:rsidR="00DB18BB" w:rsidRPr="0079264C" w:rsidRDefault="00B3448C" w:rsidP="0079264C">
      <w:pPr>
        <w:pStyle w:val="Heading1"/>
        <w:spacing w:before="120"/>
        <w:rPr>
          <w:rFonts w:ascii="Arial" w:hAnsi="Arial" w:cs="Arial"/>
        </w:rPr>
      </w:pPr>
      <w:bookmarkStart w:id="1" w:name="_Toc242179493"/>
      <w:r w:rsidRPr="0079264C">
        <w:rPr>
          <w:rFonts w:ascii="Arial" w:hAnsi="Arial" w:cs="Arial"/>
        </w:rPr>
        <w:t>2. Workforce</w:t>
      </w:r>
      <w:bookmarkEnd w:id="1"/>
    </w:p>
    <w:p w14:paraId="0F250255" w14:textId="77777777" w:rsidR="00164FFA" w:rsidRPr="0079264C" w:rsidRDefault="00C10A35" w:rsidP="00256935">
      <w:pPr>
        <w:pStyle w:val="Heading2"/>
      </w:pPr>
      <w:bookmarkStart w:id="2" w:name="_Toc242179494"/>
      <w:r w:rsidRPr="0079264C">
        <w:t>How roles have changed (new skills, training needs, job adjustments)</w:t>
      </w:r>
      <w:r w:rsidR="00D36439" w:rsidRPr="0079264C">
        <w:t>?</w:t>
      </w:r>
      <w:bookmarkEnd w:id="2"/>
    </w:p>
    <w:p w14:paraId="19D73BAA" w14:textId="77777777" w:rsidR="001837D1" w:rsidRPr="0079264C" w:rsidRDefault="00047069" w:rsidP="0079264C">
      <w:pPr>
        <w:spacing w:before="120"/>
        <w:rPr>
          <w:rFonts w:cs="Arial"/>
        </w:rPr>
      </w:pPr>
      <w:r w:rsidRPr="0079264C">
        <w:rPr>
          <w:rStyle w:val="Strong"/>
          <w:rFonts w:cs="Arial"/>
          <w:b w:val="0"/>
        </w:rPr>
        <w:t>The main workforce benefit is the potential to provide more informed and flexible care through easier access to glucose information</w:t>
      </w:r>
      <w:r w:rsidR="00164FFA" w:rsidRPr="0079264C">
        <w:rPr>
          <w:rFonts w:cs="Arial"/>
        </w:rPr>
        <w:t>.</w:t>
      </w:r>
      <w:r w:rsidR="001837D1" w:rsidRPr="0079264C">
        <w:rPr>
          <w:rFonts w:cs="Arial"/>
        </w:rPr>
        <w:t xml:space="preserve"> Libre 2 is a shift in professional work: glucose patterns available outside the clinic. Nurses and doctors must have skills in reading glucose reports, identifying recurring issues and communicating results clearly. Care also involves performing technical tasks, such as account setup and checking uploads. Support for staff and digital skills are key to the What Good Looks Like framework identified by NHSX (2021). Training should include clinical interpretation and practical troubleshooting, when applied to this innovation. While additional information may help to provide more targeted guidance, readings should be related to the person's activities of daily living and not used as a full description. Protected training time, and available support for IT systems, must therefore be an integral part of workforce planning.</w:t>
      </w:r>
    </w:p>
    <w:p w14:paraId="7118B8DA" w14:textId="77777777" w:rsidR="001837D1" w:rsidRPr="0079264C" w:rsidRDefault="001837D1" w:rsidP="00256935">
      <w:pPr>
        <w:pStyle w:val="Heading2"/>
      </w:pPr>
      <w:bookmarkStart w:id="3" w:name="_Toc242179495"/>
      <w:r w:rsidRPr="0079264C">
        <w:t>Benefits</w:t>
      </w:r>
      <w:bookmarkEnd w:id="3"/>
    </w:p>
    <w:p w14:paraId="5C788A11" w14:textId="77777777" w:rsidR="001837D1" w:rsidRPr="0079264C" w:rsidRDefault="00A47F07" w:rsidP="0079264C">
      <w:pPr>
        <w:spacing w:before="120"/>
        <w:rPr>
          <w:rFonts w:cs="Arial"/>
        </w:rPr>
      </w:pPr>
      <w:r w:rsidRPr="0079264C">
        <w:rPr>
          <w:rFonts w:cs="Arial"/>
        </w:rPr>
        <w:t>The main workforce benefit is the potential to provide more informed and flexible care through easier access to glucose information</w:t>
      </w:r>
      <w:r w:rsidR="001837D1" w:rsidRPr="0079264C">
        <w:rPr>
          <w:rFonts w:cs="Arial"/>
        </w:rPr>
        <w:t xml:space="preserve">. Forde et al. (2022) conducted a survey of 143 health care professionals (HCP) from around 75 centres in the UK on remote diabetes care. The lack of familiarity with technology was a barrier for 72% of patients, and access to device data for 67 % of patients. This is an interesting finding because remote monitoring is not necessarily a time saver for professionals. Support and preparation can replace work by assisting patients to upload information. The survey was, however, in the context of the pandemic and </w:t>
      </w:r>
      <w:r w:rsidR="001837D1" w:rsidRPr="0079264C">
        <w:rPr>
          <w:rFonts w:cs="Arial"/>
        </w:rPr>
        <w:lastRenderedPageBreak/>
        <w:t xml:space="preserve">professional opinion, and it was not possible to determine that at this time, the workload or the experiences of patients. When assessing efficiency, services should </w:t>
      </w:r>
      <w:r w:rsidR="006D2C05" w:rsidRPr="0079264C">
        <w:rPr>
          <w:rFonts w:cs="Arial"/>
        </w:rPr>
        <w:t>consider</w:t>
      </w:r>
      <w:r w:rsidR="001837D1" w:rsidRPr="0079264C">
        <w:rPr>
          <w:rFonts w:cs="Arial"/>
        </w:rPr>
        <w:t xml:space="preserve"> the total staff time, including time spent before and after consultation.</w:t>
      </w:r>
    </w:p>
    <w:p w14:paraId="17558638" w14:textId="77777777" w:rsidR="001837D1" w:rsidRPr="0079264C" w:rsidRDefault="001837D1" w:rsidP="00256935">
      <w:pPr>
        <w:pStyle w:val="Heading2"/>
      </w:pPr>
      <w:bookmarkStart w:id="4" w:name="_Toc242179496"/>
      <w:r w:rsidRPr="0079264C">
        <w:t>Challenges</w:t>
      </w:r>
      <w:bookmarkEnd w:id="4"/>
    </w:p>
    <w:p w14:paraId="470AD63B" w14:textId="77777777" w:rsidR="00F84AB8" w:rsidRPr="0079264C" w:rsidRDefault="001837D1" w:rsidP="0079264C">
      <w:pPr>
        <w:spacing w:before="120"/>
        <w:rPr>
          <w:rFonts w:cs="Arial"/>
        </w:rPr>
      </w:pPr>
      <w:r w:rsidRPr="0079264C">
        <w:rPr>
          <w:rFonts w:cs="Arial"/>
        </w:rPr>
        <w:t xml:space="preserve">Challenges to the workforce include additional support needs, ambiguous roles and professional decisions that could impact access to fairness. </w:t>
      </w:r>
      <w:proofErr w:type="spellStart"/>
      <w:r w:rsidRPr="0079264C">
        <w:rPr>
          <w:rFonts w:cs="Arial"/>
        </w:rPr>
        <w:t>Dlugatch</w:t>
      </w:r>
      <w:proofErr w:type="spellEnd"/>
      <w:r w:rsidRPr="0079264C">
        <w:rPr>
          <w:rFonts w:cs="Arial"/>
        </w:rPr>
        <w:t xml:space="preserve"> et al. (2025) determined social factors and practice choices might affect young people's access to diabetes technologies. This indicates that workforce development needs to </w:t>
      </w:r>
      <w:r w:rsidR="006D2C05" w:rsidRPr="0079264C">
        <w:rPr>
          <w:rFonts w:cs="Arial"/>
        </w:rPr>
        <w:t>consider</w:t>
      </w:r>
      <w:r w:rsidRPr="0079264C">
        <w:rPr>
          <w:rFonts w:cs="Arial"/>
        </w:rPr>
        <w:t xml:space="preserve"> fair assessment and communication as well. Assuming a family is not likely to be able to handle technology can mean denying them the help they need. Staff should consider support needs and </w:t>
      </w:r>
      <w:r w:rsidR="006D2C05" w:rsidRPr="0079264C">
        <w:rPr>
          <w:rFonts w:cs="Arial"/>
        </w:rPr>
        <w:t>aid</w:t>
      </w:r>
      <w:r w:rsidRPr="0079264C">
        <w:rPr>
          <w:rFonts w:cs="Arial"/>
        </w:rPr>
        <w:t xml:space="preserve"> before assuming that remote monitoring is not appropriate. The need for clear responsibilities in reviewing shared data is also essential. It is important for teams to work with more information, and planned review periods and escalation provisions can facilitate this. In the absence of these setups, additional information can raise workload and not provide patients with any guarantee about who will act.</w:t>
      </w:r>
    </w:p>
    <w:p w14:paraId="05C95EA4" w14:textId="77777777" w:rsidR="00DB18BB" w:rsidRPr="0079264C" w:rsidRDefault="00B3448C" w:rsidP="0079264C">
      <w:pPr>
        <w:pStyle w:val="Heading1"/>
        <w:spacing w:before="120"/>
        <w:rPr>
          <w:rFonts w:ascii="Arial" w:hAnsi="Arial" w:cs="Arial"/>
        </w:rPr>
      </w:pPr>
      <w:bookmarkStart w:id="5" w:name="_Toc242179497"/>
      <w:r w:rsidRPr="0079264C">
        <w:rPr>
          <w:rFonts w:ascii="Arial" w:hAnsi="Arial" w:cs="Arial"/>
        </w:rPr>
        <w:t>3. Service delivery</w:t>
      </w:r>
      <w:bookmarkEnd w:id="5"/>
    </w:p>
    <w:p w14:paraId="19407ED1" w14:textId="77777777" w:rsidR="00DD4332" w:rsidRPr="0079264C" w:rsidRDefault="00DD4332" w:rsidP="00256935">
      <w:pPr>
        <w:pStyle w:val="Heading2"/>
      </w:pPr>
      <w:bookmarkStart w:id="6" w:name="_Toc242179498"/>
      <w:r w:rsidRPr="0079264C">
        <w:t>How daily practice has been affected?</w:t>
      </w:r>
      <w:bookmarkEnd w:id="6"/>
    </w:p>
    <w:p w14:paraId="5A4DC51B" w14:textId="77777777" w:rsidR="00F84AB8" w:rsidRPr="0079264C" w:rsidRDefault="00B3448C" w:rsidP="0079264C">
      <w:pPr>
        <w:spacing w:before="120"/>
        <w:rPr>
          <w:rFonts w:cs="Arial"/>
        </w:rPr>
      </w:pPr>
      <w:r w:rsidRPr="0079264C">
        <w:rPr>
          <w:rFonts w:cs="Arial"/>
        </w:rPr>
        <w:t xml:space="preserve">Remote monitoring allows glucose information to inform consultations without requiring every patient to travel. </w:t>
      </w:r>
      <w:r w:rsidR="00F84AB8" w:rsidRPr="0079264C">
        <w:rPr>
          <w:rFonts w:cs="Arial"/>
        </w:rPr>
        <w:t>There was a study by Kingsnorth et al. (2023) that included 935 individuals in a Leicester service, predominantly type 1. Over 80% utilized Libre 2. No significant difference was found between the adjusted glucose outcomes for those who received online and face-to-face initiation. This can help provide remote learning as a part of regular care. The audit was however not a random audit and excluded individuals with less than 70% sensor data from the glucose analyses. As a result, its results are not that reassuring for those who have trouble with the system. If it is doing the same thing for some users, it is not necessarily equally suitable for other users. These Exclusions could be masking the needs of those with the highest barriers.</w:t>
      </w:r>
    </w:p>
    <w:p w14:paraId="748F8AF3" w14:textId="77777777" w:rsidR="00F84AB8" w:rsidRPr="0079264C" w:rsidRDefault="00F84AB8" w:rsidP="00256935">
      <w:pPr>
        <w:pStyle w:val="Heading2"/>
      </w:pPr>
      <w:bookmarkStart w:id="7" w:name="_Toc242179499"/>
      <w:r w:rsidRPr="0079264C">
        <w:t>Benefits and cost-effectiveness</w:t>
      </w:r>
      <w:bookmarkEnd w:id="7"/>
    </w:p>
    <w:p w14:paraId="41D28CEE" w14:textId="77777777" w:rsidR="00F84AB8" w:rsidRPr="0079264C" w:rsidRDefault="009F0E62" w:rsidP="0079264C">
      <w:pPr>
        <w:spacing w:before="120"/>
        <w:rPr>
          <w:rFonts w:cs="Arial"/>
        </w:rPr>
      </w:pPr>
      <w:r w:rsidRPr="0079264C">
        <w:rPr>
          <w:rFonts w:cs="Arial"/>
        </w:rPr>
        <w:t>Libre 2 may provide good value for diabetes services over time, although introducing the system increases short-term costs</w:t>
      </w:r>
      <w:r w:rsidR="00F84AB8" w:rsidRPr="0079264C">
        <w:rPr>
          <w:rFonts w:cs="Arial"/>
        </w:rPr>
        <w:t xml:space="preserve">. Elliott et al. (2024) have estimated the economic value of Libre 2 based on FLASH-UK data. The short-term costs were added £548 per participant and the lifetime modelling costs added £4,477 per quality-adjusted life year. These results are conducive to investment, although cost-effective is not the same as saving immediately. The model assumed that clinical benefits are persistent, and sensitivity analyses indicated that a minimum duration of seven years was required for any clinical benefit to be sustained. Local </w:t>
      </w:r>
      <w:r w:rsidR="00F84AB8" w:rsidRPr="0079264C">
        <w:rPr>
          <w:rFonts w:cs="Arial"/>
        </w:rPr>
        <w:lastRenderedPageBreak/>
        <w:t xml:space="preserve">services are still required to pay for sensors, training, technical support. Analysis measured the effect of the glucose monitoring versus finger-prick </w:t>
      </w:r>
      <w:proofErr w:type="gramStart"/>
      <w:r w:rsidR="00F84AB8" w:rsidRPr="0079264C">
        <w:rPr>
          <w:rFonts w:cs="Arial"/>
        </w:rPr>
        <w:t>testing, but</w:t>
      </w:r>
      <w:proofErr w:type="gramEnd"/>
      <w:r w:rsidR="00F84AB8" w:rsidRPr="0079264C">
        <w:rPr>
          <w:rFonts w:cs="Arial"/>
        </w:rPr>
        <w:t xml:space="preserve"> </w:t>
      </w:r>
      <w:proofErr w:type="gramStart"/>
      <w:r w:rsidR="00F84AB8" w:rsidRPr="0079264C">
        <w:rPr>
          <w:rFonts w:cs="Arial"/>
        </w:rPr>
        <w:t>was not able to</w:t>
      </w:r>
      <w:proofErr w:type="gramEnd"/>
      <w:r w:rsidR="00F84AB8" w:rsidRPr="0079264C">
        <w:rPr>
          <w:rFonts w:cs="Arial"/>
        </w:rPr>
        <w:t xml:space="preserve"> separately determine the financial benefit from remote professional review.</w:t>
      </w:r>
    </w:p>
    <w:p w14:paraId="45755BA8" w14:textId="77777777" w:rsidR="00A81FB6" w:rsidRPr="0079264C" w:rsidRDefault="00A81FB6" w:rsidP="00256935">
      <w:pPr>
        <w:pStyle w:val="Heading2"/>
      </w:pPr>
      <w:bookmarkStart w:id="8" w:name="_Toc242179500"/>
      <w:r w:rsidRPr="0079264C">
        <w:t>Challenges and Services Reliability</w:t>
      </w:r>
      <w:bookmarkEnd w:id="8"/>
    </w:p>
    <w:p w14:paraId="424A03AA" w14:textId="13BB6EE4" w:rsidR="00DB18BB" w:rsidRPr="0079264C" w:rsidRDefault="00A81FB6" w:rsidP="0079264C">
      <w:pPr>
        <w:spacing w:before="120"/>
        <w:rPr>
          <w:rFonts w:eastAsia="Times New Roman" w:cs="Arial"/>
          <w:sz w:val="24"/>
          <w:szCs w:val="24"/>
          <w:lang w:val="en-US"/>
        </w:rPr>
      </w:pPr>
      <w:r w:rsidRPr="0079264C">
        <w:rPr>
          <w:rFonts w:cs="Arial"/>
        </w:rPr>
        <w:t>The main service delivery challenges include technical problems, communication difficulties and the need to maintain reliable backup arrangements</w:t>
      </w:r>
      <w:r w:rsidR="00F84AB8" w:rsidRPr="0079264C">
        <w:rPr>
          <w:rFonts w:cs="Arial"/>
        </w:rPr>
        <w:t xml:space="preserve">. A Plan for Digital Health and Social Care (DHSC, 2022) is supporting connected services and care closer to home. </w:t>
      </w:r>
      <w:r w:rsidR="00555300" w:rsidRPr="0079264C">
        <w:rPr>
          <w:rFonts w:cs="Arial"/>
        </w:rPr>
        <w:t>Libre View</w:t>
      </w:r>
      <w:r w:rsidR="00F84AB8" w:rsidRPr="0079264C">
        <w:rPr>
          <w:rFonts w:cs="Arial"/>
        </w:rPr>
        <w:t xml:space="preserve"> is an excellent fit in this </w:t>
      </w:r>
      <w:r w:rsidR="00555300" w:rsidRPr="0079264C">
        <w:rPr>
          <w:rFonts w:cs="Arial"/>
        </w:rPr>
        <w:t>direction;</w:t>
      </w:r>
      <w:r w:rsidR="00F84AB8" w:rsidRPr="0079264C">
        <w:rPr>
          <w:rFonts w:cs="Arial"/>
        </w:rPr>
        <w:t xml:space="preserve"> however other platforms may need to be documented and require additional logins. Technical and communication challenges to remote diabetes consultations are identified by Forde et al. (2023). Additionally, according to Medicines and Healthcare products Regulatory Agency (2023), </w:t>
      </w:r>
      <w:r w:rsidR="00555300" w:rsidRPr="0079264C">
        <w:rPr>
          <w:rFonts w:cs="Arial"/>
        </w:rPr>
        <w:t>Libre Link</w:t>
      </w:r>
      <w:r w:rsidR="00F84AB8" w:rsidRPr="0079264C">
        <w:rPr>
          <w:rFonts w:cs="Arial"/>
        </w:rPr>
        <w:t xml:space="preserve"> safety notices were also published, highlighting the need for backup arrangements. Services should be able to continue to access blood glucose testing and technical assistance if the technology fails. No routine checking or examinations should be the only way a person is seen remotely</w:t>
      </w:r>
      <w:r w:rsidR="00B3448C" w:rsidRPr="0079264C">
        <w:rPr>
          <w:rFonts w:cs="Arial"/>
        </w:rPr>
        <w:t>.</w:t>
      </w:r>
    </w:p>
    <w:p w14:paraId="2C7B5D1C" w14:textId="77777777" w:rsidR="00DB18BB" w:rsidRPr="0079264C" w:rsidRDefault="00B3448C" w:rsidP="0079264C">
      <w:pPr>
        <w:pStyle w:val="Heading1"/>
        <w:spacing w:before="120"/>
        <w:rPr>
          <w:rFonts w:ascii="Arial" w:hAnsi="Arial" w:cs="Arial"/>
        </w:rPr>
      </w:pPr>
      <w:bookmarkStart w:id="9" w:name="_Toc242179501"/>
      <w:r w:rsidRPr="0079264C">
        <w:rPr>
          <w:rFonts w:ascii="Arial" w:hAnsi="Arial" w:cs="Arial"/>
        </w:rPr>
        <w:t>4. Patient and service user</w:t>
      </w:r>
      <w:bookmarkEnd w:id="9"/>
    </w:p>
    <w:p w14:paraId="13AFD889" w14:textId="77777777" w:rsidR="00943CFD" w:rsidRPr="0079264C" w:rsidRDefault="00943CFD" w:rsidP="00256935">
      <w:pPr>
        <w:pStyle w:val="Heading2"/>
      </w:pPr>
      <w:bookmarkStart w:id="10" w:name="_Toc242179502"/>
      <w:r w:rsidRPr="0079264C">
        <w:t xml:space="preserve">How </w:t>
      </w:r>
      <w:proofErr w:type="gramStart"/>
      <w:r w:rsidRPr="0079264C">
        <w:t>patient/service user experiences have</w:t>
      </w:r>
      <w:proofErr w:type="gramEnd"/>
      <w:r w:rsidRPr="0079264C">
        <w:t xml:space="preserve"> changed?</w:t>
      </w:r>
      <w:bookmarkEnd w:id="10"/>
    </w:p>
    <w:p w14:paraId="5C12BFAF" w14:textId="77777777" w:rsidR="00CB03FF" w:rsidRPr="0079264C" w:rsidRDefault="009E30D5" w:rsidP="0079264C">
      <w:pPr>
        <w:spacing w:before="120"/>
        <w:rPr>
          <w:rFonts w:cs="Arial"/>
        </w:rPr>
      </w:pPr>
      <w:r w:rsidRPr="009E30D5">
        <w:rPr>
          <w:rFonts w:eastAsia="Times New Roman" w:cs="Arial"/>
          <w:lang w:val="en-US"/>
        </w:rPr>
        <w:t>Libre 2 can improve glucose control and increase the time patients spend within their target glucose range</w:t>
      </w:r>
      <w:r w:rsidRPr="0079264C">
        <w:rPr>
          <w:rFonts w:eastAsia="Times New Roman" w:cs="Arial"/>
          <w:lang w:val="en-US"/>
        </w:rPr>
        <w:t xml:space="preserve">. </w:t>
      </w:r>
      <w:r w:rsidR="00CB03FF" w:rsidRPr="0079264C">
        <w:rPr>
          <w:rFonts w:cs="Arial"/>
        </w:rPr>
        <w:t xml:space="preserve">The FLASH-UK randomised trial published by </w:t>
      </w:r>
      <w:proofErr w:type="spellStart"/>
      <w:r w:rsidR="00CB03FF" w:rsidRPr="0079264C">
        <w:rPr>
          <w:rFonts w:cs="Arial"/>
        </w:rPr>
        <w:t>Leelarathna</w:t>
      </w:r>
      <w:proofErr w:type="spellEnd"/>
      <w:r w:rsidR="00CB03FF" w:rsidRPr="0079264C">
        <w:rPr>
          <w:rFonts w:cs="Arial"/>
        </w:rPr>
        <w:t xml:space="preserve"> et al. (2022) offers solid clinical evidence in 156 adults with raised HbA1c values. Libre 2 users also showed an adjusted HbA1c improvement of 0.5 percentage points after 24 weeks, compared to finger-prick testing. They also spent about 130 extra minutes a day in their target glucose range. These results are strengthened with random allocation. But this trial evaluated the monitoring system and not just remote clinician review. Due to its brief </w:t>
      </w:r>
      <w:proofErr w:type="gramStart"/>
      <w:r w:rsidR="00CB03FF" w:rsidRPr="0079264C">
        <w:rPr>
          <w:rFonts w:cs="Arial"/>
        </w:rPr>
        <w:t>period of time</w:t>
      </w:r>
      <w:proofErr w:type="gramEnd"/>
      <w:r w:rsidR="00CB03FF" w:rsidRPr="0079264C">
        <w:rPr>
          <w:rFonts w:cs="Arial"/>
        </w:rPr>
        <w:t xml:space="preserve"> and specific population, conclusions regarding the </w:t>
      </w:r>
      <w:r w:rsidR="006D7C09" w:rsidRPr="0079264C">
        <w:rPr>
          <w:rFonts w:cs="Arial"/>
        </w:rPr>
        <w:t>lifelong</w:t>
      </w:r>
      <w:r w:rsidR="00CB03FF" w:rsidRPr="0079264C">
        <w:rPr>
          <w:rFonts w:cs="Arial"/>
        </w:rPr>
        <w:t xml:space="preserve"> benefits or individuals who are already at the target level of glucose cannot be drawn.</w:t>
      </w:r>
    </w:p>
    <w:p w14:paraId="56507417" w14:textId="77777777" w:rsidR="00CB03FF" w:rsidRPr="0079264C" w:rsidRDefault="00CB03FF" w:rsidP="00256935">
      <w:pPr>
        <w:pStyle w:val="Heading2"/>
      </w:pPr>
      <w:bookmarkStart w:id="11" w:name="_Toc242179503"/>
      <w:r w:rsidRPr="0079264C">
        <w:t>Benefits - Independence and emotional wellbeing</w:t>
      </w:r>
      <w:bookmarkEnd w:id="11"/>
    </w:p>
    <w:p w14:paraId="67827630" w14:textId="77777777" w:rsidR="00CB03FF" w:rsidRPr="0079264C" w:rsidRDefault="006D7C09" w:rsidP="0079264C">
      <w:pPr>
        <w:spacing w:before="120"/>
        <w:rPr>
          <w:rFonts w:cs="Arial"/>
        </w:rPr>
      </w:pPr>
      <w:r w:rsidRPr="0079264C">
        <w:rPr>
          <w:rFonts w:cs="Arial"/>
        </w:rPr>
        <w:t>Libre 2 can support greater independence in daily life, although visible sensors and frequent alerts may also cause stress</w:t>
      </w:r>
      <w:r w:rsidR="00CB03FF" w:rsidRPr="0079264C">
        <w:rPr>
          <w:rFonts w:cs="Arial"/>
        </w:rPr>
        <w:t xml:space="preserve">. The authors of Stimson et al. (2023) tracked 672 adults with type 1 diabetes who switched to Libre 2 in Scotland. Having low-glucose measures was better and these measures were more beneficial for people who used them. This helps to reinforce the importance of alarms in daily life. However, an observational study cannot completely distinguish the effects of the device from education or other changes in care. Beasant et al. (2023) also revealed an increased independence of young users but issues of noticeable sensors and distressing alerts. Their small, predominantly white sample precludes broader conclusions. Convenience, therefore, must be </w:t>
      </w:r>
      <w:r w:rsidR="00EF07E3" w:rsidRPr="0079264C">
        <w:rPr>
          <w:rFonts w:cs="Arial"/>
        </w:rPr>
        <w:t>considered</w:t>
      </w:r>
      <w:r w:rsidR="00CB03FF" w:rsidRPr="0079264C">
        <w:rPr>
          <w:rFonts w:cs="Arial"/>
        </w:rPr>
        <w:t xml:space="preserve"> </w:t>
      </w:r>
      <w:proofErr w:type="gramStart"/>
      <w:r w:rsidR="00CB03FF" w:rsidRPr="0079264C">
        <w:rPr>
          <w:rFonts w:cs="Arial"/>
        </w:rPr>
        <w:t>with regard to</w:t>
      </w:r>
      <w:proofErr w:type="gramEnd"/>
      <w:r w:rsidR="00CB03FF" w:rsidRPr="0079264C">
        <w:rPr>
          <w:rFonts w:cs="Arial"/>
        </w:rPr>
        <w:t xml:space="preserve"> emotional burden </w:t>
      </w:r>
      <w:r w:rsidR="00CB03FF" w:rsidRPr="0079264C">
        <w:rPr>
          <w:rFonts w:cs="Arial"/>
        </w:rPr>
        <w:lastRenderedPageBreak/>
        <w:t>and personal preferences. It is important for the clinicians to therefore assist users in making their choices of alert setting, according to their needs and daily routine.</w:t>
      </w:r>
    </w:p>
    <w:p w14:paraId="12FCF57E" w14:textId="77777777" w:rsidR="00CB03FF" w:rsidRPr="0079264C" w:rsidRDefault="00EF07E3" w:rsidP="00256935">
      <w:pPr>
        <w:pStyle w:val="Heading2"/>
      </w:pPr>
      <w:bookmarkStart w:id="12" w:name="_Toc242179504"/>
      <w:r w:rsidRPr="0079264C">
        <w:t>Patient choice, privacy and data protection</w:t>
      </w:r>
      <w:bookmarkEnd w:id="12"/>
    </w:p>
    <w:p w14:paraId="0D62A563" w14:textId="77777777" w:rsidR="00DB18BB" w:rsidRPr="008201F1" w:rsidRDefault="00CB03FF" w:rsidP="008201F1">
      <w:pPr>
        <w:pStyle w:val="NormalWeb"/>
        <w:spacing w:before="120" w:beforeAutospacing="0" w:after="0" w:afterAutospacing="0" w:line="360" w:lineRule="auto"/>
        <w:jc w:val="both"/>
        <w:rPr>
          <w:rFonts w:ascii="Arial" w:hAnsi="Arial" w:cs="Arial"/>
          <w:sz w:val="22"/>
        </w:rPr>
      </w:pPr>
      <w:r w:rsidRPr="008201F1">
        <w:rPr>
          <w:rFonts w:ascii="Arial" w:hAnsi="Arial" w:cs="Arial"/>
          <w:sz w:val="22"/>
        </w:rPr>
        <w:t>Patients should be given options for monitoring systems and be informed about their access to, and sharing of, glucose data. The National Institute for Health and Care Excellence (2022) advised providing adults with the option of using Continuous Glucose Monitoring (CGM) if this meets their needs and preferences. That choice includes privacy. Under the UK GDPR definition of personal data, health data is covered by Article 6 lawful basis and Article 9 condition</w:t>
      </w:r>
      <w:r w:rsidR="002F43D8" w:rsidRPr="008201F1">
        <w:rPr>
          <w:rFonts w:ascii="Arial" w:hAnsi="Arial" w:cs="Arial"/>
          <w:sz w:val="22"/>
        </w:rPr>
        <w:t xml:space="preserve"> </w:t>
      </w:r>
      <w:r w:rsidR="002F43D8" w:rsidRPr="008201F1">
        <w:rPr>
          <w:rFonts w:ascii="Arial" w:hAnsi="Arial" w:cs="Arial"/>
          <w:bCs/>
          <w:sz w:val="22"/>
        </w:rPr>
        <w:t>(Information Commissioner’s Office, 2024)</w:t>
      </w:r>
      <w:r w:rsidRPr="008201F1">
        <w:rPr>
          <w:rFonts w:ascii="Arial" w:hAnsi="Arial" w:cs="Arial"/>
          <w:sz w:val="22"/>
        </w:rPr>
        <w:t>. The Data Protection Act (2018) offers additional protection, UK Parliament (2018). Services should identify who can access the shared documents and implement the appropriate security and retention measures. This agreement to share information with relatives should be discussed in a separate context to the legal basis for professional care</w:t>
      </w:r>
      <w:r w:rsidR="00B3448C" w:rsidRPr="008201F1">
        <w:rPr>
          <w:rFonts w:ascii="Arial" w:hAnsi="Arial" w:cs="Arial"/>
          <w:sz w:val="22"/>
        </w:rPr>
        <w:t>.</w:t>
      </w:r>
    </w:p>
    <w:p w14:paraId="1C6F8CCD" w14:textId="77777777" w:rsidR="00DB18BB" w:rsidRPr="0079264C" w:rsidRDefault="00B3448C" w:rsidP="0079264C">
      <w:pPr>
        <w:pStyle w:val="Heading1"/>
        <w:spacing w:before="120"/>
        <w:rPr>
          <w:rFonts w:ascii="Arial" w:hAnsi="Arial" w:cs="Arial"/>
        </w:rPr>
      </w:pPr>
      <w:bookmarkStart w:id="13" w:name="_Toc242179505"/>
      <w:r w:rsidRPr="0079264C">
        <w:rPr>
          <w:rFonts w:ascii="Arial" w:hAnsi="Arial" w:cs="Arial"/>
        </w:rPr>
        <w:t>5. Community</w:t>
      </w:r>
      <w:bookmarkEnd w:id="13"/>
    </w:p>
    <w:p w14:paraId="7E795309" w14:textId="77777777" w:rsidR="00307E00" w:rsidRPr="0079264C" w:rsidRDefault="00307E00" w:rsidP="00256935">
      <w:pPr>
        <w:pStyle w:val="Heading2"/>
        <w:rPr>
          <w:rFonts w:eastAsia="Times New Roman"/>
          <w:lang w:val="en-US"/>
        </w:rPr>
      </w:pPr>
      <w:bookmarkStart w:id="14" w:name="_Toc242179506"/>
      <w:r w:rsidRPr="0079264C">
        <w:t>Access for rural and underserved communities</w:t>
      </w:r>
      <w:bookmarkEnd w:id="14"/>
    </w:p>
    <w:p w14:paraId="0F7373D0" w14:textId="77777777" w:rsidR="006175CC" w:rsidRPr="0079264C" w:rsidRDefault="00307E00" w:rsidP="0079264C">
      <w:pPr>
        <w:spacing w:before="120"/>
        <w:rPr>
          <w:rFonts w:cs="Arial"/>
        </w:rPr>
      </w:pPr>
      <w:r w:rsidRPr="0079264C">
        <w:rPr>
          <w:rFonts w:cs="Arial"/>
        </w:rPr>
        <w:t>Remote patient monitoring may improve access for rural communities by reducing the need to travel to specialist services</w:t>
      </w:r>
      <w:r w:rsidR="006175CC" w:rsidRPr="0079264C">
        <w:rPr>
          <w:rFonts w:cs="Arial"/>
        </w:rPr>
        <w:t xml:space="preserve">. But these potential benefits will require reliable connectivity and real support. When planning for a remote consultation, Forde et al. (2023) highlight the need to understand patients' digital skill and preference. NHS England (2023) also specifies that digital should be used alongside non-digital support. Implementing this framework involves </w:t>
      </w:r>
      <w:r w:rsidR="006951A7" w:rsidRPr="0079264C">
        <w:rPr>
          <w:rFonts w:cs="Arial"/>
        </w:rPr>
        <w:t>aiding</w:t>
      </w:r>
      <w:r w:rsidR="006175CC" w:rsidRPr="0079264C">
        <w:rPr>
          <w:rFonts w:cs="Arial"/>
        </w:rPr>
        <w:t xml:space="preserve"> for uploads, instructions and other appointments that are easily accessible. Even if sensors are funded, barriers may remain due to inappropriate devices and lack of access to the internet. Thus, support around the technology is key to community benefit.</w:t>
      </w:r>
    </w:p>
    <w:p w14:paraId="5B2EA9A2" w14:textId="77777777" w:rsidR="006175CC" w:rsidRPr="0079264C" w:rsidRDefault="006175CC" w:rsidP="00256935">
      <w:pPr>
        <w:pStyle w:val="Heading2"/>
      </w:pPr>
      <w:bookmarkStart w:id="15" w:name="_Toc242179507"/>
      <w:r w:rsidRPr="0079264C">
        <w:t>Inequalities in access</w:t>
      </w:r>
      <w:bookmarkEnd w:id="15"/>
    </w:p>
    <w:p w14:paraId="282E9919" w14:textId="65601AFC" w:rsidR="006175CC" w:rsidRPr="0079264C" w:rsidRDefault="002355BF" w:rsidP="0079264C">
      <w:pPr>
        <w:pStyle w:val="NormalWeb"/>
        <w:spacing w:before="120" w:beforeAutospacing="0" w:after="120" w:afterAutospacing="0" w:line="360" w:lineRule="auto"/>
        <w:jc w:val="both"/>
        <w:rPr>
          <w:rFonts w:ascii="Arial" w:hAnsi="Arial" w:cs="Arial"/>
          <w:sz w:val="22"/>
        </w:rPr>
      </w:pPr>
      <w:r w:rsidRPr="0079264C">
        <w:rPr>
          <w:rFonts w:ascii="Arial" w:hAnsi="Arial" w:cs="Arial"/>
          <w:sz w:val="22"/>
        </w:rPr>
        <w:t>The benefits of remote monitoring may be shared unevenly because access to diabetes technology differs between communities</w:t>
      </w:r>
      <w:r w:rsidR="006175CC" w:rsidRPr="0079264C">
        <w:rPr>
          <w:rFonts w:ascii="Arial" w:hAnsi="Arial" w:cs="Arial"/>
          <w:sz w:val="22"/>
        </w:rPr>
        <w:t xml:space="preserve">. Seidu et al. (2025) found that there were pockets of variation in CGM prescribing in England based on ethnicity and local population characteristics. </w:t>
      </w:r>
      <w:r w:rsidR="006951A7" w:rsidRPr="0079264C">
        <w:rPr>
          <w:rFonts w:ascii="Arial" w:hAnsi="Arial" w:cs="Arial"/>
          <w:sz w:val="22"/>
        </w:rPr>
        <w:t>This question</w:t>
      </w:r>
      <w:r w:rsidR="006175CC" w:rsidRPr="0079264C">
        <w:rPr>
          <w:rFonts w:ascii="Arial" w:hAnsi="Arial" w:cs="Arial"/>
          <w:sz w:val="22"/>
        </w:rPr>
        <w:t xml:space="preserve"> </w:t>
      </w:r>
      <w:proofErr w:type="gramStart"/>
      <w:r w:rsidR="006175CC" w:rsidRPr="0079264C">
        <w:rPr>
          <w:rFonts w:ascii="Arial" w:hAnsi="Arial" w:cs="Arial"/>
          <w:sz w:val="22"/>
        </w:rPr>
        <w:t>the</w:t>
      </w:r>
      <w:proofErr w:type="gramEnd"/>
      <w:r w:rsidR="006175CC" w:rsidRPr="0079264C">
        <w:rPr>
          <w:rFonts w:ascii="Arial" w:hAnsi="Arial" w:cs="Arial"/>
          <w:sz w:val="22"/>
        </w:rPr>
        <w:t xml:space="preserve"> notion of equal access from national eligibility. But they </w:t>
      </w:r>
      <w:r w:rsidR="00CB16F5" w:rsidRPr="0079264C">
        <w:rPr>
          <w:rFonts w:ascii="Arial" w:hAnsi="Arial" w:cs="Arial"/>
          <w:sz w:val="22"/>
        </w:rPr>
        <w:t>analyzed</w:t>
      </w:r>
      <w:r w:rsidR="006175CC" w:rsidRPr="0079264C">
        <w:rPr>
          <w:rFonts w:ascii="Arial" w:hAnsi="Arial" w:cs="Arial"/>
          <w:sz w:val="22"/>
        </w:rPr>
        <w:t xml:space="preserve"> the data on </w:t>
      </w:r>
      <w:r w:rsidR="00CB16F5" w:rsidRPr="0079264C">
        <w:rPr>
          <w:rFonts w:ascii="Arial" w:hAnsi="Arial" w:cs="Arial"/>
          <w:sz w:val="22"/>
        </w:rPr>
        <w:t>the level</w:t>
      </w:r>
      <w:r w:rsidR="006175CC" w:rsidRPr="0079264C">
        <w:rPr>
          <w:rFonts w:ascii="Arial" w:hAnsi="Arial" w:cs="Arial"/>
          <w:sz w:val="22"/>
        </w:rPr>
        <w:t xml:space="preserve"> of area prescribing and not by individual diabetes type, and thus cannot show that every individual was discriminated against and cannot describe Libre 2 alone. </w:t>
      </w:r>
      <w:r w:rsidR="00CB16F5" w:rsidRPr="0079264C">
        <w:rPr>
          <w:rFonts w:ascii="Arial" w:hAnsi="Arial" w:cs="Arial"/>
          <w:sz w:val="22"/>
        </w:rPr>
        <w:t>Dlugosch</w:t>
      </w:r>
      <w:r w:rsidR="006175CC" w:rsidRPr="0079264C">
        <w:rPr>
          <w:rFonts w:ascii="Arial" w:hAnsi="Arial" w:cs="Arial"/>
          <w:sz w:val="22"/>
        </w:rPr>
        <w:t xml:space="preserve"> et al. (2025) include descriptions of access in the context of deprivation and social factors. All these studies indicate that services need to consider uptake and ongoing use at group level. The provision of interpreters and other teaching should be considered as effective implementation. These reviews should inform targeting of additional support.</w:t>
      </w:r>
    </w:p>
    <w:p w14:paraId="1EB4277B" w14:textId="77777777" w:rsidR="002355BF" w:rsidRPr="0079264C" w:rsidRDefault="002355BF" w:rsidP="0079264C">
      <w:pPr>
        <w:pStyle w:val="NormalWeb"/>
        <w:spacing w:before="120" w:beforeAutospacing="0" w:after="120" w:afterAutospacing="0" w:line="360" w:lineRule="auto"/>
        <w:jc w:val="both"/>
        <w:rPr>
          <w:rFonts w:ascii="Arial" w:hAnsi="Arial" w:cs="Arial"/>
          <w:sz w:val="22"/>
        </w:rPr>
      </w:pPr>
      <w:r w:rsidRPr="0079264C">
        <w:rPr>
          <w:rFonts w:ascii="Arial" w:hAnsi="Arial" w:cs="Arial"/>
          <w:sz w:val="22"/>
        </w:rPr>
        <w:lastRenderedPageBreak/>
        <w:t>Support for families and co-production</w:t>
      </w:r>
    </w:p>
    <w:p w14:paraId="005B5388" w14:textId="72DA6A78" w:rsidR="00DB18BB" w:rsidRPr="0079264C" w:rsidRDefault="002355BF" w:rsidP="0079264C">
      <w:pPr>
        <w:pStyle w:val="NormalWeb"/>
        <w:spacing w:before="120" w:beforeAutospacing="0" w:after="120" w:afterAutospacing="0" w:line="360" w:lineRule="auto"/>
        <w:jc w:val="both"/>
        <w:rPr>
          <w:rFonts w:ascii="Arial" w:hAnsi="Arial" w:cs="Arial"/>
          <w:sz w:val="22"/>
        </w:rPr>
      </w:pPr>
      <w:r w:rsidRPr="0079264C">
        <w:rPr>
          <w:rFonts w:ascii="Arial" w:hAnsi="Arial" w:cs="Arial"/>
          <w:sz w:val="22"/>
        </w:rPr>
        <w:t>Remote monitoring can support family involvement in diabetes care, while co-production helps patients and carers shape useful support materials</w:t>
      </w:r>
      <w:r w:rsidR="006175CC" w:rsidRPr="0079264C">
        <w:rPr>
          <w:rFonts w:ascii="Arial" w:hAnsi="Arial" w:cs="Arial"/>
          <w:sz w:val="22"/>
        </w:rPr>
        <w:t xml:space="preserve">. Beasant et al. (2023) identified that there may be an opportunity to share information about glucose with parents, which may help to alleviate their concerns; however, there may be some conflict with children. Families thus require established boundaries that allow for increasing independence. The study also contains proof of co-production: families and teenagers participated in online groups to </w:t>
      </w:r>
      <w:proofErr w:type="spellStart"/>
      <w:r w:rsidR="006175CC" w:rsidRPr="0079264C">
        <w:rPr>
          <w:rFonts w:ascii="Arial" w:hAnsi="Arial" w:cs="Arial"/>
          <w:sz w:val="22"/>
        </w:rPr>
        <w:t>prioritise</w:t>
      </w:r>
      <w:proofErr w:type="spellEnd"/>
      <w:r w:rsidR="006175CC" w:rsidRPr="0079264C">
        <w:rPr>
          <w:rFonts w:ascii="Arial" w:hAnsi="Arial" w:cs="Arial"/>
          <w:sz w:val="22"/>
        </w:rPr>
        <w:t xml:space="preserve"> the development of educational animations and infographics. This demonstrates the importance of lived experience to inform valuable support resources. But it doesn't show that all NHS remote monitoring services are co-designed. The NHSX (2021) positions citizens as the </w:t>
      </w:r>
      <w:r w:rsidR="00CB16F5" w:rsidRPr="0079264C">
        <w:rPr>
          <w:rFonts w:ascii="Arial" w:hAnsi="Arial" w:cs="Arial"/>
          <w:sz w:val="22"/>
        </w:rPr>
        <w:t>Centre</w:t>
      </w:r>
      <w:r w:rsidR="006175CC" w:rsidRPr="0079264C">
        <w:rPr>
          <w:rFonts w:ascii="Arial" w:hAnsi="Arial" w:cs="Arial"/>
          <w:sz w:val="22"/>
        </w:rPr>
        <w:t xml:space="preserve"> of service design. When considering their services, local teams should engage with rural residents, carers and those not confident with digital</w:t>
      </w:r>
      <w:r w:rsidR="00B3448C" w:rsidRPr="0079264C">
        <w:rPr>
          <w:rFonts w:ascii="Arial" w:hAnsi="Arial" w:cs="Arial"/>
          <w:sz w:val="22"/>
        </w:rPr>
        <w:t>.</w:t>
      </w:r>
    </w:p>
    <w:p w14:paraId="4AA04493" w14:textId="77777777" w:rsidR="00DB18BB" w:rsidRPr="0079264C" w:rsidRDefault="00B3448C" w:rsidP="0079264C">
      <w:pPr>
        <w:pStyle w:val="Heading1"/>
        <w:spacing w:before="120"/>
        <w:rPr>
          <w:rFonts w:ascii="Arial" w:hAnsi="Arial" w:cs="Arial"/>
        </w:rPr>
      </w:pPr>
      <w:bookmarkStart w:id="16" w:name="_Toc242179508"/>
      <w:r w:rsidRPr="0079264C">
        <w:rPr>
          <w:rFonts w:ascii="Arial" w:hAnsi="Arial" w:cs="Arial"/>
        </w:rPr>
        <w:t>6. Conclusion and recommendations</w:t>
      </w:r>
      <w:bookmarkEnd w:id="16"/>
    </w:p>
    <w:p w14:paraId="01738FC7" w14:textId="34B66CA1" w:rsidR="00683A5F" w:rsidRPr="0079264C" w:rsidRDefault="00BB4570" w:rsidP="0079264C">
      <w:pPr>
        <w:spacing w:before="120"/>
        <w:rPr>
          <w:rFonts w:cs="Arial"/>
        </w:rPr>
      </w:pPr>
      <w:r w:rsidRPr="0079264C">
        <w:rPr>
          <w:rFonts w:cs="Arial"/>
        </w:rPr>
        <w:t xml:space="preserve">In conclusion, </w:t>
      </w:r>
      <w:r w:rsidR="00CB16F5" w:rsidRPr="0079264C">
        <w:rPr>
          <w:rFonts w:cs="Arial"/>
        </w:rPr>
        <w:t>Freestyle</w:t>
      </w:r>
      <w:r w:rsidR="00683A5F" w:rsidRPr="0079264C">
        <w:rPr>
          <w:rFonts w:cs="Arial"/>
        </w:rPr>
        <w:t xml:space="preserve"> Libre 2 with </w:t>
      </w:r>
      <w:r w:rsidR="00CB16F5" w:rsidRPr="0079264C">
        <w:rPr>
          <w:rFonts w:cs="Arial"/>
        </w:rPr>
        <w:t>Libre View</w:t>
      </w:r>
      <w:r w:rsidR="00683A5F" w:rsidRPr="0079264C">
        <w:rPr>
          <w:rFonts w:cs="Arial"/>
        </w:rPr>
        <w:t xml:space="preserve"> is a valuable solution for remote diabetes management. It was introduced in the UK in November 2020 which fulfils the requirement to research an innovation of the past decade. There is evidence that these can help to control your glucose levels and provide more flexibility in care, although the extra advantage of professional review remotely is less well supported. It can diminish its worth if staff workload, technical failure, privacy or unequal access are an issue.</w:t>
      </w:r>
    </w:p>
    <w:p w14:paraId="495F7506" w14:textId="77777777" w:rsidR="00DB18BB" w:rsidRPr="0079264C" w:rsidRDefault="00683A5F" w:rsidP="0079264C">
      <w:pPr>
        <w:spacing w:before="120"/>
        <w:rPr>
          <w:rFonts w:cs="Arial"/>
        </w:rPr>
      </w:pPr>
      <w:r w:rsidRPr="0079264C">
        <w:rPr>
          <w:rFonts w:cs="Arial"/>
        </w:rPr>
        <w:t>Funded staff and patient training should be the first step services take, offering practical support to share data. They should then establish regular review dates and responsibility and escalation protocols with patients to make them aware of when they can review. There should be face to face appointments and back up glucose testing available. An explanation of the data-sharing arrangements, in clear language, which complies with the requirements of the UK GDPR and Data Protection Act. Lastly, teams need to engage patients and carers in service design and audit uptake and continued use and outcomes across social groups. These actions would make the availability of devices safer and more inclusive care and enable services to measure the desired benefits in practice</w:t>
      </w:r>
      <w:r w:rsidR="00B3448C" w:rsidRPr="0079264C">
        <w:rPr>
          <w:rFonts w:cs="Arial"/>
        </w:rPr>
        <w:t>.</w:t>
      </w:r>
    </w:p>
    <w:p w14:paraId="6E1935B4" w14:textId="77777777" w:rsidR="00DB18BB" w:rsidRPr="0079264C" w:rsidRDefault="00B3448C" w:rsidP="0079264C">
      <w:pPr>
        <w:pStyle w:val="Heading1"/>
        <w:pageBreakBefore/>
        <w:spacing w:before="120"/>
        <w:rPr>
          <w:rFonts w:ascii="Arial" w:hAnsi="Arial" w:cs="Arial"/>
        </w:rPr>
      </w:pPr>
      <w:bookmarkStart w:id="17" w:name="_Toc242179509"/>
      <w:r w:rsidRPr="0079264C">
        <w:rPr>
          <w:rFonts w:ascii="Arial" w:hAnsi="Arial" w:cs="Arial"/>
        </w:rPr>
        <w:lastRenderedPageBreak/>
        <w:t>References</w:t>
      </w:r>
      <w:bookmarkEnd w:id="17"/>
    </w:p>
    <w:p w14:paraId="582E2D7B" w14:textId="77777777" w:rsidR="00DB18BB" w:rsidRPr="0079264C" w:rsidRDefault="00B3448C" w:rsidP="0079264C">
      <w:pPr>
        <w:keepLines/>
        <w:spacing w:before="120"/>
        <w:ind w:left="432" w:hanging="432"/>
        <w:rPr>
          <w:rFonts w:cs="Arial"/>
        </w:rPr>
      </w:pPr>
      <w:r w:rsidRPr="0079264C">
        <w:rPr>
          <w:rFonts w:cs="Arial"/>
        </w:rPr>
        <w:t>Abbott (</w:t>
      </w:r>
      <w:r w:rsidR="00BB4570" w:rsidRPr="0079264C">
        <w:rPr>
          <w:rFonts w:cs="Arial"/>
        </w:rPr>
        <w:t>2026</w:t>
      </w:r>
      <w:r w:rsidRPr="0079264C">
        <w:rPr>
          <w:rFonts w:cs="Arial"/>
        </w:rPr>
        <w:t xml:space="preserve">) </w:t>
      </w:r>
      <w:proofErr w:type="spellStart"/>
      <w:r w:rsidRPr="0079264C">
        <w:rPr>
          <w:rFonts w:cs="Arial"/>
        </w:rPr>
        <w:t>LibreView</w:t>
      </w:r>
      <w:proofErr w:type="spellEnd"/>
      <w:r w:rsidRPr="0079264C">
        <w:rPr>
          <w:rFonts w:cs="Arial"/>
        </w:rPr>
        <w:t xml:space="preserve">: connect with healthcare professionals. Available at: </w:t>
      </w:r>
      <w:hyperlink r:id="rId10">
        <w:r w:rsidRPr="0079264C">
          <w:rPr>
            <w:rFonts w:cs="Arial"/>
            <w:color w:val="0563C1"/>
            <w:u w:val="single"/>
          </w:rPr>
          <w:t>https://www.freestyle.abbott/uk-en/managing-your-diabetes/start-your-journey/connect-with-healthcare-professionals.html</w:t>
        </w:r>
      </w:hyperlink>
      <w:r w:rsidRPr="0079264C">
        <w:rPr>
          <w:rFonts w:cs="Arial"/>
        </w:rPr>
        <w:t xml:space="preserve"> (Accessed: 6 October 2026).</w:t>
      </w:r>
    </w:p>
    <w:p w14:paraId="7E93A185" w14:textId="77777777" w:rsidR="00DB18BB" w:rsidRPr="0079264C" w:rsidRDefault="00B3448C" w:rsidP="0079264C">
      <w:pPr>
        <w:keepLines/>
        <w:spacing w:before="120"/>
        <w:ind w:left="432" w:hanging="432"/>
        <w:rPr>
          <w:rFonts w:cs="Arial"/>
        </w:rPr>
      </w:pPr>
      <w:r w:rsidRPr="0079264C">
        <w:rPr>
          <w:rFonts w:cs="Arial"/>
        </w:rPr>
        <w:t xml:space="preserve">Beasant, L. et al. (2023) ‘Flash glucose monitoring in young people with type 1 diabetes—a qualitative study of young people, parents and health professionals: “It makes life much easier”’, BMJ Open, 13(4), e070477. </w:t>
      </w:r>
      <w:proofErr w:type="spellStart"/>
      <w:r w:rsidRPr="0079264C">
        <w:rPr>
          <w:rFonts w:cs="Arial"/>
        </w:rPr>
        <w:t>doi</w:t>
      </w:r>
      <w:proofErr w:type="spellEnd"/>
      <w:r w:rsidRPr="0079264C">
        <w:rPr>
          <w:rFonts w:cs="Arial"/>
        </w:rPr>
        <w:t xml:space="preserve">: </w:t>
      </w:r>
      <w:hyperlink r:id="rId11">
        <w:r w:rsidRPr="0079264C">
          <w:rPr>
            <w:rFonts w:cs="Arial"/>
            <w:color w:val="0563C1"/>
            <w:u w:val="single"/>
          </w:rPr>
          <w:t>10.1136/bmjopen-2022-070477</w:t>
        </w:r>
      </w:hyperlink>
      <w:r w:rsidRPr="0079264C">
        <w:rPr>
          <w:rFonts w:cs="Arial"/>
        </w:rPr>
        <w:t>.</w:t>
      </w:r>
    </w:p>
    <w:p w14:paraId="00A8635B" w14:textId="77777777" w:rsidR="00DB18BB" w:rsidRPr="0079264C" w:rsidRDefault="00B3448C" w:rsidP="0079264C">
      <w:pPr>
        <w:keepLines/>
        <w:spacing w:before="120"/>
        <w:ind w:left="432" w:hanging="432"/>
        <w:rPr>
          <w:rFonts w:cs="Arial"/>
        </w:rPr>
      </w:pPr>
      <w:r w:rsidRPr="0079264C">
        <w:rPr>
          <w:rFonts w:cs="Arial"/>
        </w:rPr>
        <w:t>Department of Health and Social Care</w:t>
      </w:r>
      <w:r w:rsidR="002F43D8">
        <w:rPr>
          <w:rFonts w:cs="Arial"/>
        </w:rPr>
        <w:t xml:space="preserve"> (DHSC)</w:t>
      </w:r>
      <w:r w:rsidRPr="0079264C">
        <w:rPr>
          <w:rFonts w:cs="Arial"/>
        </w:rPr>
        <w:t xml:space="preserve"> (2022) A plan for digital health and social care. Available at: </w:t>
      </w:r>
      <w:hyperlink r:id="rId12">
        <w:r w:rsidRPr="0079264C">
          <w:rPr>
            <w:rFonts w:cs="Arial"/>
            <w:color w:val="0563C1"/>
            <w:u w:val="single"/>
          </w:rPr>
          <w:t>https://www.gov.uk/government/publications/a-plan-for-digital-health-and-social-care/a-plan-for-digital-health-and-social-care</w:t>
        </w:r>
      </w:hyperlink>
      <w:r w:rsidRPr="0079264C">
        <w:rPr>
          <w:rFonts w:cs="Arial"/>
        </w:rPr>
        <w:t xml:space="preserve"> (Accessed: 6 October 2026).</w:t>
      </w:r>
    </w:p>
    <w:p w14:paraId="56F84D3C" w14:textId="77777777" w:rsidR="00DB18BB" w:rsidRPr="0079264C" w:rsidRDefault="00B3448C" w:rsidP="0079264C">
      <w:pPr>
        <w:keepLines/>
        <w:spacing w:before="120"/>
        <w:ind w:left="432" w:hanging="432"/>
        <w:rPr>
          <w:rFonts w:cs="Arial"/>
        </w:rPr>
      </w:pPr>
      <w:proofErr w:type="spellStart"/>
      <w:r w:rsidRPr="0079264C">
        <w:rPr>
          <w:rFonts w:cs="Arial"/>
        </w:rPr>
        <w:t>Dlugatch</w:t>
      </w:r>
      <w:proofErr w:type="spellEnd"/>
      <w:r w:rsidRPr="0079264C">
        <w:rPr>
          <w:rFonts w:cs="Arial"/>
        </w:rPr>
        <w:t xml:space="preserve">, R. et al. (2025) ‘Understanding inequities in access to diabetes technologies in children and young people with type 1 diabetes: qualitative study of healthcare professionals’ perspectives and views’, Diabetic Medicine, 42(4), e15486. </w:t>
      </w:r>
      <w:proofErr w:type="spellStart"/>
      <w:r w:rsidRPr="0079264C">
        <w:rPr>
          <w:rFonts w:cs="Arial"/>
        </w:rPr>
        <w:t>doi</w:t>
      </w:r>
      <w:proofErr w:type="spellEnd"/>
      <w:r w:rsidRPr="0079264C">
        <w:rPr>
          <w:rFonts w:cs="Arial"/>
        </w:rPr>
        <w:t xml:space="preserve">: </w:t>
      </w:r>
      <w:hyperlink r:id="rId13">
        <w:r w:rsidRPr="0079264C">
          <w:rPr>
            <w:rFonts w:cs="Arial"/>
            <w:color w:val="0563C1"/>
            <w:u w:val="single"/>
          </w:rPr>
          <w:t>10.1111/dme.15486</w:t>
        </w:r>
      </w:hyperlink>
      <w:r w:rsidRPr="0079264C">
        <w:rPr>
          <w:rFonts w:cs="Arial"/>
        </w:rPr>
        <w:t>.</w:t>
      </w:r>
    </w:p>
    <w:p w14:paraId="0EB7D2F7" w14:textId="77777777" w:rsidR="00DB18BB" w:rsidRPr="0079264C" w:rsidRDefault="00B3448C" w:rsidP="0079264C">
      <w:pPr>
        <w:keepLines/>
        <w:spacing w:before="120"/>
        <w:ind w:left="432" w:hanging="432"/>
        <w:rPr>
          <w:rFonts w:cs="Arial"/>
        </w:rPr>
      </w:pPr>
      <w:r w:rsidRPr="0079264C">
        <w:rPr>
          <w:rFonts w:cs="Arial"/>
        </w:rPr>
        <w:t xml:space="preserve">Elliott, R.A. et al. (2024) ‘Estimating the cost-effectiveness of intermittently scanned continuous glucose monitoring in adults with type 1 diabetes in England’, Diabetic Medicine, 41(3), e15232. </w:t>
      </w:r>
      <w:proofErr w:type="spellStart"/>
      <w:r w:rsidRPr="0079264C">
        <w:rPr>
          <w:rFonts w:cs="Arial"/>
        </w:rPr>
        <w:t>doi</w:t>
      </w:r>
      <w:proofErr w:type="spellEnd"/>
      <w:r w:rsidRPr="0079264C">
        <w:rPr>
          <w:rFonts w:cs="Arial"/>
        </w:rPr>
        <w:t xml:space="preserve">: </w:t>
      </w:r>
      <w:hyperlink r:id="rId14">
        <w:r w:rsidRPr="0079264C">
          <w:rPr>
            <w:rFonts w:cs="Arial"/>
            <w:color w:val="0563C1"/>
            <w:u w:val="single"/>
          </w:rPr>
          <w:t>10.1111/dme.15232</w:t>
        </w:r>
      </w:hyperlink>
      <w:r w:rsidRPr="0079264C">
        <w:rPr>
          <w:rFonts w:cs="Arial"/>
        </w:rPr>
        <w:t>.</w:t>
      </w:r>
    </w:p>
    <w:p w14:paraId="3D24F658" w14:textId="77777777" w:rsidR="00DB18BB" w:rsidRPr="0079264C" w:rsidRDefault="00B3448C" w:rsidP="0079264C">
      <w:pPr>
        <w:keepLines/>
        <w:spacing w:before="120"/>
        <w:ind w:left="432" w:hanging="432"/>
        <w:rPr>
          <w:rFonts w:cs="Arial"/>
        </w:rPr>
      </w:pPr>
      <w:r w:rsidRPr="0079264C">
        <w:rPr>
          <w:rFonts w:cs="Arial"/>
        </w:rPr>
        <w:t xml:space="preserve">Forde, H. et al. (2022) ‘Current provision and HCP experiences of remote care delivery and diabetes technology training for people with type 1 diabetes in the UK during the COVID-19 pandemic’, Diabetic Medicine, 39(4), e14755. </w:t>
      </w:r>
      <w:proofErr w:type="spellStart"/>
      <w:r w:rsidRPr="0079264C">
        <w:rPr>
          <w:rFonts w:cs="Arial"/>
        </w:rPr>
        <w:t>doi</w:t>
      </w:r>
      <w:proofErr w:type="spellEnd"/>
      <w:r w:rsidRPr="0079264C">
        <w:rPr>
          <w:rFonts w:cs="Arial"/>
        </w:rPr>
        <w:t xml:space="preserve">: </w:t>
      </w:r>
      <w:hyperlink r:id="rId15">
        <w:r w:rsidRPr="0079264C">
          <w:rPr>
            <w:rFonts w:cs="Arial"/>
            <w:color w:val="0563C1"/>
            <w:u w:val="single"/>
          </w:rPr>
          <w:t>10.1111/dme.14755</w:t>
        </w:r>
      </w:hyperlink>
      <w:r w:rsidRPr="0079264C">
        <w:rPr>
          <w:rFonts w:cs="Arial"/>
        </w:rPr>
        <w:t>.</w:t>
      </w:r>
    </w:p>
    <w:p w14:paraId="4E0B52AD" w14:textId="77777777" w:rsidR="00DB18BB" w:rsidRPr="0079264C" w:rsidRDefault="00B3448C" w:rsidP="0079264C">
      <w:pPr>
        <w:keepLines/>
        <w:spacing w:before="120"/>
        <w:ind w:left="432" w:hanging="432"/>
        <w:rPr>
          <w:rFonts w:cs="Arial"/>
        </w:rPr>
      </w:pPr>
      <w:r w:rsidRPr="0079264C">
        <w:rPr>
          <w:rFonts w:cs="Arial"/>
        </w:rPr>
        <w:t xml:space="preserve">Forde, H. et al. (2023) ‘Remote consultations for diabetes care in a post COVID-19 world’, Diabetic Medicine, 40(3), e14977. </w:t>
      </w:r>
      <w:proofErr w:type="spellStart"/>
      <w:r w:rsidRPr="0079264C">
        <w:rPr>
          <w:rFonts w:cs="Arial"/>
        </w:rPr>
        <w:t>doi</w:t>
      </w:r>
      <w:proofErr w:type="spellEnd"/>
      <w:r w:rsidRPr="0079264C">
        <w:rPr>
          <w:rFonts w:cs="Arial"/>
        </w:rPr>
        <w:t xml:space="preserve">: </w:t>
      </w:r>
      <w:hyperlink r:id="rId16">
        <w:r w:rsidRPr="0079264C">
          <w:rPr>
            <w:rFonts w:cs="Arial"/>
            <w:color w:val="0563C1"/>
            <w:u w:val="single"/>
          </w:rPr>
          <w:t>10.1111/dme.14977</w:t>
        </w:r>
      </w:hyperlink>
      <w:r w:rsidRPr="0079264C">
        <w:rPr>
          <w:rFonts w:cs="Arial"/>
        </w:rPr>
        <w:t>.</w:t>
      </w:r>
    </w:p>
    <w:p w14:paraId="236FA658" w14:textId="77777777" w:rsidR="00DB18BB" w:rsidRPr="0079264C" w:rsidRDefault="00B3448C" w:rsidP="0079264C">
      <w:pPr>
        <w:keepLines/>
        <w:spacing w:before="120"/>
        <w:ind w:left="432" w:hanging="432"/>
        <w:rPr>
          <w:rFonts w:cs="Arial"/>
        </w:rPr>
      </w:pPr>
      <w:r w:rsidRPr="0079264C">
        <w:rPr>
          <w:rFonts w:cs="Arial"/>
        </w:rPr>
        <w:t xml:space="preserve">Information Commissioner’s Office (2024) Special category data. Updated 28 October 2024. Available at: </w:t>
      </w:r>
      <w:hyperlink r:id="rId17">
        <w:r w:rsidRPr="0079264C">
          <w:rPr>
            <w:rFonts w:cs="Arial"/>
            <w:color w:val="0563C1"/>
            <w:u w:val="single"/>
          </w:rPr>
          <w:t>https://ico.org.uk/for-organisations/uk-gdpr-guidance-and-resources/lawful-basis/a-guide-to-lawful-basis/special-category-data/</w:t>
        </w:r>
      </w:hyperlink>
      <w:r w:rsidRPr="0079264C">
        <w:rPr>
          <w:rFonts w:cs="Arial"/>
        </w:rPr>
        <w:t xml:space="preserve"> (Accessed: 6 October 2026).</w:t>
      </w:r>
    </w:p>
    <w:p w14:paraId="0D4D3C3D" w14:textId="77777777" w:rsidR="00DB18BB" w:rsidRPr="0079264C" w:rsidRDefault="00B3448C" w:rsidP="0079264C">
      <w:pPr>
        <w:keepLines/>
        <w:spacing w:before="120"/>
        <w:ind w:left="432" w:hanging="432"/>
        <w:rPr>
          <w:rFonts w:cs="Arial"/>
        </w:rPr>
      </w:pPr>
      <w:r w:rsidRPr="0079264C">
        <w:rPr>
          <w:rFonts w:cs="Arial"/>
        </w:rPr>
        <w:t xml:space="preserve">Kingsnorth, A.P. et al. (2023) ‘Comparing glucose outcomes following face-to-face and remote initiation of flash glucose monitoring in people living with diabetes’, Journal of Diabetes Science and Technology, 17(4), pp. 887–894. </w:t>
      </w:r>
      <w:proofErr w:type="spellStart"/>
      <w:r w:rsidRPr="0079264C">
        <w:rPr>
          <w:rFonts w:cs="Arial"/>
        </w:rPr>
        <w:t>doi</w:t>
      </w:r>
      <w:proofErr w:type="spellEnd"/>
      <w:r w:rsidRPr="0079264C">
        <w:rPr>
          <w:rFonts w:cs="Arial"/>
        </w:rPr>
        <w:t xml:space="preserve">: </w:t>
      </w:r>
      <w:hyperlink r:id="rId18">
        <w:r w:rsidRPr="0079264C">
          <w:rPr>
            <w:rFonts w:cs="Arial"/>
            <w:color w:val="0563C1"/>
            <w:u w:val="single"/>
          </w:rPr>
          <w:t>10.1177/19322968231176531</w:t>
        </w:r>
      </w:hyperlink>
      <w:r w:rsidRPr="0079264C">
        <w:rPr>
          <w:rFonts w:cs="Arial"/>
        </w:rPr>
        <w:t>.</w:t>
      </w:r>
    </w:p>
    <w:p w14:paraId="670CA176" w14:textId="77777777" w:rsidR="00DB18BB" w:rsidRPr="0079264C" w:rsidRDefault="00B3448C" w:rsidP="0079264C">
      <w:pPr>
        <w:keepLines/>
        <w:spacing w:before="120"/>
        <w:ind w:left="432" w:hanging="432"/>
        <w:rPr>
          <w:rFonts w:cs="Arial"/>
        </w:rPr>
      </w:pPr>
      <w:r w:rsidRPr="0079264C">
        <w:rPr>
          <w:rFonts w:cs="Arial"/>
        </w:rPr>
        <w:t xml:space="preserve">Leelarathna, L. et al. (2022) ‘Intermittently scanned continuous glucose monitoring for type 1 diabetes’, New England Journal of Medicine, 387(16), pp. 1477–1487. </w:t>
      </w:r>
      <w:proofErr w:type="spellStart"/>
      <w:r w:rsidRPr="0079264C">
        <w:rPr>
          <w:rFonts w:cs="Arial"/>
        </w:rPr>
        <w:t>doi</w:t>
      </w:r>
      <w:proofErr w:type="spellEnd"/>
      <w:r w:rsidRPr="0079264C">
        <w:rPr>
          <w:rFonts w:cs="Arial"/>
        </w:rPr>
        <w:t xml:space="preserve">: </w:t>
      </w:r>
      <w:hyperlink r:id="rId19">
        <w:r w:rsidRPr="0079264C">
          <w:rPr>
            <w:rFonts w:cs="Arial"/>
            <w:color w:val="0563C1"/>
            <w:u w:val="single"/>
          </w:rPr>
          <w:t>10.1056/NEJMoa2205650</w:t>
        </w:r>
      </w:hyperlink>
      <w:r w:rsidRPr="0079264C">
        <w:rPr>
          <w:rFonts w:cs="Arial"/>
        </w:rPr>
        <w:t>.</w:t>
      </w:r>
    </w:p>
    <w:p w14:paraId="6A9B19A3" w14:textId="77777777" w:rsidR="00DB18BB" w:rsidRPr="0079264C" w:rsidRDefault="00B3448C" w:rsidP="0079264C">
      <w:pPr>
        <w:keepLines/>
        <w:spacing w:before="120"/>
        <w:ind w:left="432" w:hanging="432"/>
        <w:rPr>
          <w:rFonts w:cs="Arial"/>
        </w:rPr>
      </w:pPr>
      <w:r w:rsidRPr="0079264C">
        <w:rPr>
          <w:rFonts w:cs="Arial"/>
        </w:rPr>
        <w:t xml:space="preserve">Medicines and Healthcare products Regulatory Agency (2023) Field safety notices: 24 to 28 July 2023. Available at: </w:t>
      </w:r>
      <w:hyperlink r:id="rId20">
        <w:r w:rsidRPr="0079264C">
          <w:rPr>
            <w:rFonts w:cs="Arial"/>
            <w:color w:val="0563C1"/>
            <w:u w:val="single"/>
          </w:rPr>
          <w:t>https://www.gov.uk/drug-device-alerts/field-safety-notices-24-to-28-july-2023</w:t>
        </w:r>
      </w:hyperlink>
      <w:r w:rsidRPr="0079264C">
        <w:rPr>
          <w:rFonts w:cs="Arial"/>
        </w:rPr>
        <w:t xml:space="preserve"> (Accessed: 6 October 2026).</w:t>
      </w:r>
    </w:p>
    <w:p w14:paraId="5B336006" w14:textId="77777777" w:rsidR="00DB18BB" w:rsidRPr="0079264C" w:rsidRDefault="00B3448C" w:rsidP="0079264C">
      <w:pPr>
        <w:keepLines/>
        <w:spacing w:before="120"/>
        <w:ind w:left="432" w:hanging="432"/>
        <w:rPr>
          <w:rFonts w:cs="Arial"/>
        </w:rPr>
      </w:pPr>
      <w:r w:rsidRPr="0079264C">
        <w:rPr>
          <w:rFonts w:cs="Arial"/>
        </w:rPr>
        <w:lastRenderedPageBreak/>
        <w:t xml:space="preserve">National Institute for Health and Care Excellence (2022) Type 1 diabetes in adults: diagnosis and management. NICE guideline NG17. Updated 17 August 2022. Available at: </w:t>
      </w:r>
      <w:hyperlink r:id="rId21">
        <w:r w:rsidRPr="0079264C">
          <w:rPr>
            <w:rFonts w:cs="Arial"/>
            <w:color w:val="0563C1"/>
            <w:u w:val="single"/>
          </w:rPr>
          <w:t>https://www.nice.org.uk/guidance/ng17/chapter/recommendations</w:t>
        </w:r>
      </w:hyperlink>
      <w:r w:rsidRPr="0079264C">
        <w:rPr>
          <w:rFonts w:cs="Arial"/>
        </w:rPr>
        <w:t xml:space="preserve"> (Accessed: 6 October 2026).</w:t>
      </w:r>
    </w:p>
    <w:p w14:paraId="5CF7AFE7" w14:textId="77777777" w:rsidR="00DB18BB" w:rsidRPr="0079264C" w:rsidRDefault="00B3448C" w:rsidP="0079264C">
      <w:pPr>
        <w:keepLines/>
        <w:spacing w:before="120"/>
        <w:ind w:left="432" w:hanging="432"/>
        <w:rPr>
          <w:rFonts w:cs="Arial"/>
        </w:rPr>
      </w:pPr>
      <w:r w:rsidRPr="0079264C">
        <w:rPr>
          <w:rFonts w:cs="Arial"/>
        </w:rPr>
        <w:t xml:space="preserve">NHS England (2023) Inclusive digital healthcare: a framework for NHS action on digital inclusion. Available at: </w:t>
      </w:r>
      <w:hyperlink r:id="rId22">
        <w:r w:rsidRPr="0079264C">
          <w:rPr>
            <w:rFonts w:cs="Arial"/>
            <w:color w:val="0563C1"/>
            <w:u w:val="single"/>
          </w:rPr>
          <w:t>https://www.england.nhs.uk/long-read/inclusive-digital-healthcare-a-framework-for-nhs-action-on-digital-inclusion/</w:t>
        </w:r>
      </w:hyperlink>
      <w:r w:rsidRPr="0079264C">
        <w:rPr>
          <w:rFonts w:cs="Arial"/>
        </w:rPr>
        <w:t xml:space="preserve"> (Accessed: 6 October 2026).</w:t>
      </w:r>
    </w:p>
    <w:p w14:paraId="25241613" w14:textId="77777777" w:rsidR="00DB18BB" w:rsidRPr="0079264C" w:rsidRDefault="00B3448C" w:rsidP="0079264C">
      <w:pPr>
        <w:keepLines/>
        <w:spacing w:before="120"/>
        <w:ind w:left="432" w:hanging="432"/>
        <w:rPr>
          <w:rFonts w:cs="Arial"/>
        </w:rPr>
      </w:pPr>
      <w:r w:rsidRPr="0079264C">
        <w:rPr>
          <w:rFonts w:cs="Arial"/>
        </w:rPr>
        <w:t>NHS England (</w:t>
      </w:r>
      <w:r w:rsidR="00BB4570" w:rsidRPr="0079264C">
        <w:rPr>
          <w:rFonts w:cs="Arial"/>
        </w:rPr>
        <w:t>2026</w:t>
      </w:r>
      <w:r w:rsidRPr="0079264C">
        <w:rPr>
          <w:rFonts w:cs="Arial"/>
        </w:rPr>
        <w:t xml:space="preserve">) Flash glucose monitoring: frequently asked questions for commissioners. Available at: </w:t>
      </w:r>
      <w:hyperlink r:id="rId23">
        <w:r w:rsidRPr="0079264C">
          <w:rPr>
            <w:rFonts w:cs="Arial"/>
            <w:color w:val="0563C1"/>
            <w:u w:val="single"/>
          </w:rPr>
          <w:t>https://www.england.nhs.uk/diabetes/digital-innovations-to-support-diabetes-outcomes/flash-glucose-monitoring/faqs-commissioners/</w:t>
        </w:r>
      </w:hyperlink>
      <w:r w:rsidRPr="0079264C">
        <w:rPr>
          <w:rFonts w:cs="Arial"/>
        </w:rPr>
        <w:t xml:space="preserve"> (Accessed: 6 October 2026).</w:t>
      </w:r>
    </w:p>
    <w:p w14:paraId="746F929E" w14:textId="77777777" w:rsidR="00DB18BB" w:rsidRPr="0079264C" w:rsidRDefault="00B3448C" w:rsidP="0079264C">
      <w:pPr>
        <w:keepLines/>
        <w:spacing w:before="120"/>
        <w:ind w:left="432" w:hanging="432"/>
        <w:rPr>
          <w:rFonts w:cs="Arial"/>
        </w:rPr>
      </w:pPr>
      <w:r w:rsidRPr="0079264C">
        <w:rPr>
          <w:rFonts w:cs="Arial"/>
        </w:rPr>
        <w:t xml:space="preserve">NHSX (2021) What Good Looks Like framework. Updated 4 October 2021. Archived copy held by the Infected Blood Inquiry. Available at: </w:t>
      </w:r>
      <w:hyperlink r:id="rId24">
        <w:r w:rsidRPr="0079264C">
          <w:rPr>
            <w:rFonts w:cs="Arial"/>
            <w:color w:val="0563C1"/>
            <w:u w:val="single"/>
          </w:rPr>
          <w:t>https://www.infectedbloodinquiry.org.uk/evidence/witn7668005-what-good-looks-framework-31-aug-2021</w:t>
        </w:r>
      </w:hyperlink>
      <w:r w:rsidRPr="0079264C">
        <w:rPr>
          <w:rFonts w:cs="Arial"/>
        </w:rPr>
        <w:t xml:space="preserve"> (Accessed: 6 October 2026).</w:t>
      </w:r>
    </w:p>
    <w:p w14:paraId="7758AEAE" w14:textId="77777777" w:rsidR="00DB18BB" w:rsidRPr="0079264C" w:rsidRDefault="00B3448C" w:rsidP="0079264C">
      <w:pPr>
        <w:keepLines/>
        <w:spacing w:before="120"/>
        <w:ind w:left="432" w:hanging="432"/>
        <w:rPr>
          <w:rFonts w:cs="Arial"/>
        </w:rPr>
      </w:pPr>
      <w:r w:rsidRPr="0079264C">
        <w:rPr>
          <w:rFonts w:cs="Arial"/>
        </w:rPr>
        <w:t xml:space="preserve">Seidu, S. et al. (2025) ‘Prescription distribution and inequities in diabetes care: a comparative analysis of continuous glucose monitoring access by diabetes status, ethnicity and socio-economic factors in England’, Diabetic Medicine, 42(11), e70130. </w:t>
      </w:r>
      <w:proofErr w:type="spellStart"/>
      <w:r w:rsidRPr="0079264C">
        <w:rPr>
          <w:rFonts w:cs="Arial"/>
        </w:rPr>
        <w:t>doi</w:t>
      </w:r>
      <w:proofErr w:type="spellEnd"/>
      <w:r w:rsidRPr="0079264C">
        <w:rPr>
          <w:rFonts w:cs="Arial"/>
        </w:rPr>
        <w:t xml:space="preserve">: </w:t>
      </w:r>
      <w:hyperlink r:id="rId25">
        <w:r w:rsidRPr="0079264C">
          <w:rPr>
            <w:rFonts w:cs="Arial"/>
            <w:color w:val="0563C1"/>
            <w:u w:val="single"/>
          </w:rPr>
          <w:t>10.1111/dme.70130</w:t>
        </w:r>
      </w:hyperlink>
      <w:r w:rsidRPr="0079264C">
        <w:rPr>
          <w:rFonts w:cs="Arial"/>
        </w:rPr>
        <w:t>.</w:t>
      </w:r>
    </w:p>
    <w:p w14:paraId="20325002" w14:textId="77777777" w:rsidR="00DB18BB" w:rsidRPr="0079264C" w:rsidRDefault="00B3448C" w:rsidP="0079264C">
      <w:pPr>
        <w:keepLines/>
        <w:spacing w:before="120"/>
        <w:ind w:left="432" w:hanging="432"/>
        <w:rPr>
          <w:rFonts w:cs="Arial"/>
        </w:rPr>
      </w:pPr>
      <w:r w:rsidRPr="0079264C">
        <w:rPr>
          <w:rFonts w:cs="Arial"/>
        </w:rPr>
        <w:t xml:space="preserve">Stimson, R.H. et al. (2023) ‘Changes in continuous glucose monitoring metrics and predictors of improvement 12 months after conversion from Freestyle Libre to Freestyle Libre 2’, Diabetic Medicine, 40(11), e15130. </w:t>
      </w:r>
      <w:proofErr w:type="spellStart"/>
      <w:r w:rsidRPr="0079264C">
        <w:rPr>
          <w:rFonts w:cs="Arial"/>
        </w:rPr>
        <w:t>doi</w:t>
      </w:r>
      <w:proofErr w:type="spellEnd"/>
      <w:r w:rsidRPr="0079264C">
        <w:rPr>
          <w:rFonts w:cs="Arial"/>
        </w:rPr>
        <w:t xml:space="preserve">: </w:t>
      </w:r>
      <w:hyperlink r:id="rId26">
        <w:r w:rsidRPr="0079264C">
          <w:rPr>
            <w:rFonts w:cs="Arial"/>
            <w:color w:val="0563C1"/>
            <w:u w:val="single"/>
          </w:rPr>
          <w:t>10.1111/dme.15130</w:t>
        </w:r>
      </w:hyperlink>
      <w:r w:rsidRPr="0079264C">
        <w:rPr>
          <w:rFonts w:cs="Arial"/>
        </w:rPr>
        <w:t>.</w:t>
      </w:r>
    </w:p>
    <w:p w14:paraId="45342DE0" w14:textId="77777777" w:rsidR="00DB18BB" w:rsidRPr="0079264C" w:rsidRDefault="00B3448C" w:rsidP="0079264C">
      <w:pPr>
        <w:keepLines/>
        <w:spacing w:before="120"/>
        <w:ind w:left="432" w:hanging="432"/>
        <w:rPr>
          <w:rFonts w:cs="Arial"/>
        </w:rPr>
      </w:pPr>
      <w:r w:rsidRPr="0079264C">
        <w:rPr>
          <w:rFonts w:cs="Arial"/>
        </w:rPr>
        <w:t xml:space="preserve">UK Parliament (2018) Data Protection Act 2018, c. 12. Available at: </w:t>
      </w:r>
      <w:hyperlink r:id="rId27">
        <w:r w:rsidRPr="0079264C">
          <w:rPr>
            <w:rFonts w:cs="Arial"/>
            <w:color w:val="0563C1"/>
            <w:u w:val="single"/>
          </w:rPr>
          <w:t>https://www.legislation.gov.uk/ukpga/2018/12/contents</w:t>
        </w:r>
      </w:hyperlink>
      <w:r w:rsidRPr="0079264C">
        <w:rPr>
          <w:rFonts w:cs="Arial"/>
        </w:rPr>
        <w:t xml:space="preserve"> (Accessed: 6 October 2026).</w:t>
      </w:r>
    </w:p>
    <w:sectPr w:rsidR="00DB18BB" w:rsidRPr="0079264C" w:rsidSect="0054640C">
      <w:footerReference w:type="default" r:id="rId28"/>
      <w:pgSz w:w="11905" w:h="16838"/>
      <w:pgMar w:top="1224" w:right="1440" w:bottom="1224" w:left="1440" w:header="720" w:footer="576" w:gutter="0"/>
      <w:pgBorders w:offsetFrom="page">
        <w:top w:val="thinThickSmallGap" w:sz="18" w:space="24" w:color="auto" w:shadow="1"/>
        <w:left w:val="thinThickSmallGap" w:sz="18" w:space="24" w:color="auto" w:shadow="1"/>
        <w:bottom w:val="thinThickSmallGap" w:sz="18" w:space="24" w:color="auto" w:shadow="1"/>
        <w:right w:val="thinThickSmallGap" w:sz="18" w:space="24" w:color="auto" w:shadow="1"/>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817820" w14:textId="77777777" w:rsidR="00C04AC8" w:rsidRDefault="00C04AC8">
      <w:pPr>
        <w:spacing w:after="0" w:line="240" w:lineRule="auto"/>
      </w:pPr>
      <w:r>
        <w:separator/>
      </w:r>
    </w:p>
  </w:endnote>
  <w:endnote w:type="continuationSeparator" w:id="0">
    <w:p w14:paraId="673D09D7" w14:textId="77777777" w:rsidR="00C04AC8" w:rsidRDefault="00C04A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ACF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6083074"/>
      <w:docPartObj>
        <w:docPartGallery w:val="Page Numbers (Bottom of Page)"/>
        <w:docPartUnique/>
      </w:docPartObj>
    </w:sdtPr>
    <w:sdtEndPr>
      <w:rPr>
        <w:noProof/>
      </w:rPr>
    </w:sdtEndPr>
    <w:sdtContent>
      <w:p w14:paraId="52031169" w14:textId="77777777" w:rsidR="00F87557" w:rsidRDefault="00F8755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ABFC681" w14:textId="77777777" w:rsidR="00DB18BB" w:rsidRDefault="00DB18B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81B500" w14:textId="77777777" w:rsidR="00C04AC8" w:rsidRDefault="00C04AC8">
      <w:pPr>
        <w:spacing w:after="0" w:line="240" w:lineRule="auto"/>
      </w:pPr>
      <w:r>
        <w:separator/>
      </w:r>
    </w:p>
  </w:footnote>
  <w:footnote w:type="continuationSeparator" w:id="0">
    <w:p w14:paraId="70C5BB76" w14:textId="77777777" w:rsidR="00C04AC8" w:rsidRDefault="00C04A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2084796017">
    <w:abstractNumId w:val="8"/>
  </w:num>
  <w:num w:numId="2" w16cid:durableId="389808236">
    <w:abstractNumId w:val="6"/>
  </w:num>
  <w:num w:numId="3" w16cid:durableId="1497115789">
    <w:abstractNumId w:val="5"/>
  </w:num>
  <w:num w:numId="4" w16cid:durableId="208811190">
    <w:abstractNumId w:val="4"/>
  </w:num>
  <w:num w:numId="5" w16cid:durableId="46034307">
    <w:abstractNumId w:val="7"/>
  </w:num>
  <w:num w:numId="6" w16cid:durableId="1528256401">
    <w:abstractNumId w:val="3"/>
  </w:num>
  <w:num w:numId="7" w16cid:durableId="173544462">
    <w:abstractNumId w:val="2"/>
  </w:num>
  <w:num w:numId="8" w16cid:durableId="2041736644">
    <w:abstractNumId w:val="1"/>
  </w:num>
  <w:num w:numId="9" w16cid:durableId="27776266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02DF3"/>
    <w:rsid w:val="00014668"/>
    <w:rsid w:val="00034616"/>
    <w:rsid w:val="00043F8B"/>
    <w:rsid w:val="00047069"/>
    <w:rsid w:val="0006063C"/>
    <w:rsid w:val="000868CB"/>
    <w:rsid w:val="00131FC4"/>
    <w:rsid w:val="001471D3"/>
    <w:rsid w:val="0015074B"/>
    <w:rsid w:val="00164FFA"/>
    <w:rsid w:val="00165BF2"/>
    <w:rsid w:val="001837D1"/>
    <w:rsid w:val="001C2976"/>
    <w:rsid w:val="00205BC1"/>
    <w:rsid w:val="00224371"/>
    <w:rsid w:val="00233F59"/>
    <w:rsid w:val="002355BF"/>
    <w:rsid w:val="002360C3"/>
    <w:rsid w:val="00256935"/>
    <w:rsid w:val="0029639D"/>
    <w:rsid w:val="002B5DB7"/>
    <w:rsid w:val="002F43D8"/>
    <w:rsid w:val="00307E00"/>
    <w:rsid w:val="003219F6"/>
    <w:rsid w:val="00326F90"/>
    <w:rsid w:val="00331CE3"/>
    <w:rsid w:val="003377AB"/>
    <w:rsid w:val="0035217B"/>
    <w:rsid w:val="003619DF"/>
    <w:rsid w:val="00374353"/>
    <w:rsid w:val="00402A10"/>
    <w:rsid w:val="00412B73"/>
    <w:rsid w:val="0043430C"/>
    <w:rsid w:val="00494C68"/>
    <w:rsid w:val="004A0283"/>
    <w:rsid w:val="004A519F"/>
    <w:rsid w:val="004D0952"/>
    <w:rsid w:val="0054640C"/>
    <w:rsid w:val="00555300"/>
    <w:rsid w:val="005D0884"/>
    <w:rsid w:val="005D2F93"/>
    <w:rsid w:val="006175CC"/>
    <w:rsid w:val="00682768"/>
    <w:rsid w:val="00683A5F"/>
    <w:rsid w:val="006951A7"/>
    <w:rsid w:val="006C4DB0"/>
    <w:rsid w:val="006D2C05"/>
    <w:rsid w:val="006D7C09"/>
    <w:rsid w:val="00717F0A"/>
    <w:rsid w:val="00751472"/>
    <w:rsid w:val="0079264C"/>
    <w:rsid w:val="007D221C"/>
    <w:rsid w:val="007F7161"/>
    <w:rsid w:val="0080082A"/>
    <w:rsid w:val="008201F1"/>
    <w:rsid w:val="00827B0C"/>
    <w:rsid w:val="008E0B61"/>
    <w:rsid w:val="009152B8"/>
    <w:rsid w:val="009401FB"/>
    <w:rsid w:val="00943CFD"/>
    <w:rsid w:val="009D1789"/>
    <w:rsid w:val="009E30D5"/>
    <w:rsid w:val="009F0E62"/>
    <w:rsid w:val="009F6712"/>
    <w:rsid w:val="00A246FA"/>
    <w:rsid w:val="00A456C8"/>
    <w:rsid w:val="00A47F07"/>
    <w:rsid w:val="00A60ED1"/>
    <w:rsid w:val="00A81FB6"/>
    <w:rsid w:val="00A84A61"/>
    <w:rsid w:val="00AA1D8D"/>
    <w:rsid w:val="00AF574B"/>
    <w:rsid w:val="00B066D8"/>
    <w:rsid w:val="00B074ED"/>
    <w:rsid w:val="00B3448C"/>
    <w:rsid w:val="00B3614E"/>
    <w:rsid w:val="00B445A4"/>
    <w:rsid w:val="00B47730"/>
    <w:rsid w:val="00B97102"/>
    <w:rsid w:val="00BB4570"/>
    <w:rsid w:val="00BB481C"/>
    <w:rsid w:val="00BB7303"/>
    <w:rsid w:val="00BC2E26"/>
    <w:rsid w:val="00BE48F5"/>
    <w:rsid w:val="00C04AC8"/>
    <w:rsid w:val="00C10A35"/>
    <w:rsid w:val="00CB03FF"/>
    <w:rsid w:val="00CB0664"/>
    <w:rsid w:val="00CB16F5"/>
    <w:rsid w:val="00D1265E"/>
    <w:rsid w:val="00D36439"/>
    <w:rsid w:val="00DA20CF"/>
    <w:rsid w:val="00DB18BB"/>
    <w:rsid w:val="00DD4332"/>
    <w:rsid w:val="00DD7D32"/>
    <w:rsid w:val="00DF69C3"/>
    <w:rsid w:val="00E36456"/>
    <w:rsid w:val="00E47ADF"/>
    <w:rsid w:val="00E54F75"/>
    <w:rsid w:val="00E84056"/>
    <w:rsid w:val="00E977B7"/>
    <w:rsid w:val="00EA0CB4"/>
    <w:rsid w:val="00EB3248"/>
    <w:rsid w:val="00EC5133"/>
    <w:rsid w:val="00EF07E3"/>
    <w:rsid w:val="00F2280A"/>
    <w:rsid w:val="00F35A60"/>
    <w:rsid w:val="00F84AB8"/>
    <w:rsid w:val="00F87557"/>
    <w:rsid w:val="00F87D26"/>
    <w:rsid w:val="00FC693F"/>
    <w:rsid w:val="00FD1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0CB51A1E"/>
  <w14:defaultImageDpi w14:val="300"/>
  <w15:docId w15:val="{78431132-2ADA-4B6D-BAD2-687ECEAFAB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pPr>
      <w:spacing w:after="120" w:line="360" w:lineRule="auto"/>
      <w:jc w:val="both"/>
    </w:pPr>
    <w:rPr>
      <w:rFonts w:ascii="Arial" w:eastAsia="Arial" w:hAnsi="Arial"/>
      <w:lang w:val="en-GB"/>
    </w:rPr>
  </w:style>
  <w:style w:type="paragraph" w:styleId="Heading1">
    <w:name w:val="heading 1"/>
    <w:basedOn w:val="Normal"/>
    <w:next w:val="Normal"/>
    <w:link w:val="Heading1Char"/>
    <w:autoRedefine/>
    <w:uiPriority w:val="9"/>
    <w:qFormat/>
    <w:rsid w:val="00EC5133"/>
    <w:pPr>
      <w:keepNext/>
      <w:keepLines/>
      <w:spacing w:before="180"/>
      <w:outlineLvl w:val="0"/>
    </w:pPr>
    <w:rPr>
      <w:rFonts w:asciiTheme="majorHAnsi" w:eastAsiaTheme="majorEastAsia" w:hAnsiTheme="majorHAnsi" w:cstheme="majorBidi"/>
      <w:b/>
      <w:bCs/>
      <w:sz w:val="32"/>
      <w:szCs w:val="28"/>
    </w:rPr>
  </w:style>
  <w:style w:type="paragraph" w:styleId="Heading2">
    <w:name w:val="heading 2"/>
    <w:basedOn w:val="Normal"/>
    <w:next w:val="Normal"/>
    <w:link w:val="Heading2Char"/>
    <w:autoRedefine/>
    <w:uiPriority w:val="9"/>
    <w:unhideWhenUsed/>
    <w:qFormat/>
    <w:rsid w:val="00256935"/>
    <w:pPr>
      <w:keepNext/>
      <w:keepLines/>
      <w:spacing w:before="120"/>
      <w:outlineLvl w:val="1"/>
    </w:pPr>
    <w:rPr>
      <w:rFonts w:eastAsiaTheme="majorEastAsia" w:cs="Arial"/>
      <w:b/>
      <w:bCs/>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EC5133"/>
    <w:rPr>
      <w:rFonts w:asciiTheme="majorHAnsi" w:eastAsiaTheme="majorEastAsia" w:hAnsiTheme="majorHAnsi" w:cstheme="majorBidi"/>
      <w:b/>
      <w:bCs/>
      <w:sz w:val="32"/>
      <w:szCs w:val="28"/>
      <w:lang w:val="en-GB"/>
    </w:rPr>
  </w:style>
  <w:style w:type="character" w:customStyle="1" w:styleId="Heading2Char">
    <w:name w:val="Heading 2 Char"/>
    <w:basedOn w:val="DefaultParagraphFont"/>
    <w:link w:val="Heading2"/>
    <w:uiPriority w:val="9"/>
    <w:rsid w:val="00256935"/>
    <w:rPr>
      <w:rFonts w:ascii="Arial" w:eastAsiaTheme="majorEastAsia" w:hAnsi="Arial" w:cs="Arial"/>
      <w:b/>
      <w:bCs/>
      <w:sz w:val="26"/>
      <w:szCs w:val="26"/>
      <w:lang w:val="en-GB"/>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contextualSpacing/>
    </w:pPr>
    <w:rPr>
      <w:rFonts w:asciiTheme="majorHAnsi" w:eastAsiaTheme="majorEastAsia" w:hAnsiTheme="majorHAnsi" w:cstheme="majorBidi"/>
      <w:color w:val="17365D" w:themeColor="text2" w:themeShade="BF"/>
      <w:spacing w:val="5"/>
      <w:kern w:val="28"/>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ind w:left="360"/>
      <w:contextualSpacing/>
    </w:pPr>
  </w:style>
  <w:style w:type="paragraph" w:styleId="ListContinue2">
    <w:name w:val="List Continue 2"/>
    <w:basedOn w:val="Normal"/>
    <w:uiPriority w:val="99"/>
    <w:unhideWhenUsed/>
    <w:rsid w:val="0029639D"/>
    <w:pPr>
      <w:ind w:left="720"/>
      <w:contextualSpacing/>
    </w:pPr>
  </w:style>
  <w:style w:type="paragraph" w:styleId="ListContinue3">
    <w:name w:val="List Continue 3"/>
    <w:basedOn w:val="Normal"/>
    <w:uiPriority w:val="99"/>
    <w:unhideWhenUsed/>
    <w:rsid w:val="0029639D"/>
    <w:pPr>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NormalWeb">
    <w:name w:val="Normal (Web)"/>
    <w:basedOn w:val="Normal"/>
    <w:uiPriority w:val="99"/>
    <w:unhideWhenUsed/>
    <w:rsid w:val="00164FFA"/>
    <w:pPr>
      <w:spacing w:before="100" w:beforeAutospacing="1" w:after="100" w:afterAutospacing="1" w:line="240" w:lineRule="auto"/>
      <w:jc w:val="left"/>
    </w:pPr>
    <w:rPr>
      <w:rFonts w:ascii="Times New Roman" w:eastAsia="Times New Roman" w:hAnsi="Times New Roman" w:cs="Times New Roman"/>
      <w:sz w:val="24"/>
      <w:szCs w:val="24"/>
      <w:lang w:val="en-US"/>
    </w:rPr>
  </w:style>
  <w:style w:type="paragraph" w:styleId="TOC1">
    <w:name w:val="toc 1"/>
    <w:basedOn w:val="Normal"/>
    <w:next w:val="Normal"/>
    <w:autoRedefine/>
    <w:uiPriority w:val="39"/>
    <w:unhideWhenUsed/>
    <w:rsid w:val="00BC2E26"/>
    <w:pPr>
      <w:spacing w:after="100"/>
    </w:pPr>
  </w:style>
  <w:style w:type="paragraph" w:styleId="TOC2">
    <w:name w:val="toc 2"/>
    <w:basedOn w:val="Normal"/>
    <w:next w:val="Normal"/>
    <w:autoRedefine/>
    <w:uiPriority w:val="39"/>
    <w:unhideWhenUsed/>
    <w:rsid w:val="00BC2E26"/>
    <w:pPr>
      <w:spacing w:after="100"/>
      <w:ind w:left="220"/>
    </w:pPr>
  </w:style>
  <w:style w:type="paragraph" w:styleId="TOC3">
    <w:name w:val="toc 3"/>
    <w:basedOn w:val="Normal"/>
    <w:next w:val="Normal"/>
    <w:autoRedefine/>
    <w:uiPriority w:val="39"/>
    <w:unhideWhenUsed/>
    <w:rsid w:val="00BC2E26"/>
    <w:pPr>
      <w:spacing w:after="100"/>
      <w:ind w:left="440"/>
    </w:pPr>
  </w:style>
  <w:style w:type="character" w:styleId="Hyperlink">
    <w:name w:val="Hyperlink"/>
    <w:basedOn w:val="DefaultParagraphFont"/>
    <w:uiPriority w:val="99"/>
    <w:unhideWhenUsed/>
    <w:rsid w:val="00BC2E26"/>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1993843">
      <w:bodyDiv w:val="1"/>
      <w:marLeft w:val="0"/>
      <w:marRight w:val="0"/>
      <w:marTop w:val="0"/>
      <w:marBottom w:val="0"/>
      <w:divBdr>
        <w:top w:val="none" w:sz="0" w:space="0" w:color="auto"/>
        <w:left w:val="none" w:sz="0" w:space="0" w:color="auto"/>
        <w:bottom w:val="none" w:sz="0" w:space="0" w:color="auto"/>
        <w:right w:val="none" w:sz="0" w:space="0" w:color="auto"/>
      </w:divBdr>
    </w:div>
    <w:div w:id="284119913">
      <w:bodyDiv w:val="1"/>
      <w:marLeft w:val="0"/>
      <w:marRight w:val="0"/>
      <w:marTop w:val="0"/>
      <w:marBottom w:val="0"/>
      <w:divBdr>
        <w:top w:val="none" w:sz="0" w:space="0" w:color="auto"/>
        <w:left w:val="none" w:sz="0" w:space="0" w:color="auto"/>
        <w:bottom w:val="none" w:sz="0" w:space="0" w:color="auto"/>
        <w:right w:val="none" w:sz="0" w:space="0" w:color="auto"/>
      </w:divBdr>
    </w:div>
    <w:div w:id="301886908">
      <w:bodyDiv w:val="1"/>
      <w:marLeft w:val="0"/>
      <w:marRight w:val="0"/>
      <w:marTop w:val="0"/>
      <w:marBottom w:val="0"/>
      <w:divBdr>
        <w:top w:val="none" w:sz="0" w:space="0" w:color="auto"/>
        <w:left w:val="none" w:sz="0" w:space="0" w:color="auto"/>
        <w:bottom w:val="none" w:sz="0" w:space="0" w:color="auto"/>
        <w:right w:val="none" w:sz="0" w:space="0" w:color="auto"/>
      </w:divBdr>
    </w:div>
    <w:div w:id="373192965">
      <w:bodyDiv w:val="1"/>
      <w:marLeft w:val="0"/>
      <w:marRight w:val="0"/>
      <w:marTop w:val="0"/>
      <w:marBottom w:val="0"/>
      <w:divBdr>
        <w:top w:val="none" w:sz="0" w:space="0" w:color="auto"/>
        <w:left w:val="none" w:sz="0" w:space="0" w:color="auto"/>
        <w:bottom w:val="none" w:sz="0" w:space="0" w:color="auto"/>
        <w:right w:val="none" w:sz="0" w:space="0" w:color="auto"/>
      </w:divBdr>
    </w:div>
    <w:div w:id="670529763">
      <w:bodyDiv w:val="1"/>
      <w:marLeft w:val="0"/>
      <w:marRight w:val="0"/>
      <w:marTop w:val="0"/>
      <w:marBottom w:val="0"/>
      <w:divBdr>
        <w:top w:val="none" w:sz="0" w:space="0" w:color="auto"/>
        <w:left w:val="none" w:sz="0" w:space="0" w:color="auto"/>
        <w:bottom w:val="none" w:sz="0" w:space="0" w:color="auto"/>
        <w:right w:val="none" w:sz="0" w:space="0" w:color="auto"/>
      </w:divBdr>
    </w:div>
    <w:div w:id="689841808">
      <w:bodyDiv w:val="1"/>
      <w:marLeft w:val="0"/>
      <w:marRight w:val="0"/>
      <w:marTop w:val="0"/>
      <w:marBottom w:val="0"/>
      <w:divBdr>
        <w:top w:val="none" w:sz="0" w:space="0" w:color="auto"/>
        <w:left w:val="none" w:sz="0" w:space="0" w:color="auto"/>
        <w:bottom w:val="none" w:sz="0" w:space="0" w:color="auto"/>
        <w:right w:val="none" w:sz="0" w:space="0" w:color="auto"/>
      </w:divBdr>
    </w:div>
    <w:div w:id="831481954">
      <w:bodyDiv w:val="1"/>
      <w:marLeft w:val="0"/>
      <w:marRight w:val="0"/>
      <w:marTop w:val="0"/>
      <w:marBottom w:val="0"/>
      <w:divBdr>
        <w:top w:val="none" w:sz="0" w:space="0" w:color="auto"/>
        <w:left w:val="none" w:sz="0" w:space="0" w:color="auto"/>
        <w:bottom w:val="none" w:sz="0" w:space="0" w:color="auto"/>
        <w:right w:val="none" w:sz="0" w:space="0" w:color="auto"/>
      </w:divBdr>
    </w:div>
    <w:div w:id="970793488">
      <w:bodyDiv w:val="1"/>
      <w:marLeft w:val="0"/>
      <w:marRight w:val="0"/>
      <w:marTop w:val="0"/>
      <w:marBottom w:val="0"/>
      <w:divBdr>
        <w:top w:val="none" w:sz="0" w:space="0" w:color="auto"/>
        <w:left w:val="none" w:sz="0" w:space="0" w:color="auto"/>
        <w:bottom w:val="none" w:sz="0" w:space="0" w:color="auto"/>
        <w:right w:val="none" w:sz="0" w:space="0" w:color="auto"/>
      </w:divBdr>
    </w:div>
    <w:div w:id="1098938999">
      <w:bodyDiv w:val="1"/>
      <w:marLeft w:val="0"/>
      <w:marRight w:val="0"/>
      <w:marTop w:val="0"/>
      <w:marBottom w:val="0"/>
      <w:divBdr>
        <w:top w:val="none" w:sz="0" w:space="0" w:color="auto"/>
        <w:left w:val="none" w:sz="0" w:space="0" w:color="auto"/>
        <w:bottom w:val="none" w:sz="0" w:space="0" w:color="auto"/>
        <w:right w:val="none" w:sz="0" w:space="0" w:color="auto"/>
      </w:divBdr>
    </w:div>
    <w:div w:id="1197498654">
      <w:bodyDiv w:val="1"/>
      <w:marLeft w:val="0"/>
      <w:marRight w:val="0"/>
      <w:marTop w:val="0"/>
      <w:marBottom w:val="0"/>
      <w:divBdr>
        <w:top w:val="none" w:sz="0" w:space="0" w:color="auto"/>
        <w:left w:val="none" w:sz="0" w:space="0" w:color="auto"/>
        <w:bottom w:val="none" w:sz="0" w:space="0" w:color="auto"/>
        <w:right w:val="none" w:sz="0" w:space="0" w:color="auto"/>
      </w:divBdr>
    </w:div>
    <w:div w:id="1199317537">
      <w:bodyDiv w:val="1"/>
      <w:marLeft w:val="0"/>
      <w:marRight w:val="0"/>
      <w:marTop w:val="0"/>
      <w:marBottom w:val="0"/>
      <w:divBdr>
        <w:top w:val="none" w:sz="0" w:space="0" w:color="auto"/>
        <w:left w:val="none" w:sz="0" w:space="0" w:color="auto"/>
        <w:bottom w:val="none" w:sz="0" w:space="0" w:color="auto"/>
        <w:right w:val="none" w:sz="0" w:space="0" w:color="auto"/>
      </w:divBdr>
    </w:div>
    <w:div w:id="1367826785">
      <w:bodyDiv w:val="1"/>
      <w:marLeft w:val="0"/>
      <w:marRight w:val="0"/>
      <w:marTop w:val="0"/>
      <w:marBottom w:val="0"/>
      <w:divBdr>
        <w:top w:val="none" w:sz="0" w:space="0" w:color="auto"/>
        <w:left w:val="none" w:sz="0" w:space="0" w:color="auto"/>
        <w:bottom w:val="none" w:sz="0" w:space="0" w:color="auto"/>
        <w:right w:val="none" w:sz="0" w:space="0" w:color="auto"/>
      </w:divBdr>
    </w:div>
    <w:div w:id="1419593917">
      <w:bodyDiv w:val="1"/>
      <w:marLeft w:val="0"/>
      <w:marRight w:val="0"/>
      <w:marTop w:val="0"/>
      <w:marBottom w:val="0"/>
      <w:divBdr>
        <w:top w:val="none" w:sz="0" w:space="0" w:color="auto"/>
        <w:left w:val="none" w:sz="0" w:space="0" w:color="auto"/>
        <w:bottom w:val="none" w:sz="0" w:space="0" w:color="auto"/>
        <w:right w:val="none" w:sz="0" w:space="0" w:color="auto"/>
      </w:divBdr>
    </w:div>
    <w:div w:id="1499230624">
      <w:bodyDiv w:val="1"/>
      <w:marLeft w:val="0"/>
      <w:marRight w:val="0"/>
      <w:marTop w:val="0"/>
      <w:marBottom w:val="0"/>
      <w:divBdr>
        <w:top w:val="none" w:sz="0" w:space="0" w:color="auto"/>
        <w:left w:val="none" w:sz="0" w:space="0" w:color="auto"/>
        <w:bottom w:val="none" w:sz="0" w:space="0" w:color="auto"/>
        <w:right w:val="none" w:sz="0" w:space="0" w:color="auto"/>
      </w:divBdr>
    </w:div>
    <w:div w:id="1683237318">
      <w:bodyDiv w:val="1"/>
      <w:marLeft w:val="0"/>
      <w:marRight w:val="0"/>
      <w:marTop w:val="0"/>
      <w:marBottom w:val="0"/>
      <w:divBdr>
        <w:top w:val="none" w:sz="0" w:space="0" w:color="auto"/>
        <w:left w:val="none" w:sz="0" w:space="0" w:color="auto"/>
        <w:bottom w:val="none" w:sz="0" w:space="0" w:color="auto"/>
        <w:right w:val="none" w:sz="0" w:space="0" w:color="auto"/>
      </w:divBdr>
    </w:div>
    <w:div w:id="1967346331">
      <w:bodyDiv w:val="1"/>
      <w:marLeft w:val="0"/>
      <w:marRight w:val="0"/>
      <w:marTop w:val="0"/>
      <w:marBottom w:val="0"/>
      <w:divBdr>
        <w:top w:val="none" w:sz="0" w:space="0" w:color="auto"/>
        <w:left w:val="none" w:sz="0" w:space="0" w:color="auto"/>
        <w:bottom w:val="none" w:sz="0" w:space="0" w:color="auto"/>
        <w:right w:val="none" w:sz="0" w:space="0" w:color="auto"/>
      </w:divBdr>
    </w:div>
    <w:div w:id="2013138576">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1111/dme.15486" TargetMode="External"/><Relationship Id="rId18" Type="http://schemas.openxmlformats.org/officeDocument/2006/relationships/hyperlink" Target="https://doi.org/10.1177/19322968231176531" TargetMode="External"/><Relationship Id="rId26" Type="http://schemas.openxmlformats.org/officeDocument/2006/relationships/hyperlink" Target="https://doi.org/10.1111/dme.15130" TargetMode="External"/><Relationship Id="rId3" Type="http://schemas.openxmlformats.org/officeDocument/2006/relationships/styles" Target="styles.xml"/><Relationship Id="rId21" Type="http://schemas.openxmlformats.org/officeDocument/2006/relationships/hyperlink" Target="https://www.nice.org.uk/guidance/ng17/chapter/recommendations" TargetMode="External"/><Relationship Id="rId7" Type="http://schemas.openxmlformats.org/officeDocument/2006/relationships/endnotes" Target="endnotes.xml"/><Relationship Id="rId12" Type="http://schemas.openxmlformats.org/officeDocument/2006/relationships/hyperlink" Target="https://www.gov.uk/government/publications/a-plan-for-digital-health-and-social-care/a-plan-for-digital-health-and-social-care" TargetMode="External"/><Relationship Id="rId17" Type="http://schemas.openxmlformats.org/officeDocument/2006/relationships/hyperlink" Target="https://ico.org.uk/for-organisations/uk-gdpr-guidance-and-resources/lawful-basis/a-guide-to-lawful-basis/special-category-data/" TargetMode="External"/><Relationship Id="rId25" Type="http://schemas.openxmlformats.org/officeDocument/2006/relationships/hyperlink" Target="https://doi.org/10.1111/dme.70130" TargetMode="External"/><Relationship Id="rId2" Type="http://schemas.openxmlformats.org/officeDocument/2006/relationships/numbering" Target="numbering.xml"/><Relationship Id="rId16" Type="http://schemas.openxmlformats.org/officeDocument/2006/relationships/hyperlink" Target="https://doi.org/10.1111/dme.14977" TargetMode="External"/><Relationship Id="rId20" Type="http://schemas.openxmlformats.org/officeDocument/2006/relationships/hyperlink" Target="https://www.gov.uk/drug-device-alerts/field-safety-notices-24-to-28-july-2023"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136/bmjopen-2022-070477" TargetMode="External"/><Relationship Id="rId24" Type="http://schemas.openxmlformats.org/officeDocument/2006/relationships/hyperlink" Target="https://www.infectedbloodinquiry.org.uk/evidence/witn7668005-what-good-looks-framework-31-aug-2021" TargetMode="External"/><Relationship Id="rId5" Type="http://schemas.openxmlformats.org/officeDocument/2006/relationships/webSettings" Target="webSettings.xml"/><Relationship Id="rId15" Type="http://schemas.openxmlformats.org/officeDocument/2006/relationships/hyperlink" Target="https://doi.org/10.1111/dme.14755" TargetMode="External"/><Relationship Id="rId23" Type="http://schemas.openxmlformats.org/officeDocument/2006/relationships/hyperlink" Target="https://www.england.nhs.uk/diabetes/digital-innovations-to-support-diabetes-outcomes/flash-glucose-monitoring/faqs-commissioners/" TargetMode="External"/><Relationship Id="rId28" Type="http://schemas.openxmlformats.org/officeDocument/2006/relationships/footer" Target="footer1.xml"/><Relationship Id="rId10" Type="http://schemas.openxmlformats.org/officeDocument/2006/relationships/hyperlink" Target="https://www.freestyle.abbott/uk-en/managing-your-diabetes/start-your-journey/connect-with-healthcare-professionals.html" TargetMode="External"/><Relationship Id="rId19" Type="http://schemas.openxmlformats.org/officeDocument/2006/relationships/hyperlink" Target="https://doi.org/10.1056/NEJMoa2205650"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hyperlink" Target="https://doi.org/10.1111/dme.15232" TargetMode="External"/><Relationship Id="rId22" Type="http://schemas.openxmlformats.org/officeDocument/2006/relationships/hyperlink" Target="https://www.england.nhs.uk/long-read/inclusive-digital-healthcare-a-framework-for-nhs-action-on-digital-inclusion/" TargetMode="External"/><Relationship Id="rId27" Type="http://schemas.openxmlformats.org/officeDocument/2006/relationships/hyperlink" Target="https://www.legislation.gov.uk/ukpga/2018/12/contents"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3ACC1C6-6949-4D37-85CC-E253FF2B07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3237</Words>
  <Characters>18451</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21645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ZAIBA TABASSUM</dc:creator>
  <cp:keywords/>
  <dc:description/>
  <cp:lastModifiedBy>Zaiba Tabassum (2407213)</cp:lastModifiedBy>
  <cp:revision>12</cp:revision>
  <dcterms:created xsi:type="dcterms:W3CDTF">2026-10-10T17:16:00Z</dcterms:created>
  <dcterms:modified xsi:type="dcterms:W3CDTF">2026-10-12T11:05:00Z</dcterms:modified>
  <cp:category/>
</cp:coreProperties>
</file>