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944E" w14:textId="77777777" w:rsidR="00572A07" w:rsidRDefault="00572A07" w:rsidP="00572A07">
      <w:pPr>
        <w:pStyle w:val="Heading1"/>
        <w:jc w:val="center"/>
        <w:rPr>
          <w:sz w:val="48"/>
          <w:szCs w:val="48"/>
        </w:rPr>
      </w:pPr>
      <w:bookmarkStart w:id="0" w:name="_Toc198577945"/>
    </w:p>
    <w:p w14:paraId="21871188" w14:textId="77777777" w:rsidR="00572A07" w:rsidRDefault="00572A07" w:rsidP="00572A07">
      <w:pPr>
        <w:pStyle w:val="Heading1"/>
        <w:jc w:val="center"/>
        <w:rPr>
          <w:sz w:val="48"/>
          <w:szCs w:val="48"/>
        </w:rPr>
      </w:pPr>
    </w:p>
    <w:p w14:paraId="2A9C3016" w14:textId="489F4782" w:rsidR="00CC5781" w:rsidRPr="00572A07" w:rsidRDefault="00201E4E" w:rsidP="00572A07">
      <w:pPr>
        <w:pStyle w:val="Heading1"/>
        <w:jc w:val="center"/>
        <w:rPr>
          <w:sz w:val="48"/>
          <w:szCs w:val="48"/>
        </w:rPr>
      </w:pPr>
      <w:r w:rsidRPr="00572A07">
        <w:rPr>
          <w:sz w:val="48"/>
          <w:szCs w:val="48"/>
        </w:rPr>
        <w:t>Hotel Strategies in Uncertain Times</w:t>
      </w:r>
      <w:bookmarkEnd w:id="0"/>
    </w:p>
    <w:p w14:paraId="44ED984E" w14:textId="77777777" w:rsidR="00CC5781" w:rsidRPr="00572A07" w:rsidRDefault="00201E4E" w:rsidP="00572A07">
      <w:pPr>
        <w:jc w:val="center"/>
        <w:rPr>
          <w:b/>
          <w:bCs/>
          <w:sz w:val="32"/>
          <w:szCs w:val="32"/>
        </w:rPr>
      </w:pPr>
      <w:r w:rsidRPr="00572A07">
        <w:rPr>
          <w:b/>
          <w:bCs/>
          <w:sz w:val="32"/>
          <w:szCs w:val="32"/>
        </w:rPr>
        <w:t>Assignment One: Conference Research Paper</w:t>
      </w:r>
    </w:p>
    <w:p w14:paraId="69F8B9C8" w14:textId="77777777" w:rsidR="00CC5781" w:rsidRPr="00572A07" w:rsidRDefault="00201E4E" w:rsidP="00572A07">
      <w:pPr>
        <w:jc w:val="center"/>
        <w:rPr>
          <w:b/>
          <w:bCs/>
        </w:rPr>
      </w:pPr>
      <w:r w:rsidRPr="00572A07">
        <w:rPr>
          <w:b/>
          <w:bCs/>
        </w:rPr>
        <w:t>Module: BMIH6001 – Contemporary Themes in the Hotel and Hospitality Sector</w:t>
      </w:r>
    </w:p>
    <w:p w14:paraId="6B78A27F" w14:textId="77777777" w:rsidR="00572A07" w:rsidRDefault="00572A07" w:rsidP="00EE4D72"/>
    <w:p w14:paraId="027820CF" w14:textId="77777777" w:rsidR="00572A07" w:rsidRDefault="00572A07" w:rsidP="00EE4D72"/>
    <w:p w14:paraId="1B7DF9D4" w14:textId="77777777" w:rsidR="00572A07" w:rsidRDefault="00572A07" w:rsidP="00EE4D72"/>
    <w:p w14:paraId="2B2E5BF1" w14:textId="77777777" w:rsidR="00572A07" w:rsidRDefault="00572A07" w:rsidP="00EE4D72"/>
    <w:p w14:paraId="71A3EEA4" w14:textId="77777777" w:rsidR="00572A07" w:rsidRDefault="00572A07" w:rsidP="00EE4D72"/>
    <w:p w14:paraId="5CFDFB9D" w14:textId="77777777" w:rsidR="00572A07" w:rsidRDefault="00572A07" w:rsidP="00572A07">
      <w:pPr>
        <w:jc w:val="center"/>
      </w:pPr>
    </w:p>
    <w:p w14:paraId="05FC1882" w14:textId="6969A2EF" w:rsidR="00CC5781" w:rsidRDefault="00C02A30" w:rsidP="00572A07">
      <w:pPr>
        <w:jc w:val="center"/>
      </w:pPr>
      <w:r>
        <w:t xml:space="preserve">Student </w:t>
      </w:r>
      <w:r w:rsidR="00201E4E">
        <w:t xml:space="preserve">Name: </w:t>
      </w:r>
      <w:r w:rsidR="00EE4D72">
        <w:t>Abdur Rahman</w:t>
      </w:r>
    </w:p>
    <w:p w14:paraId="3344E774" w14:textId="3E0DCE4E" w:rsidR="00CC5781" w:rsidRDefault="00201E4E" w:rsidP="00572A07">
      <w:pPr>
        <w:jc w:val="center"/>
      </w:pPr>
      <w:r>
        <w:t xml:space="preserve">Student ID: </w:t>
      </w:r>
      <w:r w:rsidR="00572A07">
        <w:t>2212899</w:t>
      </w:r>
    </w:p>
    <w:p w14:paraId="757017C4" w14:textId="6EF96EC0" w:rsidR="00CC5781" w:rsidRDefault="00C02A30" w:rsidP="00C02A30">
      <w:r>
        <w:t xml:space="preserve">                                                     </w:t>
      </w:r>
      <w:r w:rsidR="0011351F">
        <w:t>Tutor:</w:t>
      </w:r>
      <w:r>
        <w:t xml:space="preserve"> Antoinette Milne</w:t>
      </w:r>
    </w:p>
    <w:p w14:paraId="62197F37" w14:textId="57E1CEC8" w:rsidR="00CC5781" w:rsidRDefault="00201E4E" w:rsidP="00EE4D72">
      <w:r>
        <w:br w:type="page"/>
      </w:r>
    </w:p>
    <w:p w14:paraId="3B606BA3" w14:textId="1D9E4E90" w:rsidR="00EE4D72" w:rsidRPr="00EE4D72" w:rsidRDefault="00EE4D72" w:rsidP="00EE4D72">
      <w:pPr>
        <w:rPr>
          <w:b/>
          <w:bCs/>
        </w:rPr>
      </w:pPr>
      <w:r w:rsidRPr="00EE4D72">
        <w:rPr>
          <w:b/>
          <w:bCs/>
        </w:rPr>
        <w:lastRenderedPageBreak/>
        <w:t>Abstract</w:t>
      </w:r>
    </w:p>
    <w:p w14:paraId="07325D37" w14:textId="53EF1653" w:rsidR="00EE4D72" w:rsidRPr="00EE4D72" w:rsidRDefault="00E941CA" w:rsidP="00EE4D72">
      <w:r>
        <w:t xml:space="preserve">The hospitality business is functioning in a period of increased global uncertainty, </w:t>
      </w:r>
      <w:r w:rsidR="007314E6">
        <w:t>characterized</w:t>
      </w:r>
      <w:r>
        <w:t xml:space="preserve"> by health crises, geopolitical conflicts, economic insecurity, and climate-related disasters. These disruptions have exposed vulnerabilities in hotel operations, </w:t>
      </w:r>
      <w:r w:rsidR="007314E6">
        <w:t>emphasizing</w:t>
      </w:r>
      <w:r>
        <w:t xml:space="preserve"> the necessity for resilience-focused measures that ensure both short-term continuity and long-term viability. This research paper investigates how hotel companies respond to complex and interconnected hazards by implementing adaptive leadership, flexible business models, and crisis-informed operational planning. The study uses a narrative literature evaluation of academic and industrial sources published between 2018 and 2025 to examine emerging trends and best practices in resilience and crisis management. A PESTLE framework is used to evaluate the political, economic, social, technological, legal, and environmental variables that influence hotel tactics. Case studies include Accor's ALLSAFE initiative, Airbnb's refugee response, and Hilton's ESG-integrated </w:t>
      </w:r>
      <w:r w:rsidR="007314E6">
        <w:t>Light Stay</w:t>
      </w:r>
      <w:r>
        <w:t xml:space="preserve"> platform. The findings show that effective resilience initiatives include preemptive planning, digital innovation, employee support, and open guest communication. However, challenges remain in areas such as cybersecurity, legal liability, and visitor trust. Strategic recommendations are made to industry leaders and future researchers, highlighting the necessity of integrated risk management, cross-sector collaboration, and </w:t>
      </w:r>
      <w:r w:rsidR="007314E6">
        <w:t>behavioral</w:t>
      </w:r>
      <w:r>
        <w:t xml:space="preserve"> insights in navigating future upheavals. The study indicates that resilience is no longer a choice; it is essential to the future of hospitality.</w:t>
      </w:r>
    </w:p>
    <w:p w14:paraId="7A415F8F" w14:textId="77777777" w:rsidR="00EE4D72" w:rsidRDefault="00EE4D72" w:rsidP="00EE4D72">
      <w:r>
        <w:br w:type="page"/>
      </w:r>
    </w:p>
    <w:sdt>
      <w:sdtPr>
        <w:rPr>
          <w:b w:val="0"/>
          <w:bCs w:val="0"/>
          <w:lang w:val="en-US"/>
        </w:rPr>
        <w:id w:val="1758174338"/>
        <w:docPartObj>
          <w:docPartGallery w:val="Table of Contents"/>
          <w:docPartUnique/>
        </w:docPartObj>
      </w:sdtPr>
      <w:sdtEndPr>
        <w:rPr>
          <w:noProof/>
        </w:rPr>
      </w:sdtEndPr>
      <w:sdtContent>
        <w:p w14:paraId="0AF13A44" w14:textId="2AED1F2A" w:rsidR="00EE4D72" w:rsidRDefault="00EE4D72" w:rsidP="00EE4D72">
          <w:pPr>
            <w:pStyle w:val="TOCHeading"/>
          </w:pPr>
          <w:r>
            <w:t>Table of Contents</w:t>
          </w:r>
        </w:p>
        <w:p w14:paraId="2C506923" w14:textId="26A16334" w:rsidR="00572A07" w:rsidRDefault="00EE4D72">
          <w:pPr>
            <w:pStyle w:val="TOC1"/>
            <w:tabs>
              <w:tab w:val="right" w:leader="dot" w:pos="8630"/>
            </w:tabs>
            <w:rPr>
              <w:rFonts w:asciiTheme="minorHAnsi"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198577945" w:history="1">
            <w:r w:rsidR="00572A07" w:rsidRPr="00CE4B0E">
              <w:rPr>
                <w:rStyle w:val="Hyperlink"/>
                <w:noProof/>
              </w:rPr>
              <w:t>Hotel Strategies in Uncertain Times</w:t>
            </w:r>
            <w:r w:rsidR="00572A07">
              <w:rPr>
                <w:noProof/>
                <w:webHidden/>
              </w:rPr>
              <w:tab/>
            </w:r>
            <w:r w:rsidR="00572A07">
              <w:rPr>
                <w:noProof/>
                <w:webHidden/>
              </w:rPr>
              <w:fldChar w:fldCharType="begin"/>
            </w:r>
            <w:r w:rsidR="00572A07">
              <w:rPr>
                <w:noProof/>
                <w:webHidden/>
              </w:rPr>
              <w:instrText xml:space="preserve"> PAGEREF _Toc198577945 \h </w:instrText>
            </w:r>
            <w:r w:rsidR="00572A07">
              <w:rPr>
                <w:noProof/>
                <w:webHidden/>
              </w:rPr>
            </w:r>
            <w:r w:rsidR="00572A07">
              <w:rPr>
                <w:noProof/>
                <w:webHidden/>
              </w:rPr>
              <w:fldChar w:fldCharType="separate"/>
            </w:r>
            <w:r w:rsidR="00572A07">
              <w:rPr>
                <w:noProof/>
                <w:webHidden/>
              </w:rPr>
              <w:t>1</w:t>
            </w:r>
            <w:r w:rsidR="00572A07">
              <w:rPr>
                <w:noProof/>
                <w:webHidden/>
              </w:rPr>
              <w:fldChar w:fldCharType="end"/>
            </w:r>
          </w:hyperlink>
        </w:p>
        <w:p w14:paraId="23DE2BF3" w14:textId="56B3EA5C"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46" w:history="1">
            <w:r w:rsidRPr="00CE4B0E">
              <w:rPr>
                <w:rStyle w:val="Hyperlink"/>
                <w:noProof/>
              </w:rPr>
              <w:t>Introduction</w:t>
            </w:r>
            <w:r>
              <w:rPr>
                <w:noProof/>
                <w:webHidden/>
              </w:rPr>
              <w:tab/>
            </w:r>
            <w:r>
              <w:rPr>
                <w:noProof/>
                <w:webHidden/>
              </w:rPr>
              <w:fldChar w:fldCharType="begin"/>
            </w:r>
            <w:r>
              <w:rPr>
                <w:noProof/>
                <w:webHidden/>
              </w:rPr>
              <w:instrText xml:space="preserve"> PAGEREF _Toc198577946 \h </w:instrText>
            </w:r>
            <w:r>
              <w:rPr>
                <w:noProof/>
                <w:webHidden/>
              </w:rPr>
            </w:r>
            <w:r>
              <w:rPr>
                <w:noProof/>
                <w:webHidden/>
              </w:rPr>
              <w:fldChar w:fldCharType="separate"/>
            </w:r>
            <w:r>
              <w:rPr>
                <w:noProof/>
                <w:webHidden/>
              </w:rPr>
              <w:t>4</w:t>
            </w:r>
            <w:r>
              <w:rPr>
                <w:noProof/>
                <w:webHidden/>
              </w:rPr>
              <w:fldChar w:fldCharType="end"/>
            </w:r>
          </w:hyperlink>
        </w:p>
        <w:p w14:paraId="1D48C0A7" w14:textId="1C635F1A"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47" w:history="1">
            <w:r w:rsidRPr="00CE4B0E">
              <w:rPr>
                <w:rStyle w:val="Hyperlink"/>
                <w:noProof/>
              </w:rPr>
              <w:t>Literature Review</w:t>
            </w:r>
            <w:r>
              <w:rPr>
                <w:noProof/>
                <w:webHidden/>
              </w:rPr>
              <w:tab/>
            </w:r>
            <w:r>
              <w:rPr>
                <w:noProof/>
                <w:webHidden/>
              </w:rPr>
              <w:fldChar w:fldCharType="begin"/>
            </w:r>
            <w:r>
              <w:rPr>
                <w:noProof/>
                <w:webHidden/>
              </w:rPr>
              <w:instrText xml:space="preserve"> PAGEREF _Toc198577947 \h </w:instrText>
            </w:r>
            <w:r>
              <w:rPr>
                <w:noProof/>
                <w:webHidden/>
              </w:rPr>
            </w:r>
            <w:r>
              <w:rPr>
                <w:noProof/>
                <w:webHidden/>
              </w:rPr>
              <w:fldChar w:fldCharType="separate"/>
            </w:r>
            <w:r>
              <w:rPr>
                <w:noProof/>
                <w:webHidden/>
              </w:rPr>
              <w:t>4</w:t>
            </w:r>
            <w:r>
              <w:rPr>
                <w:noProof/>
                <w:webHidden/>
              </w:rPr>
              <w:fldChar w:fldCharType="end"/>
            </w:r>
          </w:hyperlink>
        </w:p>
        <w:p w14:paraId="0B138310" w14:textId="53FF2844"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48" w:history="1">
            <w:r w:rsidRPr="00CE4B0E">
              <w:rPr>
                <w:rStyle w:val="Hyperlink"/>
                <w:noProof/>
              </w:rPr>
              <w:t>Method</w:t>
            </w:r>
            <w:r>
              <w:rPr>
                <w:noProof/>
                <w:webHidden/>
              </w:rPr>
              <w:tab/>
            </w:r>
            <w:r>
              <w:rPr>
                <w:noProof/>
                <w:webHidden/>
              </w:rPr>
              <w:fldChar w:fldCharType="begin"/>
            </w:r>
            <w:r>
              <w:rPr>
                <w:noProof/>
                <w:webHidden/>
              </w:rPr>
              <w:instrText xml:space="preserve"> PAGEREF _Toc198577948 \h </w:instrText>
            </w:r>
            <w:r>
              <w:rPr>
                <w:noProof/>
                <w:webHidden/>
              </w:rPr>
            </w:r>
            <w:r>
              <w:rPr>
                <w:noProof/>
                <w:webHidden/>
              </w:rPr>
              <w:fldChar w:fldCharType="separate"/>
            </w:r>
            <w:r>
              <w:rPr>
                <w:noProof/>
                <w:webHidden/>
              </w:rPr>
              <w:t>7</w:t>
            </w:r>
            <w:r>
              <w:rPr>
                <w:noProof/>
                <w:webHidden/>
              </w:rPr>
              <w:fldChar w:fldCharType="end"/>
            </w:r>
          </w:hyperlink>
        </w:p>
        <w:p w14:paraId="0697BFBA" w14:textId="063E114A"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49" w:history="1">
            <w:r w:rsidRPr="00CE4B0E">
              <w:rPr>
                <w:rStyle w:val="Hyperlink"/>
                <w:noProof/>
              </w:rPr>
              <w:t>Theme Impact Analysis</w:t>
            </w:r>
            <w:r>
              <w:rPr>
                <w:noProof/>
                <w:webHidden/>
              </w:rPr>
              <w:tab/>
            </w:r>
            <w:r>
              <w:rPr>
                <w:noProof/>
                <w:webHidden/>
              </w:rPr>
              <w:fldChar w:fldCharType="begin"/>
            </w:r>
            <w:r>
              <w:rPr>
                <w:noProof/>
                <w:webHidden/>
              </w:rPr>
              <w:instrText xml:space="preserve"> PAGEREF _Toc198577949 \h </w:instrText>
            </w:r>
            <w:r>
              <w:rPr>
                <w:noProof/>
                <w:webHidden/>
              </w:rPr>
            </w:r>
            <w:r>
              <w:rPr>
                <w:noProof/>
                <w:webHidden/>
              </w:rPr>
              <w:fldChar w:fldCharType="separate"/>
            </w:r>
            <w:r>
              <w:rPr>
                <w:noProof/>
                <w:webHidden/>
              </w:rPr>
              <w:t>7</w:t>
            </w:r>
            <w:r>
              <w:rPr>
                <w:noProof/>
                <w:webHidden/>
              </w:rPr>
              <w:fldChar w:fldCharType="end"/>
            </w:r>
          </w:hyperlink>
        </w:p>
        <w:p w14:paraId="06A2FDEB" w14:textId="4F8DB155"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50" w:history="1">
            <w:r w:rsidRPr="00CE4B0E">
              <w:rPr>
                <w:rStyle w:val="Hyperlink"/>
                <w:noProof/>
              </w:rPr>
              <w:t>Conclusion</w:t>
            </w:r>
            <w:r>
              <w:rPr>
                <w:noProof/>
                <w:webHidden/>
              </w:rPr>
              <w:tab/>
            </w:r>
            <w:r>
              <w:rPr>
                <w:noProof/>
                <w:webHidden/>
              </w:rPr>
              <w:fldChar w:fldCharType="begin"/>
            </w:r>
            <w:r>
              <w:rPr>
                <w:noProof/>
                <w:webHidden/>
              </w:rPr>
              <w:instrText xml:space="preserve"> PAGEREF _Toc198577950 \h </w:instrText>
            </w:r>
            <w:r>
              <w:rPr>
                <w:noProof/>
                <w:webHidden/>
              </w:rPr>
            </w:r>
            <w:r>
              <w:rPr>
                <w:noProof/>
                <w:webHidden/>
              </w:rPr>
              <w:fldChar w:fldCharType="separate"/>
            </w:r>
            <w:r>
              <w:rPr>
                <w:noProof/>
                <w:webHidden/>
              </w:rPr>
              <w:t>10</w:t>
            </w:r>
            <w:r>
              <w:rPr>
                <w:noProof/>
                <w:webHidden/>
              </w:rPr>
              <w:fldChar w:fldCharType="end"/>
            </w:r>
          </w:hyperlink>
        </w:p>
        <w:p w14:paraId="35F3CE74" w14:textId="44EE7179"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51" w:history="1">
            <w:r w:rsidRPr="00CE4B0E">
              <w:rPr>
                <w:rStyle w:val="Hyperlink"/>
                <w:noProof/>
              </w:rPr>
              <w:t>Recommendations</w:t>
            </w:r>
            <w:r>
              <w:rPr>
                <w:noProof/>
                <w:webHidden/>
              </w:rPr>
              <w:tab/>
            </w:r>
            <w:r>
              <w:rPr>
                <w:noProof/>
                <w:webHidden/>
              </w:rPr>
              <w:fldChar w:fldCharType="begin"/>
            </w:r>
            <w:r>
              <w:rPr>
                <w:noProof/>
                <w:webHidden/>
              </w:rPr>
              <w:instrText xml:space="preserve"> PAGEREF _Toc198577951 \h </w:instrText>
            </w:r>
            <w:r>
              <w:rPr>
                <w:noProof/>
                <w:webHidden/>
              </w:rPr>
            </w:r>
            <w:r>
              <w:rPr>
                <w:noProof/>
                <w:webHidden/>
              </w:rPr>
              <w:fldChar w:fldCharType="separate"/>
            </w:r>
            <w:r>
              <w:rPr>
                <w:noProof/>
                <w:webHidden/>
              </w:rPr>
              <w:t>11</w:t>
            </w:r>
            <w:r>
              <w:rPr>
                <w:noProof/>
                <w:webHidden/>
              </w:rPr>
              <w:fldChar w:fldCharType="end"/>
            </w:r>
          </w:hyperlink>
        </w:p>
        <w:p w14:paraId="654406D0" w14:textId="37C571A0" w:rsidR="00572A07" w:rsidRDefault="00572A07">
          <w:pPr>
            <w:pStyle w:val="TOC1"/>
            <w:tabs>
              <w:tab w:val="right" w:leader="dot" w:pos="8630"/>
            </w:tabs>
            <w:rPr>
              <w:rFonts w:asciiTheme="minorHAnsi" w:hAnsiTheme="minorHAnsi" w:cstheme="minorBidi"/>
              <w:noProof/>
              <w:kern w:val="2"/>
              <w:lang w:val="en-GB" w:eastAsia="en-GB"/>
              <w14:ligatures w14:val="standardContextual"/>
            </w:rPr>
          </w:pPr>
          <w:hyperlink w:anchor="_Toc198577952" w:history="1">
            <w:r w:rsidRPr="00CE4B0E">
              <w:rPr>
                <w:rStyle w:val="Hyperlink"/>
                <w:noProof/>
              </w:rPr>
              <w:t>References</w:t>
            </w:r>
            <w:r>
              <w:rPr>
                <w:noProof/>
                <w:webHidden/>
              </w:rPr>
              <w:tab/>
            </w:r>
            <w:r>
              <w:rPr>
                <w:noProof/>
                <w:webHidden/>
              </w:rPr>
              <w:fldChar w:fldCharType="begin"/>
            </w:r>
            <w:r>
              <w:rPr>
                <w:noProof/>
                <w:webHidden/>
              </w:rPr>
              <w:instrText xml:space="preserve"> PAGEREF _Toc198577952 \h </w:instrText>
            </w:r>
            <w:r>
              <w:rPr>
                <w:noProof/>
                <w:webHidden/>
              </w:rPr>
            </w:r>
            <w:r>
              <w:rPr>
                <w:noProof/>
                <w:webHidden/>
              </w:rPr>
              <w:fldChar w:fldCharType="separate"/>
            </w:r>
            <w:r>
              <w:rPr>
                <w:noProof/>
                <w:webHidden/>
              </w:rPr>
              <w:t>12</w:t>
            </w:r>
            <w:r>
              <w:rPr>
                <w:noProof/>
                <w:webHidden/>
              </w:rPr>
              <w:fldChar w:fldCharType="end"/>
            </w:r>
          </w:hyperlink>
        </w:p>
        <w:p w14:paraId="635503AA" w14:textId="7DC64F1F" w:rsidR="00EE4D72" w:rsidRDefault="00EE4D72" w:rsidP="00EE4D72">
          <w:r>
            <w:rPr>
              <w:noProof/>
            </w:rPr>
            <w:fldChar w:fldCharType="end"/>
          </w:r>
        </w:p>
      </w:sdtContent>
    </w:sdt>
    <w:p w14:paraId="236C80D3" w14:textId="4EB94E36" w:rsidR="00CC5781" w:rsidRDefault="00CC5781" w:rsidP="00EE4D72"/>
    <w:p w14:paraId="35FA447F" w14:textId="77777777" w:rsidR="00EE4D72" w:rsidRDefault="00EE4D72" w:rsidP="00EE4D72">
      <w:pPr>
        <w:rPr>
          <w:rFonts w:asciiTheme="majorHAnsi" w:eastAsiaTheme="majorEastAsia" w:hAnsiTheme="majorHAnsi" w:cstheme="majorBidi"/>
          <w:color w:val="365F91" w:themeColor="accent1" w:themeShade="BF"/>
          <w:sz w:val="28"/>
          <w:szCs w:val="28"/>
        </w:rPr>
      </w:pPr>
      <w:r>
        <w:br w:type="page"/>
      </w:r>
    </w:p>
    <w:p w14:paraId="385CAD1F" w14:textId="4D4083EE" w:rsidR="00EE4D72" w:rsidRPr="00EE4D72" w:rsidRDefault="00EE4D72" w:rsidP="00EE4D72">
      <w:pPr>
        <w:pStyle w:val="Heading1"/>
      </w:pPr>
      <w:bookmarkStart w:id="1" w:name="_Toc198577946"/>
      <w:r w:rsidRPr="00EE4D72">
        <w:lastRenderedPageBreak/>
        <w:t>Introduction</w:t>
      </w:r>
      <w:bookmarkEnd w:id="1"/>
    </w:p>
    <w:p w14:paraId="3C0CD026" w14:textId="5D46ECB4" w:rsidR="00EE4D72" w:rsidRPr="00EE4D72" w:rsidRDefault="00E941CA" w:rsidP="00EE4D72">
      <w:pPr>
        <w:rPr>
          <w:lang w:val="en-GB"/>
        </w:rPr>
      </w:pPr>
      <w:r>
        <w:rPr>
          <w:lang w:val="en-GB"/>
        </w:rPr>
        <w:t>The hospitality industry has historically been exposed to external shocks because of its reliance on global mobility, stable sociopolitical conditions, and discretionary consumer spending. In recent years, the industry has seen an unparalleled confluence of crises, ranging from the COVID-19 epidemic and the conflict in Ukraine to climate-related calamities and shifting geopolitical relationships. These developments have uncovered structural flaws in hotel operations, emphasising the necessity for resilient, flexible techniques that can maintain performance in an unpredictable environment.</w:t>
      </w:r>
    </w:p>
    <w:p w14:paraId="529A0996" w14:textId="612C23E6" w:rsidR="00EE4D72" w:rsidRPr="00EE4D72" w:rsidRDefault="00E941CA" w:rsidP="00EE4D72">
      <w:pPr>
        <w:rPr>
          <w:lang w:val="en-GB"/>
        </w:rPr>
      </w:pPr>
      <w:r>
        <w:rPr>
          <w:lang w:val="en-GB"/>
        </w:rPr>
        <w:t>In this context, resilience is defined as a hotel's ability to foresee, absorb, and respond to disruptive events while maintaining business continuity and stakeholder trust. Governments, investors, and guests are increasingly demanding crisis preparedness as a core operational capability rather than a reactionary measure. Rising energy costs, employment shortages, and mental health concerns have all put additional pressure on organisations to change their structures, visitor experiences, and staff support systems.</w:t>
      </w:r>
    </w:p>
    <w:p w14:paraId="7A6E99C7" w14:textId="00467530" w:rsidR="00EE4D72" w:rsidRDefault="00E941CA" w:rsidP="00EE4D72">
      <w:pPr>
        <w:rPr>
          <w:lang w:val="en-GB"/>
        </w:rPr>
      </w:pPr>
      <w:r>
        <w:rPr>
          <w:lang w:val="en-GB"/>
        </w:rPr>
        <w:t>This study investigates how hotels are addressing these complex and interconnected difficulties by embracing adaptive leadership, investing in digital transformation, and conducting multi-scenario crisis preparation. It investigates the drivers and implications of uncertainty for the hospitality industry through a narrative literature review and PESTLE analysis. The report finishes with strategic recommendations for future-proofing hotel operations and outlining priority areas for more research.</w:t>
      </w:r>
    </w:p>
    <w:p w14:paraId="19E36A72" w14:textId="77777777" w:rsidR="00EE4D72" w:rsidRDefault="00EE4D72" w:rsidP="00EE4D72">
      <w:pPr>
        <w:rPr>
          <w:lang w:val="en-GB"/>
        </w:rPr>
      </w:pPr>
    </w:p>
    <w:p w14:paraId="5ED00457" w14:textId="77777777" w:rsidR="00EE4D72" w:rsidRPr="00EE4D72" w:rsidRDefault="00EE4D72" w:rsidP="00EE4D72">
      <w:pPr>
        <w:pStyle w:val="Heading1"/>
      </w:pPr>
      <w:bookmarkStart w:id="2" w:name="_Toc198577947"/>
      <w:r w:rsidRPr="00EE4D72">
        <w:t>Literature Review</w:t>
      </w:r>
      <w:bookmarkEnd w:id="2"/>
    </w:p>
    <w:p w14:paraId="6D43666D" w14:textId="16A5A6AB" w:rsidR="00EE4D72" w:rsidRPr="00EE4D72" w:rsidRDefault="00E941CA" w:rsidP="00EE4D72">
      <w:pPr>
        <w:rPr>
          <w:lang w:val="en-GB"/>
        </w:rPr>
      </w:pPr>
      <w:r>
        <w:rPr>
          <w:lang w:val="en-GB"/>
        </w:rPr>
        <w:t xml:space="preserve">The hospitality business is extremely vulnerable to global disruptions due to its reliance on international mobility, discretionary expenditure, and supply chain coordination. As a result, the concept of organisational resilience has become increasingly important. Resilience in hospitality is defined as a company's ability to foresee, absorb, adapt to, and recover from bad occurrences while ensuring operational and service continuity (Duchek, 2020). Organisational resilience goes beyond simply survival to include proactive </w:t>
      </w:r>
      <w:r>
        <w:rPr>
          <w:lang w:val="en-GB"/>
        </w:rPr>
        <w:lastRenderedPageBreak/>
        <w:t>adaptation and learning that improve long-term competitiveness (</w:t>
      </w:r>
      <w:proofErr w:type="spellStart"/>
      <w:r>
        <w:rPr>
          <w:lang w:val="en-GB"/>
        </w:rPr>
        <w:t>Linnenluecke</w:t>
      </w:r>
      <w:proofErr w:type="spellEnd"/>
      <w:r>
        <w:rPr>
          <w:lang w:val="en-GB"/>
        </w:rPr>
        <w:t>, 2017). In the area of hospitality, this entails not only structural readiness but also adaptability in leadership, communication, and innovation strategies.</w:t>
      </w:r>
    </w:p>
    <w:p w14:paraId="4DBD6838" w14:textId="7D46E63D" w:rsidR="00EE4D72" w:rsidRPr="00E941CA" w:rsidRDefault="00E941CA" w:rsidP="00EE4D72">
      <w:pPr>
        <w:rPr>
          <w:lang w:val="en-GB"/>
        </w:rPr>
      </w:pPr>
      <w:r>
        <w:rPr>
          <w:lang w:val="en-GB"/>
        </w:rPr>
        <w:t>Crisis response models in the hospitality literature often follow a three-part structure: prevention, response, and rehabilitation. Faulkner (2001) created a basic tourist crisis management model that was later refined for hotel operations, arguing that resilience is best fostered through integrated planning, stakeholder cooperation, and scenario testing. During the COVID-19 pandemic, hotels having contingency plans—such as digital guest services or multi-channel communication systems—responded more efficiently than those without (Baum and Hai, 2020). Recovery periods frequently necessitate reputation restoration, policy changes, and retraining employees to perform in post-crisis environments.</w:t>
      </w:r>
    </w:p>
    <w:p w14:paraId="765419A9" w14:textId="0D43F559" w:rsidR="00EE4D72" w:rsidRPr="00EE4D72" w:rsidRDefault="00E941CA" w:rsidP="00EE4D72">
      <w:pPr>
        <w:rPr>
          <w:lang w:val="en-GB"/>
        </w:rPr>
      </w:pPr>
      <w:r>
        <w:rPr>
          <w:lang w:val="en-GB"/>
        </w:rPr>
        <w:t>Global crises—whether health-related, geopolitical, or environmental—have continually affected hospitality demand, workforce availability, and operational stability. COVID-19 caused an estimated $4.5 trillion loss in global tourism GDP in 2020 alone (UNWTO, 2021), causing unprecedented shutdowns, furloughs, and repurposing of hotel assets (e.g., quarantine centres). Geopolitical tensions, such as the Ukraine-Russia conflict, have disrupted tourism flows across Europe, shifted booking trends, and resulted in safety-related cancellations, particularly in border regions (WTTC, 2023). Climate-related calamities, such as the California wildfires in 2025 and the earthquakes in Myanmar and New Zealand, have highlighted the susceptibility of location-based services to rapid environmental changes. These escalating issues have exposed deficiencies in hotel catastrophe preparedness, insurance coverage, and crisis communication protocols.</w:t>
      </w:r>
    </w:p>
    <w:p w14:paraId="4DF2A67F" w14:textId="4B44E86C" w:rsidR="00EE4D72" w:rsidRPr="00E941CA" w:rsidRDefault="00E941CA" w:rsidP="00EE4D72">
      <w:pPr>
        <w:rPr>
          <w:lang w:val="en-GB"/>
        </w:rPr>
      </w:pPr>
      <w:r w:rsidRPr="00E941CA">
        <w:rPr>
          <w:lang w:val="en-GB"/>
        </w:rPr>
        <w:t xml:space="preserve">Adaptive leadership and agile communication have emerged as essential skills for hospitality businesses managing tumultuous situations. Adaptive leaders have emotional intelligence, make quick decisions, and can balance short-term crisis management with long-term recovery planning (Heifetz et al., 2009). In the hospitality industry, this has meant empowering frontline managers, decentralising control, and keeping open lines of communication between teams and with guests. Clear, sympathetic messaging during crises increases stakeholder trust and reduces reputational damage (Ritchie and Jiang, </w:t>
      </w:r>
      <w:r w:rsidRPr="00E941CA">
        <w:rPr>
          <w:lang w:val="en-GB"/>
        </w:rPr>
        <w:lastRenderedPageBreak/>
        <w:t>2019). Mobile apps, social media, and CRM systems have all become increasingly important for disseminating health protocols, service modifications, and safety updates in real time.</w:t>
      </w:r>
    </w:p>
    <w:p w14:paraId="70EA46FA" w14:textId="1221A694" w:rsidR="00EE4D72" w:rsidRPr="00EE4D72" w:rsidRDefault="00E941CA" w:rsidP="00EE4D72">
      <w:pPr>
        <w:rPr>
          <w:lang w:val="en-GB"/>
        </w:rPr>
      </w:pPr>
      <w:r>
        <w:rPr>
          <w:lang w:val="en-GB"/>
        </w:rPr>
        <w:t>Several worldwide hotel chains offer as case studies for resilient strategy implementation. During the COVID-19 pandemic, Marriott International devised a global crisis response plan that included expanded hygiene training, flexible booking procedures, and the "Commitment to Clean" program, which was created in collaboration with health professionals (Marriott, 2020). Accor partnered with Bureau Veritas to launch its "ALLSAFE" badge, which ensures high cleanliness standards across properties while also introducing remote check-in technologies and contactless services (Accor, 2021). These businesses also modified their operating models by providing quarantine packages, converting assets into vaccination centres, and investing in employee mental health support.</w:t>
      </w:r>
    </w:p>
    <w:p w14:paraId="0D0AC81C" w14:textId="77777777" w:rsidR="00E941CA" w:rsidRDefault="00E941CA" w:rsidP="00EE4D72">
      <w:pPr>
        <w:rPr>
          <w:lang w:val="en-GB"/>
        </w:rPr>
      </w:pPr>
      <w:r>
        <w:rPr>
          <w:lang w:val="en-GB"/>
        </w:rPr>
        <w:t>Despite these advancements, the literature identifies substantial hurdles to operational resilience. Supply chain disruptions, exacerbated by conflict, pandemics, and inflation, have reduced availability of vital items and food supplies, resulting in service inconsistencies and higher costs (</w:t>
      </w:r>
      <w:proofErr w:type="spellStart"/>
      <w:r>
        <w:rPr>
          <w:lang w:val="en-GB"/>
        </w:rPr>
        <w:t>Gössling</w:t>
      </w:r>
      <w:proofErr w:type="spellEnd"/>
      <w:r>
        <w:rPr>
          <w:lang w:val="en-GB"/>
        </w:rPr>
        <w:t xml:space="preserve"> et al., 2021). Staff burnout has risen as a result of manpower shortages, increasing emotional labour, and job insecurity. Employees have reported low morale and engagement, resulting in retention issues across the sector (Baum, Mooney, and Robinson, 2020). Concurrently, consumer fear and evolving habits have increased pressure on hotels to provide high-touch service in a low-touch environment. Guests increasingly anticipate greater flexibility, visible safety precautions, and seamless digital interactions, necessitating continuing investment in technology and training.</w:t>
      </w:r>
    </w:p>
    <w:p w14:paraId="7E6E0C04" w14:textId="5F8DD225" w:rsidR="00EE4D72" w:rsidRDefault="00E941CA" w:rsidP="00EE4D72">
      <w:pPr>
        <w:rPr>
          <w:lang w:val="en-GB"/>
        </w:rPr>
      </w:pPr>
      <w:r>
        <w:rPr>
          <w:lang w:val="en-GB"/>
        </w:rPr>
        <w:t>To summarise, resilience in the hospitality industry is based not only on systems and regulations, but also on leadership, culture, and stakeholder trust. The literature clearly states that future-proofing hotels necessitates an adaptive mindset—one that accepts uncertainty as a constant and designs systems that can evolve alongside it.</w:t>
      </w:r>
    </w:p>
    <w:p w14:paraId="4F04299A" w14:textId="77777777" w:rsidR="00EE4D72" w:rsidRDefault="00EE4D72" w:rsidP="00EE4D72">
      <w:pPr>
        <w:rPr>
          <w:lang w:val="en-GB"/>
        </w:rPr>
      </w:pPr>
    </w:p>
    <w:p w14:paraId="2BE2E64E" w14:textId="77777777" w:rsidR="00EE4D72" w:rsidRPr="00EE4D72" w:rsidRDefault="00EE4D72" w:rsidP="00EE4D72">
      <w:pPr>
        <w:pStyle w:val="Heading1"/>
      </w:pPr>
      <w:bookmarkStart w:id="3" w:name="_Toc198577948"/>
      <w:r w:rsidRPr="00EE4D72">
        <w:lastRenderedPageBreak/>
        <w:t>Method</w:t>
      </w:r>
      <w:bookmarkEnd w:id="3"/>
    </w:p>
    <w:p w14:paraId="5552CE20" w14:textId="77777777" w:rsidR="00E941CA" w:rsidRDefault="00E941CA" w:rsidP="00EE4D72">
      <w:pPr>
        <w:rPr>
          <w:lang w:val="en-GB"/>
        </w:rPr>
      </w:pPr>
      <w:r>
        <w:rPr>
          <w:lang w:val="en-GB"/>
        </w:rPr>
        <w:t>This study uses a narrative literature review approach to investigate strategic hotel responses to crises and uncertainties. The narrative method allows for a flexible, interpretive synthesis of existing knowledge from several disciplines, resulting in a more comprehensive understanding of how hospitality businesses build resilience in the face of change.</w:t>
      </w:r>
    </w:p>
    <w:p w14:paraId="28717EE9" w14:textId="3EFEC351" w:rsidR="00EE4D72" w:rsidRPr="00EE4D72" w:rsidRDefault="00E941CA" w:rsidP="00EE4D72">
      <w:pPr>
        <w:rPr>
          <w:lang w:val="en-GB"/>
        </w:rPr>
      </w:pPr>
      <w:r>
        <w:rPr>
          <w:lang w:val="en-GB"/>
        </w:rPr>
        <w:t>To ensure relevance and timeliness, sources were selected from academic journal articles, industry whitepapers, and institutional reports published between 2018 and 2025. Peer-reviewed literature was accessed through databases such as Scopus, Google Scholar, and ScienceDirect, while practitioner inputs were gathered from organisations such as the United Nations World Tourism Organisation (UNWTO) and the World Travel &amp; Tourism Council (WTTC). Relevance to crisis management, organisational resilience, and adaptive techniques within the hotel or tourism industry were among the selection criteria.</w:t>
      </w:r>
    </w:p>
    <w:p w14:paraId="2E786A66" w14:textId="7F3FD435" w:rsidR="00EE4D72" w:rsidRDefault="00E941CA" w:rsidP="00EE4D72">
      <w:pPr>
        <w:rPr>
          <w:lang w:val="en-GB"/>
        </w:rPr>
      </w:pPr>
      <w:r>
        <w:rPr>
          <w:lang w:val="en-GB"/>
        </w:rPr>
        <w:t>A thematic analysis was undertaken using resilience theory and the PESTLE framework to find common strategic responses, difficulties, and adaptation patterns. Case studies from industry leaders such as Marriott, Accor, and Hilton were used to help triangulate conclusions and ground the research in real examples. This dual lens of theoretical and empirical analysis improves the study's ability to provide useful insights on resilience-building in a turbulent global context.</w:t>
      </w:r>
    </w:p>
    <w:p w14:paraId="2398006A" w14:textId="77777777" w:rsidR="00EE4D72" w:rsidRPr="00EE4D72" w:rsidRDefault="00EE4D72" w:rsidP="00EE4D72">
      <w:pPr>
        <w:rPr>
          <w:lang w:val="en-GB"/>
        </w:rPr>
      </w:pPr>
    </w:p>
    <w:p w14:paraId="08C0FFAE" w14:textId="77777777" w:rsidR="00EE4D72" w:rsidRPr="00EE4D72" w:rsidRDefault="00EE4D72" w:rsidP="00EE4D72">
      <w:pPr>
        <w:pStyle w:val="Heading1"/>
      </w:pPr>
      <w:bookmarkStart w:id="4" w:name="_Toc198577949"/>
      <w:r w:rsidRPr="00EE4D72">
        <w:t>Theme Impact Analysis</w:t>
      </w:r>
      <w:bookmarkEnd w:id="4"/>
    </w:p>
    <w:p w14:paraId="6F1D5C6C" w14:textId="77777777" w:rsidR="00EE4D72" w:rsidRPr="00EE4D72" w:rsidRDefault="00EE4D72" w:rsidP="00EE4D72">
      <w:pPr>
        <w:rPr>
          <w:b/>
          <w:bCs/>
          <w:i/>
          <w:iCs/>
          <w:lang w:val="en-GB"/>
        </w:rPr>
      </w:pPr>
      <w:r w:rsidRPr="00EE4D72">
        <w:rPr>
          <w:b/>
          <w:bCs/>
          <w:i/>
          <w:iCs/>
          <w:lang w:val="en-GB"/>
        </w:rPr>
        <w:t>Political Factors</w:t>
      </w:r>
    </w:p>
    <w:p w14:paraId="546F8D80" w14:textId="79C8F506" w:rsidR="00EE4D72" w:rsidRPr="00EE4D72" w:rsidRDefault="00E941CA" w:rsidP="00EE4D72">
      <w:pPr>
        <w:rPr>
          <w:lang w:val="en-GB"/>
        </w:rPr>
      </w:pPr>
      <w:r>
        <w:rPr>
          <w:lang w:val="en-GB"/>
        </w:rPr>
        <w:t xml:space="preserve">The political landscape has a significant impact on hotels' operational resilience. Geopolitical instability, such as the continuing Ukraine-Russia war and Middle Eastern tensions, have had a direct impact on international travel patterns, resulting in changing booking trends, destination avoidance, and security concerns (WTTC, 2023). Hotels in affected areas have seen substantial declines in occupancy, whilst those in neighbouring </w:t>
      </w:r>
      <w:r>
        <w:rPr>
          <w:lang w:val="en-GB"/>
        </w:rPr>
        <w:lastRenderedPageBreak/>
        <w:t>countries have seen rises in short-term demand from displaced people and aid organisations. For example, Airbnb's Ukraine relief program, established in collaboration with NGOs, provided free nights for refugees and humanitarian workers, showcasing how hospitality businesses may balance crisis reaction with social responsibility (Airbnb, 2022).</w:t>
      </w:r>
    </w:p>
    <w:p w14:paraId="5694417D" w14:textId="4DF06268" w:rsidR="00EE4D72" w:rsidRPr="00E941CA" w:rsidRDefault="00E941CA" w:rsidP="00EE4D72">
      <w:pPr>
        <w:rPr>
          <w:lang w:val="en-GB"/>
        </w:rPr>
      </w:pPr>
      <w:r>
        <w:rPr>
          <w:lang w:val="en-GB"/>
        </w:rPr>
        <w:t>Travel restrictions and border closures during the COVID-19 epidemic highlighted the risks of hotels that rely on international tourism. Visa regulations, quarantine mandates, and fast regulatory changes hampered company continuity, pushing hotels to adjust their marketing strategy for domestic markets and short-stay sectors. Political uncertainty has also had an impact on labour mobility and staffing levels, particularly in countries that rely on migrant workers.</w:t>
      </w:r>
    </w:p>
    <w:p w14:paraId="10A13806" w14:textId="77777777" w:rsidR="00EE4D72" w:rsidRPr="00EE4D72" w:rsidRDefault="00EE4D72" w:rsidP="00EE4D72">
      <w:pPr>
        <w:rPr>
          <w:b/>
          <w:bCs/>
          <w:i/>
          <w:iCs/>
          <w:lang w:val="en-GB"/>
        </w:rPr>
      </w:pPr>
      <w:r w:rsidRPr="00EE4D72">
        <w:rPr>
          <w:b/>
          <w:bCs/>
          <w:i/>
          <w:iCs/>
          <w:lang w:val="en-GB"/>
        </w:rPr>
        <w:t>Economic Factors</w:t>
      </w:r>
    </w:p>
    <w:p w14:paraId="13EEE8F7" w14:textId="74C21747" w:rsidR="00EE4D72" w:rsidRPr="00EE4D72" w:rsidRDefault="00E941CA" w:rsidP="00EE4D72">
      <w:pPr>
        <w:rPr>
          <w:lang w:val="en-GB"/>
        </w:rPr>
      </w:pPr>
      <w:r>
        <w:rPr>
          <w:lang w:val="en-GB"/>
        </w:rPr>
        <w:t>Inflation, rising energy prices, and the danger of a recession have increased economic pressures on the worldwide hotel business. Supply chain disruptions, currency volatility, and higher operating costs have reduced profit margins in numerous hospitality categories. In response, hotels have had to implement cost-cutting tactics, diversify revenue streams (e.g., co-working spaces, long-stay packages), and renegotiate supplier contracts (</w:t>
      </w:r>
      <w:proofErr w:type="spellStart"/>
      <w:r>
        <w:rPr>
          <w:lang w:val="en-GB"/>
        </w:rPr>
        <w:t>Gössling</w:t>
      </w:r>
      <w:proofErr w:type="spellEnd"/>
      <w:r>
        <w:rPr>
          <w:lang w:val="en-GB"/>
        </w:rPr>
        <w:t xml:space="preserve"> et al., 2021).</w:t>
      </w:r>
    </w:p>
    <w:p w14:paraId="4F6C1AB4" w14:textId="1921F742" w:rsidR="00EE4D72" w:rsidRPr="00EE4D72" w:rsidRDefault="00E941CA" w:rsidP="00EE4D72">
      <w:pPr>
        <w:rPr>
          <w:lang w:val="en-GB"/>
        </w:rPr>
      </w:pPr>
      <w:r>
        <w:rPr>
          <w:lang w:val="en-GB"/>
        </w:rPr>
        <w:t xml:space="preserve">The energy crisis that resulted from geopolitical strife and post-pandemic supply constraints has put a pressure on hotels with high consumption patterns. Properties that have previously invested in energy-efficient infrastructure, such as Hilton's use of LED lighting and HVAC optimisation through its </w:t>
      </w:r>
      <w:proofErr w:type="spellStart"/>
      <w:r>
        <w:rPr>
          <w:lang w:val="en-GB"/>
        </w:rPr>
        <w:t>LightStay</w:t>
      </w:r>
      <w:proofErr w:type="spellEnd"/>
      <w:r>
        <w:rPr>
          <w:lang w:val="en-GB"/>
        </w:rPr>
        <w:t xml:space="preserve"> platform, were better able to withstand shocks (Hilton, 2023). In contrast, independent or smaller chains frequently lacked the money to adapt or insulate against rising electricity costs, emphasising the sector's resilience gap.</w:t>
      </w:r>
    </w:p>
    <w:p w14:paraId="01495678" w14:textId="77777777" w:rsidR="00EE4D72" w:rsidRPr="00EE4D72" w:rsidRDefault="00EE4D72" w:rsidP="00EE4D72">
      <w:pPr>
        <w:rPr>
          <w:b/>
          <w:bCs/>
          <w:i/>
          <w:iCs/>
          <w:lang w:val="en-GB"/>
        </w:rPr>
      </w:pPr>
      <w:r w:rsidRPr="00EE4D72">
        <w:rPr>
          <w:b/>
          <w:bCs/>
          <w:i/>
          <w:iCs/>
          <w:lang w:val="en-GB"/>
        </w:rPr>
        <w:t>Social Factors</w:t>
      </w:r>
    </w:p>
    <w:p w14:paraId="1E2B7BF1" w14:textId="77777777" w:rsidR="00E941CA" w:rsidRDefault="00E941CA" w:rsidP="00EE4D72">
      <w:pPr>
        <w:rPr>
          <w:lang w:val="en-GB"/>
        </w:rPr>
      </w:pPr>
      <w:r>
        <w:rPr>
          <w:lang w:val="en-GB"/>
        </w:rPr>
        <w:t xml:space="preserve">Consumer behaviour in the hospitality industry has experienced significant changes. Post-COVID travellers now value health, safety, flexibility, and brand trust over price </w:t>
      </w:r>
      <w:r>
        <w:rPr>
          <w:lang w:val="en-GB"/>
        </w:rPr>
        <w:lastRenderedPageBreak/>
        <w:t>alone (Ritchie and Jiang, 2019). Hotels have responded with improved sanitary measures, contactless check-ins, and clear cancellation policies. Accor's ALLSAFE label, created in conjunction with Bureau Veritas, has become a standard for reassuring visitors during times of uncertainty (Accor, 2021).</w:t>
      </w:r>
    </w:p>
    <w:p w14:paraId="469FA192" w14:textId="4CE45A22" w:rsidR="00CC5781" w:rsidRPr="00EE4D72" w:rsidRDefault="00E941CA" w:rsidP="00EE4D72">
      <w:pPr>
        <w:rPr>
          <w:lang w:val="en-GB"/>
        </w:rPr>
      </w:pPr>
      <w:r>
        <w:rPr>
          <w:lang w:val="en-GB"/>
        </w:rPr>
        <w:t>In addition, there is a growing emphasis on mental well-being and purposeful travel. Guests desire meaningful experiences, ethical brands, and emotional safety, driving hotels to adjust their service delivery and marketing methods accordingly.</w:t>
      </w:r>
    </w:p>
    <w:p w14:paraId="6941C5DE" w14:textId="77777777" w:rsidR="00EE4D72" w:rsidRPr="00E941CA" w:rsidRDefault="00EE4D72" w:rsidP="00EE4D72">
      <w:pPr>
        <w:rPr>
          <w:b/>
          <w:bCs/>
          <w:i/>
          <w:iCs/>
          <w:lang w:val="en-GB"/>
        </w:rPr>
      </w:pPr>
      <w:r w:rsidRPr="00E941CA">
        <w:rPr>
          <w:b/>
          <w:bCs/>
          <w:i/>
          <w:iCs/>
          <w:lang w:val="en-GB"/>
        </w:rPr>
        <w:t>Technological Factors</w:t>
      </w:r>
    </w:p>
    <w:p w14:paraId="1B50D7CD" w14:textId="51756A41" w:rsidR="00EE4D72" w:rsidRPr="00EE4D72" w:rsidRDefault="00E941CA" w:rsidP="00EE4D72">
      <w:pPr>
        <w:rPr>
          <w:lang w:val="en-GB"/>
        </w:rPr>
      </w:pPr>
      <w:r>
        <w:rPr>
          <w:lang w:val="en-GB"/>
        </w:rPr>
        <w:t>Technology has played a critical role in allowing hotels to respond to crises and establish long-term resilience. During the COVID-19 epidemic, visitors wanted low-touch, high-comfort experiences, resulting in a considerable increase in the adoption of contactless technologies such as mobile check-in/check-out, digital key cards, voice-controlled hotel amenities, and AI-enabled customer support. These advances not only improved safety, but also optimised labour use in response to severe workforce shortages.</w:t>
      </w:r>
    </w:p>
    <w:p w14:paraId="07739A82" w14:textId="77D2D9AB" w:rsidR="00EE4D72" w:rsidRPr="00E941CA" w:rsidRDefault="00572A07" w:rsidP="00EE4D72">
      <w:pPr>
        <w:rPr>
          <w:lang w:val="en-GB"/>
        </w:rPr>
      </w:pPr>
      <w:r>
        <w:rPr>
          <w:lang w:val="en-GB"/>
        </w:rPr>
        <w:t>Automation and cloud-based property management systems (PMS) have helped to ensure continuity during crises by enabling remote operations, dynamic pricing, and real-time communication. However, the growing reliance on digital platforms has heightened cybersecurity vulnerabilities. High-profile data breaches in the hospitality industry (e.g., Marriott in 2020) have emphasised the critical need for hotels to invest in strong IT infrastructure, staff training, and data protection compliance (</w:t>
      </w:r>
      <w:proofErr w:type="spellStart"/>
      <w:r>
        <w:rPr>
          <w:lang w:val="en-GB"/>
        </w:rPr>
        <w:t>Racherla</w:t>
      </w:r>
      <w:proofErr w:type="spellEnd"/>
      <w:r>
        <w:rPr>
          <w:lang w:val="en-GB"/>
        </w:rPr>
        <w:t xml:space="preserve"> and Hu, 2022).</w:t>
      </w:r>
    </w:p>
    <w:p w14:paraId="78FB2831" w14:textId="77777777" w:rsidR="00EE4D72" w:rsidRPr="00E941CA" w:rsidRDefault="00EE4D72" w:rsidP="00EE4D72">
      <w:pPr>
        <w:rPr>
          <w:b/>
          <w:bCs/>
          <w:i/>
          <w:iCs/>
          <w:lang w:val="en-GB"/>
        </w:rPr>
      </w:pPr>
      <w:r w:rsidRPr="00E941CA">
        <w:rPr>
          <w:b/>
          <w:bCs/>
          <w:i/>
          <w:iCs/>
          <w:lang w:val="en-GB"/>
        </w:rPr>
        <w:t>Legal Factors</w:t>
      </w:r>
    </w:p>
    <w:p w14:paraId="26AC6DA9" w14:textId="77777777" w:rsidR="00572A07" w:rsidRDefault="00572A07" w:rsidP="00EE4D72">
      <w:pPr>
        <w:rPr>
          <w:lang w:val="en-GB"/>
        </w:rPr>
      </w:pPr>
      <w:r>
        <w:rPr>
          <w:lang w:val="en-GB"/>
        </w:rPr>
        <w:t>Crisis situations have highlighted the necessity of legal preparation in hotel management. During the COVID-19 epidemic, disagreements about cancellation policies, liability releases, and refund rights highlighted the fragility of guest confidence and the inadequacy of existing terms and conditions. In response, hotel companies such as Marriott and Hilton updated their contractual frameworks to incorporate more flexibility, clearer force majeure terms, and increased refund eligibility (Marriott, 2020).</w:t>
      </w:r>
    </w:p>
    <w:p w14:paraId="37F37B6B" w14:textId="4E8A0BF3" w:rsidR="00EE4D72" w:rsidRPr="00EE4D72" w:rsidRDefault="00572A07" w:rsidP="00EE4D72">
      <w:pPr>
        <w:rPr>
          <w:lang w:val="en-GB"/>
        </w:rPr>
      </w:pPr>
      <w:r>
        <w:rPr>
          <w:lang w:val="en-GB"/>
        </w:rPr>
        <w:lastRenderedPageBreak/>
        <w:t>Public health demands, such as immunisation requirements and occupancy restrictions, required immediate legal compliance and internal policy modifications. These concerns highlight the significance of conducting dynamic legal risk assessments and collaborating with operational teams and legal consultants to assure compliance, reduce litigation, and protect brand reputation.</w:t>
      </w:r>
    </w:p>
    <w:p w14:paraId="12D29323" w14:textId="77777777" w:rsidR="00EE4D72" w:rsidRPr="00E941CA" w:rsidRDefault="00EE4D72" w:rsidP="00EE4D72">
      <w:pPr>
        <w:rPr>
          <w:b/>
          <w:bCs/>
          <w:i/>
          <w:iCs/>
          <w:lang w:val="en-GB"/>
        </w:rPr>
      </w:pPr>
      <w:r w:rsidRPr="00E941CA">
        <w:rPr>
          <w:b/>
          <w:bCs/>
          <w:i/>
          <w:iCs/>
          <w:lang w:val="en-GB"/>
        </w:rPr>
        <w:t>Environmental Factors</w:t>
      </w:r>
    </w:p>
    <w:p w14:paraId="33636255" w14:textId="61CCA153" w:rsidR="00EE4D72" w:rsidRPr="00EE4D72" w:rsidRDefault="00572A07" w:rsidP="00EE4D72">
      <w:pPr>
        <w:rPr>
          <w:lang w:val="en-GB"/>
        </w:rPr>
      </w:pPr>
      <w:r>
        <w:rPr>
          <w:lang w:val="en-GB"/>
        </w:rPr>
        <w:t>As climate-related disasters become more often and severe, the environmental aspect of crisis management has risen to the top of hospitality strategy. Wildfires in California in 2025, as well as earthquakes in Myanmar and New Zealand, have affected tourism businesses, damaged infrastructure, and resulted in large-scale cancellations. Hotels in high-risk areas must now integrate disaster preparedness protocols, structural reinforcements, and emergency evacuation plans into their operational models (UNEP, 2022).</w:t>
      </w:r>
    </w:p>
    <w:p w14:paraId="6023FEE4" w14:textId="7E33C94E" w:rsidR="00EE4D72" w:rsidRDefault="00572A07" w:rsidP="00EE4D72">
      <w:pPr>
        <w:rPr>
          <w:lang w:val="en-GB"/>
        </w:rPr>
      </w:pPr>
      <w:r>
        <w:rPr>
          <w:lang w:val="en-GB"/>
        </w:rPr>
        <w:t>Insurance markets have also responded by raising premiums or limiting coverage in disaster-prone areas, forcing hotels to self-insure or invest in resilience infrastructure. Leading brands such as Six Senses use sustainable building and regenerative landscaping to reduce climate risks, demonstrating how environmental resilience may be linked to long-term brand value (Greenview, 2022).</w:t>
      </w:r>
    </w:p>
    <w:p w14:paraId="723BC846" w14:textId="77777777" w:rsidR="00E941CA" w:rsidRDefault="00E941CA" w:rsidP="00EE4D72">
      <w:pPr>
        <w:rPr>
          <w:lang w:val="en-GB"/>
        </w:rPr>
      </w:pPr>
    </w:p>
    <w:p w14:paraId="305585A5" w14:textId="77777777" w:rsidR="00E941CA" w:rsidRPr="00E941CA" w:rsidRDefault="00E941CA" w:rsidP="00572A07">
      <w:pPr>
        <w:pStyle w:val="Heading1"/>
      </w:pPr>
      <w:bookmarkStart w:id="5" w:name="_Toc198577950"/>
      <w:r w:rsidRPr="00E941CA">
        <w:t>Conclusion</w:t>
      </w:r>
      <w:bookmarkEnd w:id="5"/>
    </w:p>
    <w:p w14:paraId="78DC8027" w14:textId="09D27914" w:rsidR="00E941CA" w:rsidRPr="00E941CA" w:rsidRDefault="00572A07" w:rsidP="00EE4D72">
      <w:pPr>
        <w:rPr>
          <w:lang w:val="en-GB"/>
        </w:rPr>
      </w:pPr>
      <w:r>
        <w:rPr>
          <w:lang w:val="en-GB"/>
        </w:rPr>
        <w:t xml:space="preserve">In an increasingly turbulent global market, resilience has emerged as a strategic necessity for the hotel business. As geopolitical conflicts, climatic disasters, and health crises continue to disrupt operations, hotels must implement adaptive models that prioritise flexibility, stakeholder trust, and long-term sustainability. This article demonstrates that resilient strategies, based on proactive leadership, technological innovation, and cross-sector collaboration, enable hotels to not only survive but also thrive in the face of upheaval. To assure future preparation, resilience must be built into all aspects of hotel </w:t>
      </w:r>
      <w:r>
        <w:rPr>
          <w:lang w:val="en-GB"/>
        </w:rPr>
        <w:lastRenderedPageBreak/>
        <w:t>management, from crisis planning and communication to regulatory compliance and environmental stewardship.</w:t>
      </w:r>
    </w:p>
    <w:p w14:paraId="06BAF260" w14:textId="77777777" w:rsidR="00EE4D72" w:rsidRDefault="00EE4D72" w:rsidP="00EE4D72"/>
    <w:p w14:paraId="3ADEC2E8" w14:textId="7D8183C1" w:rsidR="00EE4D72" w:rsidRPr="00EE4D72" w:rsidRDefault="00EE4D72" w:rsidP="00E941CA">
      <w:pPr>
        <w:pStyle w:val="Heading1"/>
      </w:pPr>
      <w:bookmarkStart w:id="6" w:name="_Toc198577951"/>
      <w:r w:rsidRPr="00EE4D72">
        <w:t>Recommendations</w:t>
      </w:r>
      <w:bookmarkEnd w:id="6"/>
    </w:p>
    <w:p w14:paraId="0EE8076A" w14:textId="77777777" w:rsidR="00EE4D72" w:rsidRPr="00572A07" w:rsidRDefault="00EE4D72" w:rsidP="00EE4D72">
      <w:pPr>
        <w:rPr>
          <w:b/>
          <w:bCs/>
          <w:i/>
          <w:iCs/>
          <w:lang w:val="en-GB"/>
        </w:rPr>
      </w:pPr>
      <w:r w:rsidRPr="00572A07">
        <w:rPr>
          <w:b/>
          <w:bCs/>
          <w:i/>
          <w:iCs/>
          <w:lang w:val="en-GB"/>
        </w:rPr>
        <w:t>For Industry Leaders</w:t>
      </w:r>
    </w:p>
    <w:p w14:paraId="036C8E4A" w14:textId="77777777" w:rsidR="00572A07" w:rsidRDefault="00572A07" w:rsidP="00EE4D72">
      <w:pPr>
        <w:rPr>
          <w:lang w:val="en-GB"/>
        </w:rPr>
      </w:pPr>
      <w:r>
        <w:rPr>
          <w:lang w:val="en-GB"/>
        </w:rPr>
        <w:t>Hotels must have a multi-layered crisis management approach to increase resilience and ensure long-term recovery during difficult times. First, it is critical to create dynamic crisis response frameworks that go beyond pandemic preparedness. These should include scenario-based training, clear escalation methods, and adaptable standard operating procedures that enable properties to respond swiftly to unexpected threats like natural disasters, political instability, or cyberattacks.</w:t>
      </w:r>
    </w:p>
    <w:p w14:paraId="6EA92298" w14:textId="35986720" w:rsidR="00EE4D72" w:rsidRPr="00EE4D72" w:rsidRDefault="00572A07" w:rsidP="00EE4D72">
      <w:pPr>
        <w:rPr>
          <w:lang w:val="en-GB"/>
        </w:rPr>
      </w:pPr>
      <w:r>
        <w:rPr>
          <w:lang w:val="en-GB"/>
        </w:rPr>
        <w:t>Second, hoteliers should diversify their revenue streams and markets to lessen reliance on international travel. Promotion of domestic tourism, hybrid hospitality models (e.g., co-working spaces), and the exploration of long-stay or subscription-based packages that adapt to changing visitor needs are all options.</w:t>
      </w:r>
    </w:p>
    <w:p w14:paraId="4421C114" w14:textId="77777777" w:rsidR="00572A07" w:rsidRDefault="00572A07" w:rsidP="00EE4D72">
      <w:pPr>
        <w:rPr>
          <w:lang w:val="en-GB"/>
        </w:rPr>
      </w:pPr>
      <w:r>
        <w:rPr>
          <w:lang w:val="en-GB"/>
        </w:rPr>
        <w:t>Third, digital transformation should remain a key investment. Contactless check-in, AI-powered customer service, and data-driven decision-making tools all improve visitor safety and happiness while also ensuring operational continuity during disruptions. However, these technologies must be supported by cybersecurity training and adherence to growing data protection requirements.</w:t>
      </w:r>
    </w:p>
    <w:p w14:paraId="62CE9D89" w14:textId="325B3324" w:rsidR="00EE4D72" w:rsidRPr="00EE4D72" w:rsidRDefault="00572A07" w:rsidP="00EE4D72">
      <w:pPr>
        <w:rPr>
          <w:lang w:val="en-GB"/>
        </w:rPr>
      </w:pPr>
      <w:r>
        <w:rPr>
          <w:lang w:val="en-GB"/>
        </w:rPr>
        <w:t>Equally significant is the investment in human resilience. Frontline workers must be trained in health protocols, crisis communication, and stress management. Hotels should also support staff well-being through mental health initiatives and open communication to boost loyalty and morale.</w:t>
      </w:r>
    </w:p>
    <w:p w14:paraId="2B7E7939" w14:textId="1071E156" w:rsidR="00EE4D72" w:rsidRPr="00EE4D72" w:rsidRDefault="00572A07" w:rsidP="00EE4D72">
      <w:pPr>
        <w:rPr>
          <w:lang w:val="en-GB"/>
        </w:rPr>
      </w:pPr>
      <w:r>
        <w:rPr>
          <w:lang w:val="en-GB"/>
        </w:rPr>
        <w:t xml:space="preserve">Finally, strategic collaborations with local governments, suppliers, and non-governmental organisations (NGOs) can help to increase crisis response capabilities and generate </w:t>
      </w:r>
      <w:r>
        <w:rPr>
          <w:lang w:val="en-GB"/>
        </w:rPr>
        <w:lastRenderedPageBreak/>
        <w:t>shared value. These alliances increase information access, facilitate community support initiatives, and allow for coordinated responses in times of disruption.</w:t>
      </w:r>
    </w:p>
    <w:p w14:paraId="2DFD3B20" w14:textId="77777777" w:rsidR="00EE4D72" w:rsidRPr="00572A07" w:rsidRDefault="00EE4D72" w:rsidP="00EE4D72">
      <w:pPr>
        <w:rPr>
          <w:b/>
          <w:bCs/>
          <w:i/>
          <w:iCs/>
          <w:lang w:val="en-GB"/>
        </w:rPr>
      </w:pPr>
      <w:r w:rsidRPr="00572A07">
        <w:rPr>
          <w:b/>
          <w:bCs/>
          <w:i/>
          <w:iCs/>
          <w:lang w:val="en-GB"/>
        </w:rPr>
        <w:t>For Future Research</w:t>
      </w:r>
    </w:p>
    <w:p w14:paraId="5AB84219" w14:textId="77777777" w:rsidR="00572A07" w:rsidRDefault="00572A07" w:rsidP="00EE4D72">
      <w:pPr>
        <w:rPr>
          <w:lang w:val="en-GB"/>
        </w:rPr>
      </w:pPr>
      <w:r>
        <w:rPr>
          <w:lang w:val="en-GB"/>
        </w:rPr>
        <w:t>More research is needed to understand how geopolitical instability affects regional tourism flows and visitor decisions. Comparative research on how hotels in conflict-affected areas adjust pricing, marketing, and safety standards would be very useful.</w:t>
      </w:r>
    </w:p>
    <w:p w14:paraId="13C5F497" w14:textId="77777777" w:rsidR="00572A07" w:rsidRDefault="00572A07" w:rsidP="00EE4D72">
      <w:pPr>
        <w:rPr>
          <w:lang w:val="en-GB"/>
        </w:rPr>
      </w:pPr>
      <w:r>
        <w:rPr>
          <w:lang w:val="en-GB"/>
        </w:rPr>
        <w:t>Furthermore, cost-benefit assessments of resilience-focused investments—such as digital infrastructure, green building retrofits, or insurance diversification—are critical for driving strategic decision-making, particularly in independent hotels with limited resources.</w:t>
      </w:r>
    </w:p>
    <w:p w14:paraId="4D722903" w14:textId="6F89E8EF" w:rsidR="00EE4D72" w:rsidRPr="00EE4D72" w:rsidRDefault="00572A07" w:rsidP="00EE4D72">
      <w:pPr>
        <w:rPr>
          <w:lang w:val="en-GB"/>
        </w:rPr>
      </w:pPr>
      <w:r>
        <w:rPr>
          <w:lang w:val="en-GB"/>
        </w:rPr>
        <w:t>Finally, behavioural research on guest perceptions of risk and safety might help hotels improve communication and service offerings. Understanding how trust is formed (or lost) during times of uncertainty will be critical to retaining brand loyalty in a risk-sensitive market.</w:t>
      </w:r>
    </w:p>
    <w:p w14:paraId="538ABB2B" w14:textId="77777777" w:rsidR="00EE4D72" w:rsidRDefault="00EE4D72" w:rsidP="00EE4D72"/>
    <w:p w14:paraId="72EFE770" w14:textId="22213DC4" w:rsidR="00E941CA" w:rsidRDefault="00E941CA" w:rsidP="00572A07">
      <w:pPr>
        <w:pStyle w:val="Heading1"/>
      </w:pPr>
      <w:bookmarkStart w:id="7" w:name="_Toc198577952"/>
      <w:r>
        <w:t>References</w:t>
      </w:r>
      <w:bookmarkEnd w:id="7"/>
    </w:p>
    <w:p w14:paraId="447FBCCB" w14:textId="77777777" w:rsidR="00E941CA" w:rsidRPr="00E941CA" w:rsidRDefault="00E941CA" w:rsidP="00E941CA">
      <w:pPr>
        <w:pStyle w:val="ListParagraph"/>
        <w:numPr>
          <w:ilvl w:val="0"/>
          <w:numId w:val="10"/>
        </w:numPr>
        <w:rPr>
          <w:lang w:val="en-GB"/>
        </w:rPr>
      </w:pPr>
      <w:r w:rsidRPr="00E941CA">
        <w:rPr>
          <w:lang w:val="en-GB"/>
        </w:rPr>
        <w:t xml:space="preserve">Accor (2021) </w:t>
      </w:r>
      <w:r w:rsidRPr="00E941CA">
        <w:rPr>
          <w:i/>
          <w:iCs/>
          <w:lang w:val="en-GB"/>
        </w:rPr>
        <w:t>ALLSAFE: Ensuring safety and cleanliness at our hotels worldwide</w:t>
      </w:r>
      <w:r w:rsidRPr="00E941CA">
        <w:rPr>
          <w:lang w:val="en-GB"/>
        </w:rPr>
        <w:t>. Available at: https://group.accor.com/en/actualites/2021/allsafe-programme (Accessed: 19 May 2025).</w:t>
      </w:r>
    </w:p>
    <w:p w14:paraId="737AA297" w14:textId="77777777" w:rsidR="00E941CA" w:rsidRPr="00E941CA" w:rsidRDefault="00E941CA" w:rsidP="00E941CA">
      <w:pPr>
        <w:pStyle w:val="ListParagraph"/>
        <w:numPr>
          <w:ilvl w:val="0"/>
          <w:numId w:val="10"/>
        </w:numPr>
        <w:rPr>
          <w:lang w:val="en-GB"/>
        </w:rPr>
      </w:pPr>
      <w:r w:rsidRPr="00E941CA">
        <w:rPr>
          <w:lang w:val="en-GB"/>
        </w:rPr>
        <w:t xml:space="preserve">Airbnb (2022) </w:t>
      </w:r>
      <w:proofErr w:type="spellStart"/>
      <w:r w:rsidRPr="00E941CA">
        <w:rPr>
          <w:i/>
          <w:iCs/>
          <w:lang w:val="en-GB"/>
        </w:rPr>
        <w:t>Airbnb.org’s</w:t>
      </w:r>
      <w:proofErr w:type="spellEnd"/>
      <w:r w:rsidRPr="00E941CA">
        <w:rPr>
          <w:i/>
          <w:iCs/>
          <w:lang w:val="en-GB"/>
        </w:rPr>
        <w:t xml:space="preserve"> support for displaced people from Ukraine</w:t>
      </w:r>
      <w:r w:rsidRPr="00E941CA">
        <w:rPr>
          <w:lang w:val="en-GB"/>
        </w:rPr>
        <w:t>. Available at: https://www.airbnb.org/stories/ukraine (Accessed: 19 May 2025).</w:t>
      </w:r>
    </w:p>
    <w:p w14:paraId="42BC7BCF" w14:textId="77777777" w:rsidR="00E941CA" w:rsidRPr="00E941CA" w:rsidRDefault="00E941CA" w:rsidP="00E941CA">
      <w:pPr>
        <w:pStyle w:val="ListParagraph"/>
        <w:numPr>
          <w:ilvl w:val="0"/>
          <w:numId w:val="10"/>
        </w:numPr>
        <w:rPr>
          <w:lang w:val="en-GB"/>
        </w:rPr>
      </w:pPr>
      <w:r w:rsidRPr="00E941CA">
        <w:rPr>
          <w:lang w:val="en-GB"/>
        </w:rPr>
        <w:t xml:space="preserve">Baum, T. and Hai, N.T.T. (2020) ‘Hospitality, tourism, human rights and the impact of COVID-19’, </w:t>
      </w:r>
      <w:r w:rsidRPr="00E941CA">
        <w:rPr>
          <w:i/>
          <w:iCs/>
          <w:lang w:val="en-GB"/>
        </w:rPr>
        <w:t>International Journal of Contemporary Hospitality Management</w:t>
      </w:r>
      <w:r w:rsidRPr="00E941CA">
        <w:rPr>
          <w:lang w:val="en-GB"/>
        </w:rPr>
        <w:t>, 32(7), pp. 2397–2407. https://doi.org/10.1108/IJCHM-03-2020-0242 (Accessed: 19 May 2025).</w:t>
      </w:r>
    </w:p>
    <w:p w14:paraId="53E67EE7" w14:textId="77777777" w:rsidR="00E941CA" w:rsidRPr="00E941CA" w:rsidRDefault="00E941CA" w:rsidP="00E941CA">
      <w:pPr>
        <w:pStyle w:val="ListParagraph"/>
        <w:numPr>
          <w:ilvl w:val="0"/>
          <w:numId w:val="10"/>
        </w:numPr>
        <w:rPr>
          <w:lang w:val="en-GB"/>
        </w:rPr>
      </w:pPr>
      <w:r w:rsidRPr="00E941CA">
        <w:rPr>
          <w:lang w:val="en-GB"/>
        </w:rPr>
        <w:t xml:space="preserve">Baum, T., Mooney, S.K.K. and Robinson, R.N.S. (2020) ‘COVID-19’s impact on hospitality workforce: An opportunity to rethink the employer–employee relationship?’, </w:t>
      </w:r>
      <w:r w:rsidRPr="00E941CA">
        <w:rPr>
          <w:i/>
          <w:iCs/>
          <w:lang w:val="en-GB"/>
        </w:rPr>
        <w:t>International Journal of Contemporary Hospitality Management</w:t>
      </w:r>
      <w:r w:rsidRPr="00E941CA">
        <w:rPr>
          <w:lang w:val="en-GB"/>
        </w:rPr>
        <w:t xml:space="preserve">, </w:t>
      </w:r>
      <w:r w:rsidRPr="00E941CA">
        <w:rPr>
          <w:lang w:val="en-GB"/>
        </w:rPr>
        <w:lastRenderedPageBreak/>
        <w:t>32(10), pp. 2813–2825. https://doi.org/10.1108/IJCHM-04-2020-0322 (Accessed: 19 May 2025).</w:t>
      </w:r>
    </w:p>
    <w:p w14:paraId="4C9F416E" w14:textId="77777777" w:rsidR="00E941CA" w:rsidRPr="00E941CA" w:rsidRDefault="00E941CA" w:rsidP="00E941CA">
      <w:pPr>
        <w:pStyle w:val="ListParagraph"/>
        <w:numPr>
          <w:ilvl w:val="0"/>
          <w:numId w:val="10"/>
        </w:numPr>
        <w:rPr>
          <w:lang w:val="en-GB"/>
        </w:rPr>
      </w:pPr>
      <w:r w:rsidRPr="00E941CA">
        <w:rPr>
          <w:lang w:val="en-GB"/>
        </w:rPr>
        <w:t xml:space="preserve">Chung, N., Lee, H. and Han, H. (2020) ‘Eco-innovative management and operational performance in the hotel industry: The moderating role of environmental certifications’, </w:t>
      </w:r>
      <w:r w:rsidRPr="00E941CA">
        <w:rPr>
          <w:i/>
          <w:iCs/>
          <w:lang w:val="en-GB"/>
        </w:rPr>
        <w:t>Sustainability</w:t>
      </w:r>
      <w:r w:rsidRPr="00E941CA">
        <w:rPr>
          <w:lang w:val="en-GB"/>
        </w:rPr>
        <w:t>, 12(21), 9032. https://doi.org/10.3390/su12219032 (Accessed: 19 May 2025).</w:t>
      </w:r>
    </w:p>
    <w:p w14:paraId="149DE6D0" w14:textId="77777777" w:rsidR="00E941CA" w:rsidRPr="00E941CA" w:rsidRDefault="00E941CA" w:rsidP="00E941CA">
      <w:pPr>
        <w:pStyle w:val="ListParagraph"/>
        <w:numPr>
          <w:ilvl w:val="0"/>
          <w:numId w:val="10"/>
        </w:numPr>
        <w:rPr>
          <w:lang w:val="en-GB"/>
        </w:rPr>
      </w:pPr>
      <w:r w:rsidRPr="00E941CA">
        <w:rPr>
          <w:lang w:val="en-GB"/>
        </w:rPr>
        <w:t xml:space="preserve">Duchek, S. (2020) ‘Organizational resilience: A capability-based conceptualization’, </w:t>
      </w:r>
      <w:r w:rsidRPr="00E941CA">
        <w:rPr>
          <w:i/>
          <w:iCs/>
          <w:lang w:val="en-GB"/>
        </w:rPr>
        <w:t>Business Research</w:t>
      </w:r>
      <w:r w:rsidRPr="00E941CA">
        <w:rPr>
          <w:lang w:val="en-GB"/>
        </w:rPr>
        <w:t>, 13(1), pp. 215–246. https://doi.org/10.1007/s40685-019-0085-7 (Accessed: 19 May 2025).</w:t>
      </w:r>
    </w:p>
    <w:p w14:paraId="08AC88D7" w14:textId="77777777" w:rsidR="00E941CA" w:rsidRPr="00E941CA" w:rsidRDefault="00E941CA" w:rsidP="00E941CA">
      <w:pPr>
        <w:pStyle w:val="ListParagraph"/>
        <w:numPr>
          <w:ilvl w:val="0"/>
          <w:numId w:val="10"/>
        </w:numPr>
        <w:rPr>
          <w:lang w:val="en-GB"/>
        </w:rPr>
      </w:pPr>
      <w:r w:rsidRPr="00E941CA">
        <w:rPr>
          <w:lang w:val="en-GB"/>
        </w:rPr>
        <w:t xml:space="preserve">Faulkner, B. (2001) ‘Towards a framework for tourism disaster management’, </w:t>
      </w:r>
      <w:r w:rsidRPr="00E941CA">
        <w:rPr>
          <w:i/>
          <w:iCs/>
          <w:lang w:val="en-GB"/>
        </w:rPr>
        <w:t>Tourism Management</w:t>
      </w:r>
      <w:r w:rsidRPr="00E941CA">
        <w:rPr>
          <w:lang w:val="en-GB"/>
        </w:rPr>
        <w:t>, 22(2), pp. 135–147. https://doi.org/10.1016/S0261-5177(00)00048-0 (Accessed: 19 May 2025).</w:t>
      </w:r>
    </w:p>
    <w:p w14:paraId="5E0A5A53" w14:textId="77777777" w:rsidR="00E941CA" w:rsidRPr="00E941CA" w:rsidRDefault="00E941CA" w:rsidP="00E941CA">
      <w:pPr>
        <w:pStyle w:val="ListParagraph"/>
        <w:numPr>
          <w:ilvl w:val="0"/>
          <w:numId w:val="10"/>
        </w:numPr>
        <w:rPr>
          <w:lang w:val="en-GB"/>
        </w:rPr>
      </w:pPr>
      <w:proofErr w:type="spellStart"/>
      <w:r w:rsidRPr="00E941CA">
        <w:rPr>
          <w:lang w:val="en-GB"/>
        </w:rPr>
        <w:t>Gössling</w:t>
      </w:r>
      <w:proofErr w:type="spellEnd"/>
      <w:r w:rsidRPr="00E941CA">
        <w:rPr>
          <w:lang w:val="en-GB"/>
        </w:rPr>
        <w:t xml:space="preserve">, S., Scott, D. and Hall, C.M. (2021) ‘Pandemics, tourism and global change: A rapid assessment of COVID-19’, </w:t>
      </w:r>
      <w:r w:rsidRPr="00E941CA">
        <w:rPr>
          <w:i/>
          <w:iCs/>
          <w:lang w:val="en-GB"/>
        </w:rPr>
        <w:t>Journal of Sustainable Tourism</w:t>
      </w:r>
      <w:r w:rsidRPr="00E941CA">
        <w:rPr>
          <w:lang w:val="en-GB"/>
        </w:rPr>
        <w:t>, 29(1), pp. 1–20. https://doi.org/10.1080/09669582.2020.1758708 (Accessed: 19 May 2025).</w:t>
      </w:r>
    </w:p>
    <w:p w14:paraId="4E380129" w14:textId="77777777" w:rsidR="00E941CA" w:rsidRPr="00E941CA" w:rsidRDefault="00E941CA" w:rsidP="00E941CA">
      <w:pPr>
        <w:pStyle w:val="ListParagraph"/>
        <w:numPr>
          <w:ilvl w:val="0"/>
          <w:numId w:val="10"/>
        </w:numPr>
        <w:rPr>
          <w:lang w:val="en-GB"/>
        </w:rPr>
      </w:pPr>
      <w:r w:rsidRPr="00E941CA">
        <w:rPr>
          <w:lang w:val="en-GB"/>
        </w:rPr>
        <w:t xml:space="preserve">Greenview (2022) </w:t>
      </w:r>
      <w:r w:rsidRPr="00E941CA">
        <w:rPr>
          <w:i/>
          <w:iCs/>
          <w:lang w:val="en-GB"/>
        </w:rPr>
        <w:t>Sustainability best practices: Six Senses resorts</w:t>
      </w:r>
      <w:r w:rsidRPr="00E941CA">
        <w:rPr>
          <w:lang w:val="en-GB"/>
        </w:rPr>
        <w:t xml:space="preserve">. Available at: </w:t>
      </w:r>
      <w:hyperlink r:id="rId8" w:tgtFrame="_new" w:history="1">
        <w:r w:rsidRPr="00E941CA">
          <w:rPr>
            <w:rStyle w:val="Hyperlink"/>
            <w:lang w:val="en-GB"/>
          </w:rPr>
          <w:t>https://www.greenview.sg/six-senses/</w:t>
        </w:r>
      </w:hyperlink>
      <w:r w:rsidRPr="00E941CA">
        <w:rPr>
          <w:lang w:val="en-GB"/>
        </w:rPr>
        <w:t xml:space="preserve"> (Accessed: 19 May 2025).</w:t>
      </w:r>
    </w:p>
    <w:p w14:paraId="55916805" w14:textId="77777777" w:rsidR="00E941CA" w:rsidRPr="00E941CA" w:rsidRDefault="00E941CA" w:rsidP="00E941CA">
      <w:pPr>
        <w:pStyle w:val="ListParagraph"/>
        <w:numPr>
          <w:ilvl w:val="0"/>
          <w:numId w:val="10"/>
        </w:numPr>
        <w:rPr>
          <w:lang w:val="en-GB"/>
        </w:rPr>
      </w:pPr>
      <w:r w:rsidRPr="00E941CA">
        <w:rPr>
          <w:lang w:val="en-GB"/>
        </w:rPr>
        <w:t xml:space="preserve">Heifetz, R., </w:t>
      </w:r>
      <w:proofErr w:type="spellStart"/>
      <w:r w:rsidRPr="00E941CA">
        <w:rPr>
          <w:lang w:val="en-GB"/>
        </w:rPr>
        <w:t>Grashow</w:t>
      </w:r>
      <w:proofErr w:type="spellEnd"/>
      <w:r w:rsidRPr="00E941CA">
        <w:rPr>
          <w:lang w:val="en-GB"/>
        </w:rPr>
        <w:t xml:space="preserve">, A. and Linsky, M. (2009) </w:t>
      </w:r>
      <w:r w:rsidRPr="00E941CA">
        <w:rPr>
          <w:i/>
          <w:iCs/>
          <w:lang w:val="en-GB"/>
        </w:rPr>
        <w:t>The practice of adaptive leadership: Tools and tactics for changing your organization and the world</w:t>
      </w:r>
      <w:r w:rsidRPr="00E941CA">
        <w:rPr>
          <w:lang w:val="en-GB"/>
        </w:rPr>
        <w:t>. Boston: Harvard Business Press.</w:t>
      </w:r>
    </w:p>
    <w:p w14:paraId="465077C2" w14:textId="77777777" w:rsidR="00E941CA" w:rsidRPr="00E941CA" w:rsidRDefault="00E941CA" w:rsidP="00E941CA">
      <w:pPr>
        <w:pStyle w:val="ListParagraph"/>
        <w:numPr>
          <w:ilvl w:val="0"/>
          <w:numId w:val="10"/>
        </w:numPr>
        <w:rPr>
          <w:lang w:val="en-GB"/>
        </w:rPr>
      </w:pPr>
      <w:r w:rsidRPr="00E941CA">
        <w:rPr>
          <w:lang w:val="en-GB"/>
        </w:rPr>
        <w:t xml:space="preserve">Hilton (2023) </w:t>
      </w:r>
      <w:r w:rsidRPr="00E941CA">
        <w:rPr>
          <w:i/>
          <w:iCs/>
          <w:lang w:val="en-GB"/>
        </w:rPr>
        <w:t>Travel with Purpose: 2023 ESG Summary Report</w:t>
      </w:r>
      <w:r w:rsidRPr="00E941CA">
        <w:rPr>
          <w:lang w:val="en-GB"/>
        </w:rPr>
        <w:t xml:space="preserve">. Available at: </w:t>
      </w:r>
      <w:hyperlink r:id="rId9" w:tgtFrame="_new" w:history="1">
        <w:r w:rsidRPr="00E941CA">
          <w:rPr>
            <w:rStyle w:val="Hyperlink"/>
            <w:lang w:val="en-GB"/>
          </w:rPr>
          <w:t>https://esg.hilton.com/</w:t>
        </w:r>
      </w:hyperlink>
      <w:r w:rsidRPr="00E941CA">
        <w:rPr>
          <w:lang w:val="en-GB"/>
        </w:rPr>
        <w:t xml:space="preserve"> (Accessed: 19 May 2025).</w:t>
      </w:r>
    </w:p>
    <w:p w14:paraId="180F358E" w14:textId="77777777" w:rsidR="00E941CA" w:rsidRPr="00E941CA" w:rsidRDefault="00E941CA" w:rsidP="00E941CA">
      <w:pPr>
        <w:pStyle w:val="ListParagraph"/>
        <w:numPr>
          <w:ilvl w:val="0"/>
          <w:numId w:val="10"/>
        </w:numPr>
        <w:rPr>
          <w:lang w:val="en-GB"/>
        </w:rPr>
      </w:pPr>
      <w:r w:rsidRPr="00E941CA">
        <w:rPr>
          <w:lang w:val="en-GB"/>
        </w:rPr>
        <w:t xml:space="preserve">Jones, P., Hillier, D. and Comfort, D. (2021) ‘Environmental sustainability in the UK hotel industry: Current trends and future directions’, </w:t>
      </w:r>
      <w:r w:rsidRPr="00E941CA">
        <w:rPr>
          <w:i/>
          <w:iCs/>
          <w:lang w:val="en-GB"/>
        </w:rPr>
        <w:t>Tourism and Hospitality Research</w:t>
      </w:r>
      <w:r w:rsidRPr="00E941CA">
        <w:rPr>
          <w:lang w:val="en-GB"/>
        </w:rPr>
        <w:t>, 21(1), pp. 3–13. https://doi.org/10.1177/1467358419845082 (Accessed: 19 May 2025).</w:t>
      </w:r>
    </w:p>
    <w:p w14:paraId="1A864787" w14:textId="77777777" w:rsidR="00E941CA" w:rsidRPr="00E941CA" w:rsidRDefault="00E941CA" w:rsidP="00E941CA">
      <w:pPr>
        <w:pStyle w:val="ListParagraph"/>
        <w:numPr>
          <w:ilvl w:val="0"/>
          <w:numId w:val="10"/>
        </w:numPr>
        <w:rPr>
          <w:lang w:val="en-GB"/>
        </w:rPr>
      </w:pPr>
      <w:proofErr w:type="spellStart"/>
      <w:r w:rsidRPr="00E941CA">
        <w:rPr>
          <w:lang w:val="en-GB"/>
        </w:rPr>
        <w:t>Linnenluecke</w:t>
      </w:r>
      <w:proofErr w:type="spellEnd"/>
      <w:r w:rsidRPr="00E941CA">
        <w:rPr>
          <w:lang w:val="en-GB"/>
        </w:rPr>
        <w:t xml:space="preserve">, M.K. (2017) ‘Resilience in business and management research: A review of influential publications and a research agenda’, </w:t>
      </w:r>
      <w:r w:rsidRPr="00E941CA">
        <w:rPr>
          <w:i/>
          <w:iCs/>
          <w:lang w:val="en-GB"/>
        </w:rPr>
        <w:t>International Journal of Management Reviews</w:t>
      </w:r>
      <w:r w:rsidRPr="00E941CA">
        <w:rPr>
          <w:lang w:val="en-GB"/>
        </w:rPr>
        <w:t>, 19(1), pp. 4–30. https://doi.org/10.1111/ijmr.12076 (Accessed: 19 May 2025).</w:t>
      </w:r>
    </w:p>
    <w:p w14:paraId="2C72CFB3" w14:textId="77777777" w:rsidR="00E941CA" w:rsidRPr="00E941CA" w:rsidRDefault="00E941CA" w:rsidP="00E941CA">
      <w:pPr>
        <w:pStyle w:val="ListParagraph"/>
        <w:numPr>
          <w:ilvl w:val="0"/>
          <w:numId w:val="10"/>
        </w:numPr>
        <w:rPr>
          <w:lang w:val="en-GB"/>
        </w:rPr>
      </w:pPr>
      <w:r w:rsidRPr="00E941CA">
        <w:rPr>
          <w:lang w:val="en-GB"/>
        </w:rPr>
        <w:lastRenderedPageBreak/>
        <w:t xml:space="preserve">Lu, L., Cai, R. and Gursoy, D. (2019) ‘Developing and validating a service robot integration willingness scale’, </w:t>
      </w:r>
      <w:r w:rsidRPr="00E941CA">
        <w:rPr>
          <w:i/>
          <w:iCs/>
          <w:lang w:val="en-GB"/>
        </w:rPr>
        <w:t>International Journal of Hospitality Management</w:t>
      </w:r>
      <w:r w:rsidRPr="00E941CA">
        <w:rPr>
          <w:lang w:val="en-GB"/>
        </w:rPr>
        <w:t>, 80, pp. 36–51. https://doi.org/10.1016/j.ijhm.2019.01.005 (Accessed: 19 May 2025).</w:t>
      </w:r>
    </w:p>
    <w:p w14:paraId="4B96CEB5" w14:textId="77777777" w:rsidR="00E941CA" w:rsidRPr="00E941CA" w:rsidRDefault="00E941CA" w:rsidP="00E941CA">
      <w:pPr>
        <w:pStyle w:val="ListParagraph"/>
        <w:numPr>
          <w:ilvl w:val="0"/>
          <w:numId w:val="10"/>
        </w:numPr>
        <w:rPr>
          <w:lang w:val="en-GB"/>
        </w:rPr>
      </w:pPr>
      <w:r w:rsidRPr="00E941CA">
        <w:rPr>
          <w:lang w:val="en-GB"/>
        </w:rPr>
        <w:t xml:space="preserve">Marriott (2020) </w:t>
      </w:r>
      <w:r w:rsidRPr="00E941CA">
        <w:rPr>
          <w:i/>
          <w:iCs/>
          <w:lang w:val="en-GB"/>
        </w:rPr>
        <w:t>Commitment to Clean: Our enhanced health &amp; safety standards</w:t>
      </w:r>
      <w:r w:rsidRPr="00E941CA">
        <w:rPr>
          <w:lang w:val="en-GB"/>
        </w:rPr>
        <w:t xml:space="preserve">. Available at: </w:t>
      </w:r>
      <w:hyperlink r:id="rId10" w:tgtFrame="_new" w:history="1">
        <w:r w:rsidRPr="00E941CA">
          <w:rPr>
            <w:rStyle w:val="Hyperlink"/>
            <w:lang w:val="en-GB"/>
          </w:rPr>
          <w:t>https://clean.marriott.com/</w:t>
        </w:r>
      </w:hyperlink>
      <w:r w:rsidRPr="00E941CA">
        <w:rPr>
          <w:lang w:val="en-GB"/>
        </w:rPr>
        <w:t xml:space="preserve"> (Accessed: 19 May 2025).</w:t>
      </w:r>
    </w:p>
    <w:p w14:paraId="7384D6EF" w14:textId="77777777" w:rsidR="00E941CA" w:rsidRPr="00E941CA" w:rsidRDefault="00E941CA" w:rsidP="00E941CA">
      <w:pPr>
        <w:pStyle w:val="ListParagraph"/>
        <w:numPr>
          <w:ilvl w:val="0"/>
          <w:numId w:val="10"/>
        </w:numPr>
        <w:rPr>
          <w:lang w:val="en-GB"/>
        </w:rPr>
      </w:pPr>
      <w:r w:rsidRPr="00E941CA">
        <w:rPr>
          <w:lang w:val="en-GB"/>
        </w:rPr>
        <w:t xml:space="preserve">Racherla, P. and Hu, C. (2022) ‘Data privacy in the hospitality industry: Examining guest trust and brand resilience’, </w:t>
      </w:r>
      <w:r w:rsidRPr="00E941CA">
        <w:rPr>
          <w:i/>
          <w:iCs/>
          <w:lang w:val="en-GB"/>
        </w:rPr>
        <w:t>Cornell Hospitality Quarterly</w:t>
      </w:r>
      <w:r w:rsidRPr="00E941CA">
        <w:rPr>
          <w:lang w:val="en-GB"/>
        </w:rPr>
        <w:t>, 63(1), pp. 22–35. https://doi.org/10.1177/19389655211016531 (Accessed: 19 May 2025).</w:t>
      </w:r>
    </w:p>
    <w:p w14:paraId="4A367F37" w14:textId="77777777" w:rsidR="00E941CA" w:rsidRPr="00E941CA" w:rsidRDefault="00E941CA" w:rsidP="00E941CA">
      <w:pPr>
        <w:pStyle w:val="ListParagraph"/>
        <w:numPr>
          <w:ilvl w:val="0"/>
          <w:numId w:val="10"/>
        </w:numPr>
        <w:rPr>
          <w:lang w:val="en-GB"/>
        </w:rPr>
      </w:pPr>
      <w:r w:rsidRPr="00E941CA">
        <w:rPr>
          <w:lang w:val="en-GB"/>
        </w:rPr>
        <w:t xml:space="preserve">Ritchie, B.W. and Jiang, Y. (2019) ‘A review of research on tourism risk, crisis and disaster management: Launching the Annals of Tourism Research Curated Collection on tourism risk, crisis and disaster management’, </w:t>
      </w:r>
      <w:r w:rsidRPr="00E941CA">
        <w:rPr>
          <w:i/>
          <w:iCs/>
          <w:lang w:val="en-GB"/>
        </w:rPr>
        <w:t>Annals of Tourism Research</w:t>
      </w:r>
      <w:r w:rsidRPr="00E941CA">
        <w:rPr>
          <w:lang w:val="en-GB"/>
        </w:rPr>
        <w:t>, 79, 102812. https://doi.org/10.1016/j.annals.2019.102812 (Accessed: 19 May 2025).</w:t>
      </w:r>
    </w:p>
    <w:p w14:paraId="27BB4C81" w14:textId="77777777" w:rsidR="00E941CA" w:rsidRPr="00E941CA" w:rsidRDefault="00E941CA" w:rsidP="00E941CA">
      <w:pPr>
        <w:pStyle w:val="ListParagraph"/>
        <w:numPr>
          <w:ilvl w:val="0"/>
          <w:numId w:val="10"/>
        </w:numPr>
        <w:rPr>
          <w:lang w:val="en-GB"/>
        </w:rPr>
      </w:pPr>
      <w:r w:rsidRPr="00E941CA">
        <w:rPr>
          <w:lang w:val="en-GB"/>
        </w:rPr>
        <w:t xml:space="preserve">Sánchez, M.J. and Simón, J.M. (2022) ‘Sustainability reporting in the hotel industry: A review of global practices and implications for future research’, </w:t>
      </w:r>
      <w:r w:rsidRPr="00E941CA">
        <w:rPr>
          <w:i/>
          <w:iCs/>
          <w:lang w:val="en-GB"/>
        </w:rPr>
        <w:t>Journal of Sustainable Tourism</w:t>
      </w:r>
      <w:r w:rsidRPr="00E941CA">
        <w:rPr>
          <w:lang w:val="en-GB"/>
        </w:rPr>
        <w:t>, 30(7), pp. 1523–1541. https://doi.org/10.1080/09669582.2021.1936133 (Accessed: 19 May 2025).</w:t>
      </w:r>
    </w:p>
    <w:p w14:paraId="5772BD70" w14:textId="77777777" w:rsidR="00E941CA" w:rsidRPr="00E941CA" w:rsidRDefault="00E941CA" w:rsidP="00E941CA">
      <w:pPr>
        <w:pStyle w:val="ListParagraph"/>
        <w:numPr>
          <w:ilvl w:val="0"/>
          <w:numId w:val="10"/>
        </w:numPr>
        <w:rPr>
          <w:lang w:val="en-GB"/>
        </w:rPr>
      </w:pPr>
      <w:r w:rsidRPr="00E941CA">
        <w:rPr>
          <w:lang w:val="en-GB"/>
        </w:rPr>
        <w:t xml:space="preserve">Sönmez, S.F., Apostolopoulos, Y. and Lemke, M.K. (2020) ‘Understanding the effects of COVID-19 on the health and safety of immigrant hospitality workers in the United States’, </w:t>
      </w:r>
      <w:r w:rsidRPr="00E941CA">
        <w:rPr>
          <w:i/>
          <w:iCs/>
          <w:lang w:val="en-GB"/>
        </w:rPr>
        <w:t>Tourism Management Perspectives</w:t>
      </w:r>
      <w:r w:rsidRPr="00E941CA">
        <w:rPr>
          <w:lang w:val="en-GB"/>
        </w:rPr>
        <w:t>, 35, 100717. https://doi.org/10.1016/j.tmp.2020.100717 (Accessed: 19 May 2025).</w:t>
      </w:r>
    </w:p>
    <w:p w14:paraId="67DA63F3" w14:textId="77777777" w:rsidR="00E941CA" w:rsidRPr="00E941CA" w:rsidRDefault="00E941CA" w:rsidP="00E941CA">
      <w:pPr>
        <w:pStyle w:val="ListParagraph"/>
        <w:numPr>
          <w:ilvl w:val="0"/>
          <w:numId w:val="10"/>
        </w:numPr>
        <w:rPr>
          <w:lang w:val="en-GB"/>
        </w:rPr>
      </w:pPr>
      <w:r w:rsidRPr="00E941CA">
        <w:rPr>
          <w:lang w:val="en-GB"/>
        </w:rPr>
        <w:t xml:space="preserve">UNEP (United Nations Environment Programme) (2022) </w:t>
      </w:r>
      <w:r w:rsidRPr="00E941CA">
        <w:rPr>
          <w:i/>
          <w:iCs/>
          <w:lang w:val="en-GB"/>
        </w:rPr>
        <w:t>Business and climate change: The hospitality sector's pathway to net zero</w:t>
      </w:r>
      <w:r w:rsidRPr="00E941CA">
        <w:rPr>
          <w:lang w:val="en-GB"/>
        </w:rPr>
        <w:t xml:space="preserve">. Available at: </w:t>
      </w:r>
      <w:hyperlink r:id="rId11" w:tgtFrame="_new" w:history="1">
        <w:r w:rsidRPr="00E941CA">
          <w:rPr>
            <w:rStyle w:val="Hyperlink"/>
            <w:lang w:val="en-GB"/>
          </w:rPr>
          <w:t>https://www.unep.org/resources/report/business-and-climate-change-hospitality-pathway</w:t>
        </w:r>
      </w:hyperlink>
      <w:r w:rsidRPr="00E941CA">
        <w:rPr>
          <w:lang w:val="en-GB"/>
        </w:rPr>
        <w:t xml:space="preserve"> (Accessed: 19 May 2025).</w:t>
      </w:r>
    </w:p>
    <w:p w14:paraId="4039618E" w14:textId="77777777" w:rsidR="00E941CA" w:rsidRPr="00E941CA" w:rsidRDefault="00E941CA" w:rsidP="00E941CA">
      <w:pPr>
        <w:pStyle w:val="ListParagraph"/>
        <w:numPr>
          <w:ilvl w:val="0"/>
          <w:numId w:val="10"/>
        </w:numPr>
        <w:rPr>
          <w:lang w:val="en-GB"/>
        </w:rPr>
      </w:pPr>
      <w:r w:rsidRPr="00E941CA">
        <w:rPr>
          <w:lang w:val="en-GB"/>
        </w:rPr>
        <w:t xml:space="preserve">UNWTO (2021) </w:t>
      </w:r>
      <w:r w:rsidRPr="00E941CA">
        <w:rPr>
          <w:i/>
          <w:iCs/>
          <w:lang w:val="en-GB"/>
        </w:rPr>
        <w:t>Tourism and COVID-19: Unprecedented economic impact</w:t>
      </w:r>
      <w:r w:rsidRPr="00E941CA">
        <w:rPr>
          <w:lang w:val="en-GB"/>
        </w:rPr>
        <w:t>. Available at: https://www.unwto.org/news/tourism-and-covid-19-unprecedented-economic-impact (Accessed: 19 May 2025).</w:t>
      </w:r>
    </w:p>
    <w:p w14:paraId="74605D39" w14:textId="77777777" w:rsidR="00E941CA" w:rsidRPr="00E941CA" w:rsidRDefault="00E941CA" w:rsidP="00E941CA">
      <w:pPr>
        <w:pStyle w:val="ListParagraph"/>
        <w:numPr>
          <w:ilvl w:val="0"/>
          <w:numId w:val="10"/>
        </w:numPr>
        <w:rPr>
          <w:lang w:val="en-GB"/>
        </w:rPr>
      </w:pPr>
      <w:r w:rsidRPr="00E941CA">
        <w:rPr>
          <w:lang w:val="en-GB"/>
        </w:rPr>
        <w:lastRenderedPageBreak/>
        <w:t xml:space="preserve">UNWTO (2023) </w:t>
      </w:r>
      <w:r w:rsidRPr="00E941CA">
        <w:rPr>
          <w:i/>
          <w:iCs/>
          <w:lang w:val="en-GB"/>
        </w:rPr>
        <w:t>Sustainable Development of Tourism</w:t>
      </w:r>
      <w:r w:rsidRPr="00E941CA">
        <w:rPr>
          <w:lang w:val="en-GB"/>
        </w:rPr>
        <w:t xml:space="preserve">. Available at: </w:t>
      </w:r>
      <w:hyperlink r:id="rId12" w:tgtFrame="_new" w:history="1">
        <w:r w:rsidRPr="00E941CA">
          <w:rPr>
            <w:rStyle w:val="Hyperlink"/>
            <w:lang w:val="en-GB"/>
          </w:rPr>
          <w:t>https://www.unwto.org/sustainable-development</w:t>
        </w:r>
      </w:hyperlink>
      <w:r w:rsidRPr="00E941CA">
        <w:rPr>
          <w:lang w:val="en-GB"/>
        </w:rPr>
        <w:t xml:space="preserve"> (Accessed: 19 May 2025).</w:t>
      </w:r>
    </w:p>
    <w:p w14:paraId="2FE54F57" w14:textId="77777777" w:rsidR="00E941CA" w:rsidRPr="00E941CA" w:rsidRDefault="00E941CA" w:rsidP="00E941CA">
      <w:pPr>
        <w:pStyle w:val="ListParagraph"/>
        <w:numPr>
          <w:ilvl w:val="0"/>
          <w:numId w:val="10"/>
        </w:numPr>
        <w:rPr>
          <w:lang w:val="en-GB"/>
        </w:rPr>
      </w:pPr>
      <w:r w:rsidRPr="00E941CA">
        <w:rPr>
          <w:lang w:val="en-GB"/>
        </w:rPr>
        <w:t xml:space="preserve">WTTC (2023) </w:t>
      </w:r>
      <w:r w:rsidRPr="00E941CA">
        <w:rPr>
          <w:i/>
          <w:iCs/>
          <w:lang w:val="en-GB"/>
        </w:rPr>
        <w:t>Conflict and crisis: The impact on tourism in Europe</w:t>
      </w:r>
      <w:r w:rsidRPr="00E941CA">
        <w:rPr>
          <w:lang w:val="en-GB"/>
        </w:rPr>
        <w:t>. World Travel &amp; Tourism Council. Available at: https://wttc.org/News-Article/Conflict-and-Crisis-Tourism-Europe (Accessed: 19 May 2025).</w:t>
      </w:r>
    </w:p>
    <w:p w14:paraId="0B218B5C" w14:textId="77777777" w:rsidR="00E941CA" w:rsidRPr="00E941CA" w:rsidRDefault="00E941CA" w:rsidP="00E941CA">
      <w:pPr>
        <w:pStyle w:val="ListParagraph"/>
        <w:numPr>
          <w:ilvl w:val="0"/>
          <w:numId w:val="10"/>
        </w:numPr>
        <w:rPr>
          <w:lang w:val="en-GB"/>
        </w:rPr>
      </w:pPr>
      <w:r w:rsidRPr="00E941CA">
        <w:rPr>
          <w:lang w:val="en-GB"/>
        </w:rPr>
        <w:t xml:space="preserve">WTTC (2023) </w:t>
      </w:r>
      <w:r w:rsidRPr="00E941CA">
        <w:rPr>
          <w:i/>
          <w:iCs/>
          <w:lang w:val="en-GB"/>
        </w:rPr>
        <w:t>Hotel industry resilience: Adapting to a changing world</w:t>
      </w:r>
      <w:r w:rsidRPr="00E941CA">
        <w:rPr>
          <w:lang w:val="en-GB"/>
        </w:rPr>
        <w:t>. Available at: https://wttc.org/Initiatives/Resilience (Accessed: 19 May 2025).</w:t>
      </w:r>
    </w:p>
    <w:p w14:paraId="20EBF83A" w14:textId="77777777" w:rsidR="00E941CA" w:rsidRPr="00E941CA" w:rsidRDefault="00E941CA" w:rsidP="00E941CA">
      <w:pPr>
        <w:pStyle w:val="ListParagraph"/>
        <w:numPr>
          <w:ilvl w:val="0"/>
          <w:numId w:val="10"/>
        </w:numPr>
        <w:rPr>
          <w:lang w:val="en-GB"/>
        </w:rPr>
      </w:pPr>
      <w:r w:rsidRPr="00E941CA">
        <w:rPr>
          <w:lang w:val="en-GB"/>
        </w:rPr>
        <w:t xml:space="preserve">Yadegaridehkordi, E., </w:t>
      </w:r>
      <w:proofErr w:type="spellStart"/>
      <w:r w:rsidRPr="00E941CA">
        <w:rPr>
          <w:lang w:val="en-GB"/>
        </w:rPr>
        <w:t>Hourmand</w:t>
      </w:r>
      <w:proofErr w:type="spellEnd"/>
      <w:r w:rsidRPr="00E941CA">
        <w:rPr>
          <w:lang w:val="en-GB"/>
        </w:rPr>
        <w:t xml:space="preserve">, M., </w:t>
      </w:r>
      <w:proofErr w:type="spellStart"/>
      <w:r w:rsidRPr="00E941CA">
        <w:rPr>
          <w:lang w:val="en-GB"/>
        </w:rPr>
        <w:t>Nilashi</w:t>
      </w:r>
      <w:proofErr w:type="spellEnd"/>
      <w:r w:rsidRPr="00E941CA">
        <w:rPr>
          <w:lang w:val="en-GB"/>
        </w:rPr>
        <w:t xml:space="preserve">, M. and Samad, S. (2021) ‘Decision-making for the adoption of artificial intelligence tools in hospitality and tourism industries’, </w:t>
      </w:r>
      <w:r w:rsidRPr="00E941CA">
        <w:rPr>
          <w:i/>
          <w:iCs/>
          <w:lang w:val="en-GB"/>
        </w:rPr>
        <w:t>Tourism Management Perspectives</w:t>
      </w:r>
      <w:r w:rsidRPr="00E941CA">
        <w:rPr>
          <w:lang w:val="en-GB"/>
        </w:rPr>
        <w:t>, 38, 100812. https://doi.org/10.1016/j.tmp.2021.100812 (Accessed: 19 May 2025).</w:t>
      </w:r>
    </w:p>
    <w:p w14:paraId="179E9E91" w14:textId="77777777" w:rsidR="00E941CA" w:rsidRPr="00E941CA" w:rsidRDefault="00E941CA" w:rsidP="00E941CA">
      <w:pPr>
        <w:pStyle w:val="ListParagraph"/>
        <w:numPr>
          <w:ilvl w:val="0"/>
          <w:numId w:val="10"/>
        </w:numPr>
        <w:rPr>
          <w:lang w:val="en-GB"/>
        </w:rPr>
      </w:pPr>
      <w:r w:rsidRPr="00E941CA">
        <w:rPr>
          <w:lang w:val="en-GB"/>
        </w:rPr>
        <w:t xml:space="preserve">Zhou, Y., Wei, Z. and Zhang, Y. (2021) ‘Smart energy systems in hospitality: Current applications and future potential’, </w:t>
      </w:r>
      <w:r w:rsidRPr="00E941CA">
        <w:rPr>
          <w:i/>
          <w:iCs/>
          <w:lang w:val="en-GB"/>
        </w:rPr>
        <w:t>Energy Reports</w:t>
      </w:r>
      <w:r w:rsidRPr="00E941CA">
        <w:rPr>
          <w:lang w:val="en-GB"/>
        </w:rPr>
        <w:t xml:space="preserve">, 7, pp. 5769–5780. </w:t>
      </w:r>
      <w:hyperlink r:id="rId13" w:tgtFrame="_new" w:history="1">
        <w:r w:rsidRPr="00E941CA">
          <w:rPr>
            <w:rStyle w:val="Hyperlink"/>
            <w:lang w:val="en-GB"/>
          </w:rPr>
          <w:t>https://doi.org/10.1016/j.egyr.2021.08.152</w:t>
        </w:r>
      </w:hyperlink>
      <w:r w:rsidRPr="00E941CA">
        <w:rPr>
          <w:lang w:val="en-GB"/>
        </w:rPr>
        <w:t xml:space="preserve"> (Accessed: 19 May 2025).</w:t>
      </w:r>
    </w:p>
    <w:p w14:paraId="15D21F1F" w14:textId="77777777" w:rsidR="00E941CA" w:rsidRDefault="00E941CA" w:rsidP="00EE4D72"/>
    <w:p w14:paraId="57DD753A" w14:textId="77777777" w:rsidR="00295A12" w:rsidRDefault="00295A12" w:rsidP="00EE4D72"/>
    <w:p w14:paraId="6D2DCAE4" w14:textId="77777777" w:rsidR="00295A12" w:rsidRDefault="00295A12" w:rsidP="00EE4D72"/>
    <w:p w14:paraId="34E548E7" w14:textId="77777777" w:rsidR="00295A12" w:rsidRDefault="00295A12" w:rsidP="00EE4D72"/>
    <w:p w14:paraId="0D1A48D5" w14:textId="77777777" w:rsidR="00295A12" w:rsidRDefault="00295A12" w:rsidP="00EE4D72"/>
    <w:p w14:paraId="04D7D7C2" w14:textId="77777777" w:rsidR="00295A12" w:rsidRDefault="00295A12" w:rsidP="00EE4D72"/>
    <w:p w14:paraId="3BCEEDD3" w14:textId="77777777" w:rsidR="00295A12" w:rsidRDefault="00295A12" w:rsidP="00EE4D72"/>
    <w:p w14:paraId="1EF05E52" w14:textId="77777777" w:rsidR="00295A12" w:rsidRDefault="00295A12" w:rsidP="00EE4D72"/>
    <w:p w14:paraId="0F76243A" w14:textId="77777777" w:rsidR="00295A12" w:rsidRDefault="00295A12" w:rsidP="00EE4D72"/>
    <w:p w14:paraId="5626CF44" w14:textId="77777777" w:rsidR="00295A12" w:rsidRDefault="00295A12" w:rsidP="00EE4D72"/>
    <w:p w14:paraId="19BAF582" w14:textId="77777777" w:rsidR="00295A12" w:rsidRDefault="00295A12" w:rsidP="00EE4D72"/>
    <w:p w14:paraId="43CAAD61" w14:textId="6EB675ED" w:rsidR="00295A12" w:rsidRDefault="00295A12" w:rsidP="00EE4D72">
      <w:pPr>
        <w:rPr>
          <w:b/>
          <w:bCs/>
          <w:sz w:val="32"/>
          <w:szCs w:val="32"/>
        </w:rPr>
      </w:pPr>
      <w:r>
        <w:lastRenderedPageBreak/>
        <w:t xml:space="preserve">                                                 </w:t>
      </w:r>
      <w:r w:rsidRPr="00295A12">
        <w:rPr>
          <w:b/>
          <w:bCs/>
          <w:sz w:val="32"/>
          <w:szCs w:val="32"/>
        </w:rPr>
        <w:t>AI Declaration</w:t>
      </w:r>
    </w:p>
    <w:p w14:paraId="17F0FAF7" w14:textId="77777777" w:rsidR="00295A12" w:rsidRDefault="00295A12" w:rsidP="00EE4D72">
      <w:pPr>
        <w:rPr>
          <w:b/>
          <w:bCs/>
          <w:sz w:val="32"/>
          <w:szCs w:val="32"/>
        </w:rPr>
      </w:pPr>
    </w:p>
    <w:p w14:paraId="1C1C7980" w14:textId="6033044B" w:rsidR="00295A12" w:rsidRPr="00295A12" w:rsidRDefault="00295A12" w:rsidP="00EE4D72">
      <w:pPr>
        <w:rPr>
          <w:b/>
          <w:bCs/>
          <w:sz w:val="32"/>
          <w:szCs w:val="32"/>
        </w:rPr>
      </w:pPr>
      <w:r>
        <w:rPr>
          <w:rFonts w:ascii="Arial" w:hAnsi="Arial" w:cs="Arial"/>
          <w:color w:val="001D35"/>
          <w:sz w:val="27"/>
          <w:szCs w:val="27"/>
          <w:shd w:val="clear" w:color="auto" w:fill="FFFFFF"/>
        </w:rPr>
        <w:t xml:space="preserve">I </w:t>
      </w:r>
      <w:r>
        <w:rPr>
          <w:rFonts w:ascii="Arial" w:hAnsi="Arial" w:cs="Arial"/>
          <w:color w:val="001D35"/>
          <w:sz w:val="27"/>
          <w:szCs w:val="27"/>
          <w:shd w:val="clear" w:color="auto" w:fill="FFFFFF"/>
        </w:rPr>
        <w:t xml:space="preserve">Abdur Rahman </w:t>
      </w:r>
      <w:r>
        <w:rPr>
          <w:rFonts w:ascii="Arial" w:hAnsi="Arial" w:cs="Arial"/>
          <w:color w:val="001D35"/>
          <w:sz w:val="27"/>
          <w:szCs w:val="27"/>
          <w:shd w:val="clear" w:color="auto" w:fill="FFFFFF"/>
        </w:rPr>
        <w:t>hereby declare that the submitted assignment is my original work. I have not utilized any artificial intelligence (AI) tools, including language models, to generate, write, or modify any part of this assignment. I understand that using AI to create work that is intended to be my own is considered academic misconduct.</w:t>
      </w:r>
    </w:p>
    <w:sectPr w:rsidR="00295A12" w:rsidRPr="00295A12"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B6C01" w14:textId="77777777" w:rsidR="00994FBA" w:rsidRDefault="00994FBA" w:rsidP="008E6723">
      <w:pPr>
        <w:spacing w:after="0" w:line="240" w:lineRule="auto"/>
      </w:pPr>
      <w:r>
        <w:separator/>
      </w:r>
    </w:p>
  </w:endnote>
  <w:endnote w:type="continuationSeparator" w:id="0">
    <w:p w14:paraId="69331FE9" w14:textId="77777777" w:rsidR="00994FBA" w:rsidRDefault="00994FBA" w:rsidP="008E67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136E5" w14:textId="77777777" w:rsidR="00994FBA" w:rsidRDefault="00994FBA" w:rsidP="008E6723">
      <w:pPr>
        <w:spacing w:after="0" w:line="240" w:lineRule="auto"/>
      </w:pPr>
      <w:r>
        <w:separator/>
      </w:r>
    </w:p>
  </w:footnote>
  <w:footnote w:type="continuationSeparator" w:id="0">
    <w:p w14:paraId="65520782" w14:textId="77777777" w:rsidR="00994FBA" w:rsidRDefault="00994FBA" w:rsidP="008E67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4481009"/>
    <w:multiLevelType w:val="hybridMultilevel"/>
    <w:tmpl w:val="9D9C0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3298067">
    <w:abstractNumId w:val="8"/>
  </w:num>
  <w:num w:numId="2" w16cid:durableId="1746024538">
    <w:abstractNumId w:val="6"/>
  </w:num>
  <w:num w:numId="3" w16cid:durableId="1718891563">
    <w:abstractNumId w:val="5"/>
  </w:num>
  <w:num w:numId="4" w16cid:durableId="834879743">
    <w:abstractNumId w:val="4"/>
  </w:num>
  <w:num w:numId="5" w16cid:durableId="1064378025">
    <w:abstractNumId w:val="7"/>
  </w:num>
  <w:num w:numId="6" w16cid:durableId="1574772707">
    <w:abstractNumId w:val="3"/>
  </w:num>
  <w:num w:numId="7" w16cid:durableId="121504410">
    <w:abstractNumId w:val="2"/>
  </w:num>
  <w:num w:numId="8" w16cid:durableId="638196018">
    <w:abstractNumId w:val="1"/>
  </w:num>
  <w:num w:numId="9" w16cid:durableId="1136414004">
    <w:abstractNumId w:val="0"/>
  </w:num>
  <w:num w:numId="10" w16cid:durableId="12528169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5216"/>
    <w:rsid w:val="0011351F"/>
    <w:rsid w:val="0015074B"/>
    <w:rsid w:val="00201E4E"/>
    <w:rsid w:val="00295A12"/>
    <w:rsid w:val="0029639D"/>
    <w:rsid w:val="0032609C"/>
    <w:rsid w:val="00326F90"/>
    <w:rsid w:val="00546AD5"/>
    <w:rsid w:val="005654F4"/>
    <w:rsid w:val="00572A07"/>
    <w:rsid w:val="00602FE2"/>
    <w:rsid w:val="007314E6"/>
    <w:rsid w:val="007E63BB"/>
    <w:rsid w:val="008E6723"/>
    <w:rsid w:val="00994FBA"/>
    <w:rsid w:val="00AA1D8D"/>
    <w:rsid w:val="00B47730"/>
    <w:rsid w:val="00C02A30"/>
    <w:rsid w:val="00CB0664"/>
    <w:rsid w:val="00CC5781"/>
    <w:rsid w:val="00E1465C"/>
    <w:rsid w:val="00E941CA"/>
    <w:rsid w:val="00EE4D7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D9AD64"/>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D72"/>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E4D72"/>
    <w:pPr>
      <w:outlineLvl w:val="0"/>
    </w:pPr>
    <w:rPr>
      <w:b/>
      <w:bCs/>
      <w:lang w:val="en-GB"/>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EE4D72"/>
    <w:rPr>
      <w:rFonts w:ascii="Times New Roman" w:hAnsi="Times New Roman" w:cs="Times New Roman"/>
      <w:b/>
      <w:bCs/>
      <w:sz w:val="24"/>
      <w:szCs w:val="24"/>
      <w:lang w:val="en-GB"/>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E4D72"/>
    <w:pPr>
      <w:spacing w:after="100"/>
    </w:pPr>
  </w:style>
  <w:style w:type="character" w:styleId="Hyperlink">
    <w:name w:val="Hyperlink"/>
    <w:basedOn w:val="DefaultParagraphFont"/>
    <w:uiPriority w:val="99"/>
    <w:unhideWhenUsed/>
    <w:rsid w:val="00EE4D72"/>
    <w:rPr>
      <w:color w:val="0000FF" w:themeColor="hyperlink"/>
      <w:u w:val="single"/>
    </w:rPr>
  </w:style>
  <w:style w:type="character" w:customStyle="1" w:styleId="UnresolvedMention1">
    <w:name w:val="Unresolved Mention1"/>
    <w:basedOn w:val="DefaultParagraphFont"/>
    <w:uiPriority w:val="99"/>
    <w:semiHidden/>
    <w:unhideWhenUsed/>
    <w:rsid w:val="00E941CA"/>
    <w:rPr>
      <w:color w:val="605E5C"/>
      <w:shd w:val="clear" w:color="auto" w:fill="E1DFDD"/>
    </w:rPr>
  </w:style>
  <w:style w:type="paragraph" w:styleId="BalloonText">
    <w:name w:val="Balloon Text"/>
    <w:basedOn w:val="Normal"/>
    <w:link w:val="BalloonTextChar"/>
    <w:uiPriority w:val="99"/>
    <w:semiHidden/>
    <w:unhideWhenUsed/>
    <w:rsid w:val="00602F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FE2"/>
    <w:rPr>
      <w:rFonts w:ascii="Tahoma" w:hAnsi="Tahoma" w:cs="Tahoma"/>
      <w:sz w:val="16"/>
      <w:szCs w:val="16"/>
    </w:rPr>
  </w:style>
  <w:style w:type="character" w:customStyle="1" w:styleId="uv3um">
    <w:name w:val="uv3um"/>
    <w:basedOn w:val="DefaultParagraphFont"/>
    <w:rsid w:val="00295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8876">
      <w:bodyDiv w:val="1"/>
      <w:marLeft w:val="0"/>
      <w:marRight w:val="0"/>
      <w:marTop w:val="0"/>
      <w:marBottom w:val="0"/>
      <w:divBdr>
        <w:top w:val="none" w:sz="0" w:space="0" w:color="auto"/>
        <w:left w:val="none" w:sz="0" w:space="0" w:color="auto"/>
        <w:bottom w:val="none" w:sz="0" w:space="0" w:color="auto"/>
        <w:right w:val="none" w:sz="0" w:space="0" w:color="auto"/>
      </w:divBdr>
    </w:div>
    <w:div w:id="33427613">
      <w:bodyDiv w:val="1"/>
      <w:marLeft w:val="0"/>
      <w:marRight w:val="0"/>
      <w:marTop w:val="0"/>
      <w:marBottom w:val="0"/>
      <w:divBdr>
        <w:top w:val="none" w:sz="0" w:space="0" w:color="auto"/>
        <w:left w:val="none" w:sz="0" w:space="0" w:color="auto"/>
        <w:bottom w:val="none" w:sz="0" w:space="0" w:color="auto"/>
        <w:right w:val="none" w:sz="0" w:space="0" w:color="auto"/>
      </w:divBdr>
    </w:div>
    <w:div w:id="40639398">
      <w:bodyDiv w:val="1"/>
      <w:marLeft w:val="0"/>
      <w:marRight w:val="0"/>
      <w:marTop w:val="0"/>
      <w:marBottom w:val="0"/>
      <w:divBdr>
        <w:top w:val="none" w:sz="0" w:space="0" w:color="auto"/>
        <w:left w:val="none" w:sz="0" w:space="0" w:color="auto"/>
        <w:bottom w:val="none" w:sz="0" w:space="0" w:color="auto"/>
        <w:right w:val="none" w:sz="0" w:space="0" w:color="auto"/>
      </w:divBdr>
    </w:div>
    <w:div w:id="64306588">
      <w:bodyDiv w:val="1"/>
      <w:marLeft w:val="0"/>
      <w:marRight w:val="0"/>
      <w:marTop w:val="0"/>
      <w:marBottom w:val="0"/>
      <w:divBdr>
        <w:top w:val="none" w:sz="0" w:space="0" w:color="auto"/>
        <w:left w:val="none" w:sz="0" w:space="0" w:color="auto"/>
        <w:bottom w:val="none" w:sz="0" w:space="0" w:color="auto"/>
        <w:right w:val="none" w:sz="0" w:space="0" w:color="auto"/>
      </w:divBdr>
    </w:div>
    <w:div w:id="211037168">
      <w:bodyDiv w:val="1"/>
      <w:marLeft w:val="0"/>
      <w:marRight w:val="0"/>
      <w:marTop w:val="0"/>
      <w:marBottom w:val="0"/>
      <w:divBdr>
        <w:top w:val="none" w:sz="0" w:space="0" w:color="auto"/>
        <w:left w:val="none" w:sz="0" w:space="0" w:color="auto"/>
        <w:bottom w:val="none" w:sz="0" w:space="0" w:color="auto"/>
        <w:right w:val="none" w:sz="0" w:space="0" w:color="auto"/>
      </w:divBdr>
    </w:div>
    <w:div w:id="428939182">
      <w:bodyDiv w:val="1"/>
      <w:marLeft w:val="0"/>
      <w:marRight w:val="0"/>
      <w:marTop w:val="0"/>
      <w:marBottom w:val="0"/>
      <w:divBdr>
        <w:top w:val="none" w:sz="0" w:space="0" w:color="auto"/>
        <w:left w:val="none" w:sz="0" w:space="0" w:color="auto"/>
        <w:bottom w:val="none" w:sz="0" w:space="0" w:color="auto"/>
        <w:right w:val="none" w:sz="0" w:space="0" w:color="auto"/>
      </w:divBdr>
    </w:div>
    <w:div w:id="476461741">
      <w:bodyDiv w:val="1"/>
      <w:marLeft w:val="0"/>
      <w:marRight w:val="0"/>
      <w:marTop w:val="0"/>
      <w:marBottom w:val="0"/>
      <w:divBdr>
        <w:top w:val="none" w:sz="0" w:space="0" w:color="auto"/>
        <w:left w:val="none" w:sz="0" w:space="0" w:color="auto"/>
        <w:bottom w:val="none" w:sz="0" w:space="0" w:color="auto"/>
        <w:right w:val="none" w:sz="0" w:space="0" w:color="auto"/>
      </w:divBdr>
    </w:div>
    <w:div w:id="626082868">
      <w:bodyDiv w:val="1"/>
      <w:marLeft w:val="0"/>
      <w:marRight w:val="0"/>
      <w:marTop w:val="0"/>
      <w:marBottom w:val="0"/>
      <w:divBdr>
        <w:top w:val="none" w:sz="0" w:space="0" w:color="auto"/>
        <w:left w:val="none" w:sz="0" w:space="0" w:color="auto"/>
        <w:bottom w:val="none" w:sz="0" w:space="0" w:color="auto"/>
        <w:right w:val="none" w:sz="0" w:space="0" w:color="auto"/>
      </w:divBdr>
    </w:div>
    <w:div w:id="665325520">
      <w:bodyDiv w:val="1"/>
      <w:marLeft w:val="0"/>
      <w:marRight w:val="0"/>
      <w:marTop w:val="0"/>
      <w:marBottom w:val="0"/>
      <w:divBdr>
        <w:top w:val="none" w:sz="0" w:space="0" w:color="auto"/>
        <w:left w:val="none" w:sz="0" w:space="0" w:color="auto"/>
        <w:bottom w:val="none" w:sz="0" w:space="0" w:color="auto"/>
        <w:right w:val="none" w:sz="0" w:space="0" w:color="auto"/>
      </w:divBdr>
    </w:div>
    <w:div w:id="970750600">
      <w:bodyDiv w:val="1"/>
      <w:marLeft w:val="0"/>
      <w:marRight w:val="0"/>
      <w:marTop w:val="0"/>
      <w:marBottom w:val="0"/>
      <w:divBdr>
        <w:top w:val="none" w:sz="0" w:space="0" w:color="auto"/>
        <w:left w:val="none" w:sz="0" w:space="0" w:color="auto"/>
        <w:bottom w:val="none" w:sz="0" w:space="0" w:color="auto"/>
        <w:right w:val="none" w:sz="0" w:space="0" w:color="auto"/>
      </w:divBdr>
    </w:div>
    <w:div w:id="1492481545">
      <w:bodyDiv w:val="1"/>
      <w:marLeft w:val="0"/>
      <w:marRight w:val="0"/>
      <w:marTop w:val="0"/>
      <w:marBottom w:val="0"/>
      <w:divBdr>
        <w:top w:val="none" w:sz="0" w:space="0" w:color="auto"/>
        <w:left w:val="none" w:sz="0" w:space="0" w:color="auto"/>
        <w:bottom w:val="none" w:sz="0" w:space="0" w:color="auto"/>
        <w:right w:val="none" w:sz="0" w:space="0" w:color="auto"/>
      </w:divBdr>
    </w:div>
    <w:div w:id="1511138608">
      <w:bodyDiv w:val="1"/>
      <w:marLeft w:val="0"/>
      <w:marRight w:val="0"/>
      <w:marTop w:val="0"/>
      <w:marBottom w:val="0"/>
      <w:divBdr>
        <w:top w:val="none" w:sz="0" w:space="0" w:color="auto"/>
        <w:left w:val="none" w:sz="0" w:space="0" w:color="auto"/>
        <w:bottom w:val="none" w:sz="0" w:space="0" w:color="auto"/>
        <w:right w:val="none" w:sz="0" w:space="0" w:color="auto"/>
      </w:divBdr>
    </w:div>
    <w:div w:id="1570648126">
      <w:bodyDiv w:val="1"/>
      <w:marLeft w:val="0"/>
      <w:marRight w:val="0"/>
      <w:marTop w:val="0"/>
      <w:marBottom w:val="0"/>
      <w:divBdr>
        <w:top w:val="none" w:sz="0" w:space="0" w:color="auto"/>
        <w:left w:val="none" w:sz="0" w:space="0" w:color="auto"/>
        <w:bottom w:val="none" w:sz="0" w:space="0" w:color="auto"/>
        <w:right w:val="none" w:sz="0" w:space="0" w:color="auto"/>
      </w:divBdr>
    </w:div>
    <w:div w:id="1705864870">
      <w:bodyDiv w:val="1"/>
      <w:marLeft w:val="0"/>
      <w:marRight w:val="0"/>
      <w:marTop w:val="0"/>
      <w:marBottom w:val="0"/>
      <w:divBdr>
        <w:top w:val="none" w:sz="0" w:space="0" w:color="auto"/>
        <w:left w:val="none" w:sz="0" w:space="0" w:color="auto"/>
        <w:bottom w:val="none" w:sz="0" w:space="0" w:color="auto"/>
        <w:right w:val="none" w:sz="0" w:space="0" w:color="auto"/>
      </w:divBdr>
    </w:div>
    <w:div w:id="1708871292">
      <w:bodyDiv w:val="1"/>
      <w:marLeft w:val="0"/>
      <w:marRight w:val="0"/>
      <w:marTop w:val="0"/>
      <w:marBottom w:val="0"/>
      <w:divBdr>
        <w:top w:val="none" w:sz="0" w:space="0" w:color="auto"/>
        <w:left w:val="none" w:sz="0" w:space="0" w:color="auto"/>
        <w:bottom w:val="none" w:sz="0" w:space="0" w:color="auto"/>
        <w:right w:val="none" w:sz="0" w:space="0" w:color="auto"/>
      </w:divBdr>
    </w:div>
    <w:div w:id="1852598020">
      <w:bodyDiv w:val="1"/>
      <w:marLeft w:val="0"/>
      <w:marRight w:val="0"/>
      <w:marTop w:val="0"/>
      <w:marBottom w:val="0"/>
      <w:divBdr>
        <w:top w:val="none" w:sz="0" w:space="0" w:color="auto"/>
        <w:left w:val="none" w:sz="0" w:space="0" w:color="auto"/>
        <w:bottom w:val="none" w:sz="0" w:space="0" w:color="auto"/>
        <w:right w:val="none" w:sz="0" w:space="0" w:color="auto"/>
      </w:divBdr>
    </w:div>
    <w:div w:id="1855069052">
      <w:bodyDiv w:val="1"/>
      <w:marLeft w:val="0"/>
      <w:marRight w:val="0"/>
      <w:marTop w:val="0"/>
      <w:marBottom w:val="0"/>
      <w:divBdr>
        <w:top w:val="none" w:sz="0" w:space="0" w:color="auto"/>
        <w:left w:val="none" w:sz="0" w:space="0" w:color="auto"/>
        <w:bottom w:val="none" w:sz="0" w:space="0" w:color="auto"/>
        <w:right w:val="none" w:sz="0" w:space="0" w:color="auto"/>
      </w:divBdr>
    </w:div>
    <w:div w:id="19806456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view.sg/six-senses/" TargetMode="External"/><Relationship Id="rId13" Type="http://schemas.openxmlformats.org/officeDocument/2006/relationships/hyperlink" Target="https://doi.org/10.1016/j.egyr.2021.08.1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wto.org/sustainable-develop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ep.org/resources/report/business-and-climate-change-hospitality-pathwa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lean.marriott.com/" TargetMode="External"/><Relationship Id="rId4" Type="http://schemas.openxmlformats.org/officeDocument/2006/relationships/settings" Target="settings.xml"/><Relationship Id="rId9" Type="http://schemas.openxmlformats.org/officeDocument/2006/relationships/hyperlink" Target="https://esg.hilton.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5BFBB-DBE8-465E-81CC-01D3A516B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3992</Words>
  <Characters>22760</Characters>
  <Application>Microsoft Office Word</Application>
  <DocSecurity>0</DocSecurity>
  <Lines>189</Lines>
  <Paragraphs>53</Paragraphs>
  <ScaleCrop>false</ScaleCrop>
  <Manager/>
  <Company/>
  <LinksUpToDate>false</LinksUpToDate>
  <CharactersWithSpaces>26699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2025-05-19T19:13:00Z</dcterms:created>
  <dcterms:modified xsi:type="dcterms:W3CDTF">2025-05-26T00:53:00Z</dcterms:modified>
  <cp:category/>
</cp:coreProperties>
</file>