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AD4EA04" w14:textId="77777777" w:rsidR="00366375" w:rsidRPr="00366375" w:rsidRDefault="00366375" w:rsidP="00BC5A52">
      <w:pPr>
        <w:spacing w:before="100" w:beforeAutospacing="1" w:after="100" w:afterAutospacing="1" w:line="480" w:lineRule="auto"/>
        <w:rPr>
          <w:rFonts w:ascii="Times New Roman" w:eastAsia="Times New Roman" w:hAnsi="Times New Roman" w:cs="Times New Roman"/>
          <w:color w:val="000000"/>
          <w:kern w:val="0"/>
          <w:lang w:eastAsia="en-GB"/>
          <w14:ligatures w14:val="none"/>
        </w:rPr>
      </w:pPr>
      <w:r w:rsidRPr="00366375">
        <w:rPr>
          <w:rFonts w:ascii="Times New Roman" w:eastAsia="Times New Roman" w:hAnsi="Times New Roman" w:cs="Times New Roman"/>
          <w:b/>
          <w:bCs/>
          <w:color w:val="000000"/>
          <w:kern w:val="0"/>
          <w:lang w:eastAsia="en-GB"/>
          <w14:ligatures w14:val="none"/>
        </w:rPr>
        <w:t>Abstract</w:t>
      </w:r>
    </w:p>
    <w:p w14:paraId="55228AA5" w14:textId="77777777" w:rsidR="00366375" w:rsidRPr="00366375" w:rsidRDefault="00366375" w:rsidP="00BC5A52">
      <w:pPr>
        <w:spacing w:before="100" w:beforeAutospacing="1" w:after="100" w:afterAutospacing="1" w:line="480" w:lineRule="auto"/>
        <w:rPr>
          <w:rFonts w:ascii="Times New Roman" w:eastAsia="Times New Roman" w:hAnsi="Times New Roman" w:cs="Times New Roman"/>
          <w:color w:val="000000"/>
          <w:kern w:val="0"/>
          <w:lang w:eastAsia="en-GB"/>
          <w14:ligatures w14:val="none"/>
        </w:rPr>
      </w:pPr>
      <w:r w:rsidRPr="00366375">
        <w:rPr>
          <w:rFonts w:ascii="Times New Roman" w:eastAsia="Times New Roman" w:hAnsi="Times New Roman" w:cs="Times New Roman"/>
          <w:color w:val="000000"/>
          <w:kern w:val="0"/>
          <w:lang w:eastAsia="en-GB"/>
          <w14:ligatures w14:val="none"/>
        </w:rPr>
        <w:t>This project examines Artemidorus’ </w:t>
      </w:r>
      <w:r w:rsidRPr="00366375">
        <w:rPr>
          <w:rFonts w:ascii="Times New Roman" w:eastAsia="Times New Roman" w:hAnsi="Times New Roman" w:cs="Times New Roman"/>
          <w:i/>
          <w:iCs/>
          <w:color w:val="000000"/>
          <w:kern w:val="0"/>
          <w:lang w:eastAsia="en-GB"/>
          <w14:ligatures w14:val="none"/>
        </w:rPr>
        <w:t>The Interpretation of Dreams</w:t>
      </w:r>
      <w:r w:rsidRPr="00366375">
        <w:rPr>
          <w:rFonts w:ascii="Times New Roman" w:eastAsia="Times New Roman" w:hAnsi="Times New Roman" w:cs="Times New Roman"/>
          <w:color w:val="000000"/>
          <w:kern w:val="0"/>
          <w:lang w:eastAsia="en-GB"/>
          <w14:ligatures w14:val="none"/>
        </w:rPr>
        <w:t> (</w:t>
      </w:r>
      <w:proofErr w:type="spellStart"/>
      <w:r w:rsidRPr="00366375">
        <w:rPr>
          <w:rFonts w:ascii="Times New Roman" w:eastAsia="Times New Roman" w:hAnsi="Times New Roman" w:cs="Times New Roman"/>
          <w:i/>
          <w:iCs/>
          <w:color w:val="000000"/>
          <w:kern w:val="0"/>
          <w:lang w:eastAsia="en-GB"/>
          <w14:ligatures w14:val="none"/>
        </w:rPr>
        <w:t>Oneirokritika</w:t>
      </w:r>
      <w:proofErr w:type="spellEnd"/>
      <w:r w:rsidRPr="00366375">
        <w:rPr>
          <w:rFonts w:ascii="Times New Roman" w:eastAsia="Times New Roman" w:hAnsi="Times New Roman" w:cs="Times New Roman"/>
          <w:color w:val="000000"/>
          <w:kern w:val="0"/>
          <w:lang w:eastAsia="en-GB"/>
          <w14:ligatures w14:val="none"/>
        </w:rPr>
        <w:t xml:space="preserve">), a five-book manual written in Greek in the later second century CE by a professional interpreter from Ephesus who called himself ‘Daldianus’ after his mother’s city of </w:t>
      </w:r>
      <w:proofErr w:type="spellStart"/>
      <w:r w:rsidRPr="00366375">
        <w:rPr>
          <w:rFonts w:ascii="Times New Roman" w:eastAsia="Times New Roman" w:hAnsi="Times New Roman" w:cs="Times New Roman"/>
          <w:color w:val="000000"/>
          <w:kern w:val="0"/>
          <w:lang w:eastAsia="en-GB"/>
          <w14:ligatures w14:val="none"/>
        </w:rPr>
        <w:t>Daldis</w:t>
      </w:r>
      <w:proofErr w:type="spellEnd"/>
      <w:r w:rsidRPr="00366375">
        <w:rPr>
          <w:rFonts w:ascii="Times New Roman" w:eastAsia="Times New Roman" w:hAnsi="Times New Roman" w:cs="Times New Roman"/>
          <w:color w:val="000000"/>
          <w:kern w:val="0"/>
          <w:lang w:eastAsia="en-GB"/>
          <w14:ligatures w14:val="none"/>
        </w:rPr>
        <w:t>. It is the only dream manual to survive complete from the ancient Mediterranean world, and I will read it in Martin Hammond’s Oxford World’s Classics translation. The project asks what kind of source the work is: a practical handbook for interpreters, an attempt at systematic knowledge, or evidence for the social world of the Roman East.</w:t>
      </w:r>
    </w:p>
    <w:p w14:paraId="292DCB10" w14:textId="77777777" w:rsidR="00366375" w:rsidRPr="00366375" w:rsidRDefault="00366375" w:rsidP="00BC5A52">
      <w:pPr>
        <w:spacing w:before="100" w:beforeAutospacing="1" w:after="100" w:afterAutospacing="1" w:line="480" w:lineRule="auto"/>
        <w:rPr>
          <w:rFonts w:ascii="Times New Roman" w:eastAsia="Times New Roman" w:hAnsi="Times New Roman" w:cs="Times New Roman"/>
          <w:color w:val="000000"/>
          <w:kern w:val="0"/>
          <w:lang w:eastAsia="en-GB"/>
          <w14:ligatures w14:val="none"/>
        </w:rPr>
      </w:pPr>
      <w:r w:rsidRPr="00366375">
        <w:rPr>
          <w:rFonts w:ascii="Times New Roman" w:eastAsia="Times New Roman" w:hAnsi="Times New Roman" w:cs="Times New Roman"/>
          <w:color w:val="000000"/>
          <w:kern w:val="0"/>
          <w:lang w:eastAsia="en-GB"/>
          <w14:ligatures w14:val="none"/>
        </w:rPr>
        <w:t>My main argument is that the work’s value lies not in the accuracy of its interpretations but in the tension between its general rules and its insistence that meaning depends on the individual dreamer. Artemidorus classifies dreams carefully. He separates </w:t>
      </w:r>
      <w:proofErr w:type="spellStart"/>
      <w:r w:rsidRPr="00366375">
        <w:rPr>
          <w:rFonts w:ascii="Times New Roman" w:eastAsia="Times New Roman" w:hAnsi="Times New Roman" w:cs="Times New Roman"/>
          <w:i/>
          <w:iCs/>
          <w:color w:val="000000"/>
          <w:kern w:val="0"/>
          <w:lang w:eastAsia="en-GB"/>
          <w14:ligatures w14:val="none"/>
        </w:rPr>
        <w:t>enhypnia</w:t>
      </w:r>
      <w:proofErr w:type="spellEnd"/>
      <w:r w:rsidRPr="00366375">
        <w:rPr>
          <w:rFonts w:ascii="Times New Roman" w:eastAsia="Times New Roman" w:hAnsi="Times New Roman" w:cs="Times New Roman"/>
          <w:color w:val="000000"/>
          <w:kern w:val="0"/>
          <w:lang w:eastAsia="en-GB"/>
          <w14:ligatures w14:val="none"/>
        </w:rPr>
        <w:t>, which reflect the dreamer’s present state, from predictive </w:t>
      </w:r>
      <w:proofErr w:type="spellStart"/>
      <w:r w:rsidRPr="00366375">
        <w:rPr>
          <w:rFonts w:ascii="Times New Roman" w:eastAsia="Times New Roman" w:hAnsi="Times New Roman" w:cs="Times New Roman"/>
          <w:i/>
          <w:iCs/>
          <w:color w:val="000000"/>
          <w:kern w:val="0"/>
          <w:lang w:eastAsia="en-GB"/>
          <w14:ligatures w14:val="none"/>
        </w:rPr>
        <w:t>oneiroi</w:t>
      </w:r>
      <w:proofErr w:type="spellEnd"/>
      <w:r w:rsidRPr="00366375">
        <w:rPr>
          <w:rFonts w:ascii="Times New Roman" w:eastAsia="Times New Roman" w:hAnsi="Times New Roman" w:cs="Times New Roman"/>
          <w:color w:val="000000"/>
          <w:kern w:val="0"/>
          <w:lang w:eastAsia="en-GB"/>
          <w14:ligatures w14:val="none"/>
        </w:rPr>
        <w:t>, and divides the latter into theorematic and allegorical dreams. Yet he refuses to give any image a single fixed meaning: the same dream signifies differently for a sailor and a merchant, a free man and a slave, a man and a woman. I will argue that this contextual method is more sophisticated than the label ‘dream dictionary’ suggests. It also reveals the work’s dependence on social hierarchy, since status, gender and occupation do not merely affect a dream’s meaning but determine it.</w:t>
      </w:r>
    </w:p>
    <w:p w14:paraId="5CD3E699" w14:textId="77777777" w:rsidR="00366375" w:rsidRPr="00366375" w:rsidRDefault="00366375" w:rsidP="00BC5A52">
      <w:pPr>
        <w:spacing w:before="100" w:beforeAutospacing="1" w:after="100" w:afterAutospacing="1" w:line="480" w:lineRule="auto"/>
        <w:rPr>
          <w:rFonts w:ascii="Times New Roman" w:eastAsia="Times New Roman" w:hAnsi="Times New Roman" w:cs="Times New Roman"/>
          <w:color w:val="000000"/>
          <w:kern w:val="0"/>
          <w:lang w:eastAsia="en-GB"/>
          <w14:ligatures w14:val="none"/>
        </w:rPr>
      </w:pPr>
      <w:r w:rsidRPr="00366375">
        <w:rPr>
          <w:rFonts w:ascii="Times New Roman" w:eastAsia="Times New Roman" w:hAnsi="Times New Roman" w:cs="Times New Roman"/>
          <w:color w:val="000000"/>
          <w:kern w:val="0"/>
          <w:lang w:eastAsia="en-GB"/>
          <w14:ligatures w14:val="none"/>
        </w:rPr>
        <w:t>The project will address five areas:</w:t>
      </w:r>
    </w:p>
    <w:p w14:paraId="484267DA" w14:textId="77777777" w:rsidR="00366375" w:rsidRPr="00366375" w:rsidRDefault="00366375" w:rsidP="00BC5A52">
      <w:pPr>
        <w:numPr>
          <w:ilvl w:val="0"/>
          <w:numId w:val="1"/>
        </w:numPr>
        <w:spacing w:before="100" w:beforeAutospacing="1" w:after="100" w:afterAutospacing="1" w:line="480" w:lineRule="auto"/>
        <w:rPr>
          <w:rFonts w:ascii="Times New Roman" w:eastAsia="Times New Roman" w:hAnsi="Times New Roman" w:cs="Times New Roman"/>
          <w:color w:val="000000"/>
          <w:kern w:val="0"/>
          <w:lang w:eastAsia="en-GB"/>
          <w14:ligatures w14:val="none"/>
        </w:rPr>
      </w:pPr>
      <w:r w:rsidRPr="00366375">
        <w:rPr>
          <w:rFonts w:ascii="Times New Roman" w:eastAsia="Times New Roman" w:hAnsi="Times New Roman" w:cs="Times New Roman"/>
          <w:color w:val="000000"/>
          <w:kern w:val="0"/>
          <w:lang w:eastAsia="en-GB"/>
          <w14:ligatures w14:val="none"/>
        </w:rPr>
        <w:t>the nature and structure of the work, from the principles of Books 1–3 to the casebook of Book 5;</w:t>
      </w:r>
    </w:p>
    <w:p w14:paraId="36970218" w14:textId="77777777" w:rsidR="00366375" w:rsidRPr="00366375" w:rsidRDefault="00366375" w:rsidP="00BC5A52">
      <w:pPr>
        <w:numPr>
          <w:ilvl w:val="0"/>
          <w:numId w:val="1"/>
        </w:numPr>
        <w:spacing w:before="100" w:beforeAutospacing="1" w:after="100" w:afterAutospacing="1" w:line="480" w:lineRule="auto"/>
        <w:rPr>
          <w:rFonts w:ascii="Times New Roman" w:eastAsia="Times New Roman" w:hAnsi="Times New Roman" w:cs="Times New Roman"/>
          <w:color w:val="000000"/>
          <w:kern w:val="0"/>
          <w:lang w:eastAsia="en-GB"/>
          <w14:ligatures w14:val="none"/>
        </w:rPr>
      </w:pPr>
      <w:r w:rsidRPr="00366375">
        <w:rPr>
          <w:rFonts w:ascii="Times New Roman" w:eastAsia="Times New Roman" w:hAnsi="Times New Roman" w:cs="Times New Roman"/>
          <w:color w:val="000000"/>
          <w:kern w:val="0"/>
          <w:lang w:eastAsia="en-GB"/>
          <w14:ligatures w14:val="none"/>
        </w:rPr>
        <w:t>its context, including the Second Sophistic, earlier dream-writers such as Artemon of Miletus, and Aelius Aristides’ </w:t>
      </w:r>
      <w:r w:rsidRPr="00366375">
        <w:rPr>
          <w:rFonts w:ascii="Times New Roman" w:eastAsia="Times New Roman" w:hAnsi="Times New Roman" w:cs="Times New Roman"/>
          <w:i/>
          <w:iCs/>
          <w:color w:val="000000"/>
          <w:kern w:val="0"/>
          <w:lang w:eastAsia="en-GB"/>
          <w14:ligatures w14:val="none"/>
        </w:rPr>
        <w:t>Sacred Tales</w:t>
      </w:r>
      <w:r w:rsidRPr="00366375">
        <w:rPr>
          <w:rFonts w:ascii="Times New Roman" w:eastAsia="Times New Roman" w:hAnsi="Times New Roman" w:cs="Times New Roman"/>
          <w:color w:val="000000"/>
          <w:kern w:val="0"/>
          <w:lang w:eastAsia="en-GB"/>
          <w14:ligatures w14:val="none"/>
        </w:rPr>
        <w:t>;</w:t>
      </w:r>
    </w:p>
    <w:p w14:paraId="5A381BC6" w14:textId="77777777" w:rsidR="00366375" w:rsidRPr="00366375" w:rsidRDefault="00366375" w:rsidP="00BC5A52">
      <w:pPr>
        <w:numPr>
          <w:ilvl w:val="0"/>
          <w:numId w:val="1"/>
        </w:numPr>
        <w:spacing w:before="100" w:beforeAutospacing="1" w:after="100" w:afterAutospacing="1" w:line="480" w:lineRule="auto"/>
        <w:rPr>
          <w:rFonts w:ascii="Times New Roman" w:eastAsia="Times New Roman" w:hAnsi="Times New Roman" w:cs="Times New Roman"/>
          <w:color w:val="000000"/>
          <w:kern w:val="0"/>
          <w:lang w:eastAsia="en-GB"/>
          <w14:ligatures w14:val="none"/>
        </w:rPr>
      </w:pPr>
      <w:r w:rsidRPr="00366375">
        <w:rPr>
          <w:rFonts w:ascii="Times New Roman" w:eastAsia="Times New Roman" w:hAnsi="Times New Roman" w:cs="Times New Roman"/>
          <w:color w:val="000000"/>
          <w:kern w:val="0"/>
          <w:lang w:eastAsia="en-GB"/>
          <w14:ligatures w14:val="none"/>
        </w:rPr>
        <w:lastRenderedPageBreak/>
        <w:t>the major controversies over its interpretation, particularly the sexual dreams and the reliability of the reported cases;</w:t>
      </w:r>
    </w:p>
    <w:p w14:paraId="358E5897" w14:textId="77777777" w:rsidR="00366375" w:rsidRPr="00366375" w:rsidRDefault="00366375" w:rsidP="00BC5A52">
      <w:pPr>
        <w:numPr>
          <w:ilvl w:val="0"/>
          <w:numId w:val="1"/>
        </w:numPr>
        <w:spacing w:before="100" w:beforeAutospacing="1" w:after="100" w:afterAutospacing="1" w:line="480" w:lineRule="auto"/>
        <w:rPr>
          <w:rFonts w:ascii="Times New Roman" w:eastAsia="Times New Roman" w:hAnsi="Times New Roman" w:cs="Times New Roman"/>
          <w:color w:val="000000"/>
          <w:kern w:val="0"/>
          <w:lang w:eastAsia="en-GB"/>
          <w14:ligatures w14:val="none"/>
        </w:rPr>
      </w:pPr>
      <w:r w:rsidRPr="00366375">
        <w:rPr>
          <w:rFonts w:ascii="Times New Roman" w:eastAsia="Times New Roman" w:hAnsi="Times New Roman" w:cs="Times New Roman"/>
          <w:color w:val="000000"/>
          <w:kern w:val="0"/>
          <w:lang w:eastAsia="en-GB"/>
          <w14:ligatures w14:val="none"/>
        </w:rPr>
        <w:t>the methodological approaches that best illuminate it;</w:t>
      </w:r>
    </w:p>
    <w:p w14:paraId="30E974A5" w14:textId="77777777" w:rsidR="00366375" w:rsidRPr="00366375" w:rsidRDefault="00366375" w:rsidP="00BC5A52">
      <w:pPr>
        <w:numPr>
          <w:ilvl w:val="0"/>
          <w:numId w:val="1"/>
        </w:numPr>
        <w:spacing w:before="100" w:beforeAutospacing="1" w:after="100" w:afterAutospacing="1" w:line="480" w:lineRule="auto"/>
        <w:rPr>
          <w:rFonts w:ascii="Times New Roman" w:eastAsia="Times New Roman" w:hAnsi="Times New Roman" w:cs="Times New Roman"/>
          <w:color w:val="000000"/>
          <w:kern w:val="0"/>
          <w:lang w:eastAsia="en-GB"/>
          <w14:ligatures w14:val="none"/>
        </w:rPr>
      </w:pPr>
      <w:r w:rsidRPr="00366375">
        <w:rPr>
          <w:rFonts w:ascii="Times New Roman" w:eastAsia="Times New Roman" w:hAnsi="Times New Roman" w:cs="Times New Roman"/>
          <w:color w:val="000000"/>
          <w:kern w:val="0"/>
          <w:lang w:eastAsia="en-GB"/>
          <w14:ligatures w14:val="none"/>
        </w:rPr>
        <w:t>comparative sources such as Cicero’s </w:t>
      </w:r>
      <w:proofErr w:type="gramStart"/>
      <w:r w:rsidRPr="00366375">
        <w:rPr>
          <w:rFonts w:ascii="Times New Roman" w:eastAsia="Times New Roman" w:hAnsi="Times New Roman" w:cs="Times New Roman"/>
          <w:i/>
          <w:iCs/>
          <w:color w:val="000000"/>
          <w:kern w:val="0"/>
          <w:lang w:eastAsia="en-GB"/>
          <w14:ligatures w14:val="none"/>
        </w:rPr>
        <w:t>On</w:t>
      </w:r>
      <w:proofErr w:type="gramEnd"/>
      <w:r w:rsidRPr="00366375">
        <w:rPr>
          <w:rFonts w:ascii="Times New Roman" w:eastAsia="Times New Roman" w:hAnsi="Times New Roman" w:cs="Times New Roman"/>
          <w:i/>
          <w:iCs/>
          <w:color w:val="000000"/>
          <w:kern w:val="0"/>
          <w:lang w:eastAsia="en-GB"/>
          <w14:ligatures w14:val="none"/>
        </w:rPr>
        <w:t xml:space="preserve"> Divination</w:t>
      </w:r>
      <w:r w:rsidRPr="00366375">
        <w:rPr>
          <w:rFonts w:ascii="Times New Roman" w:eastAsia="Times New Roman" w:hAnsi="Times New Roman" w:cs="Times New Roman"/>
          <w:color w:val="000000"/>
          <w:kern w:val="0"/>
          <w:lang w:eastAsia="en-GB"/>
          <w14:ligatures w14:val="none"/>
        </w:rPr>
        <w:t> and Freud’s </w:t>
      </w:r>
      <w:r w:rsidRPr="00366375">
        <w:rPr>
          <w:rFonts w:ascii="Times New Roman" w:eastAsia="Times New Roman" w:hAnsi="Times New Roman" w:cs="Times New Roman"/>
          <w:i/>
          <w:iCs/>
          <w:color w:val="000000"/>
          <w:kern w:val="0"/>
          <w:lang w:eastAsia="en-GB"/>
          <w14:ligatures w14:val="none"/>
        </w:rPr>
        <w:t>The Interpretation of Dreams</w:t>
      </w:r>
      <w:r w:rsidRPr="00366375">
        <w:rPr>
          <w:rFonts w:ascii="Times New Roman" w:eastAsia="Times New Roman" w:hAnsi="Times New Roman" w:cs="Times New Roman"/>
          <w:color w:val="000000"/>
          <w:kern w:val="0"/>
          <w:lang w:eastAsia="en-GB"/>
          <w14:ligatures w14:val="none"/>
        </w:rPr>
        <w:t>.</w:t>
      </w:r>
    </w:p>
    <w:p w14:paraId="072CA4FA" w14:textId="57D7A1D9" w:rsidR="00366375" w:rsidRPr="00366375" w:rsidRDefault="00366375" w:rsidP="00BC5A52">
      <w:pPr>
        <w:spacing w:before="100" w:beforeAutospacing="1" w:after="100" w:afterAutospacing="1" w:line="480" w:lineRule="auto"/>
        <w:rPr>
          <w:rFonts w:ascii="Times New Roman" w:eastAsia="Times New Roman" w:hAnsi="Times New Roman" w:cs="Times New Roman"/>
          <w:color w:val="000000"/>
          <w:kern w:val="0"/>
          <w:lang w:eastAsia="en-GB"/>
          <w14:ligatures w14:val="none"/>
        </w:rPr>
      </w:pPr>
      <w:r w:rsidRPr="00366375">
        <w:rPr>
          <w:rFonts w:ascii="Times New Roman" w:eastAsia="Times New Roman" w:hAnsi="Times New Roman" w:cs="Times New Roman"/>
          <w:color w:val="000000"/>
          <w:kern w:val="0"/>
          <w:lang w:eastAsia="en-GB"/>
          <w14:ligatures w14:val="none"/>
        </w:rPr>
        <w:t>I align myself with social-historical readings, especially Peter Thonemann’s, which treat the work as evidence for ancient values about status, work and family while recognising that Artemidorus selects and shapes what he records. I am more cautious about Michel Foucault’s and John Winkler’s use of the sexual dreams as a direct window onto ancient sexual norms, and I will ask whether Artemidorus records shared attitudes or imposes a system of his own. On the question of evidence, I draw on Claire Hall’s analysis of how Artemidorus reclassifies unfulfilled dreams as products of the dreamer’s own mind. Hall reads this as a sign of hermeneutic sophistication. I accept that reading but will argue that it also allowed the system to absorb its failures, so the reported cases cannot be treated as reliable evidence of successful prediction. Following Janet Downie’s literary approach to Aristides, I will also read Artemidorus as an author with his own voice and purposes, not only as a source.</w:t>
      </w:r>
    </w:p>
    <w:p w14:paraId="56C1C5CA" w14:textId="77777777" w:rsidR="00366375" w:rsidRPr="00366375" w:rsidRDefault="00366375" w:rsidP="00BC5A52">
      <w:pPr>
        <w:spacing w:before="100" w:beforeAutospacing="1" w:after="100" w:afterAutospacing="1" w:line="480" w:lineRule="auto"/>
        <w:rPr>
          <w:rFonts w:ascii="Times New Roman" w:eastAsia="Times New Roman" w:hAnsi="Times New Roman" w:cs="Times New Roman"/>
          <w:color w:val="000000"/>
          <w:kern w:val="0"/>
          <w:lang w:eastAsia="en-GB"/>
          <w14:ligatures w14:val="none"/>
        </w:rPr>
      </w:pPr>
      <w:r w:rsidRPr="00366375">
        <w:rPr>
          <w:rFonts w:ascii="Times New Roman" w:eastAsia="Times New Roman" w:hAnsi="Times New Roman" w:cs="Times New Roman"/>
          <w:color w:val="000000"/>
          <w:kern w:val="0"/>
          <w:lang w:eastAsia="en-GB"/>
          <w14:ligatures w14:val="none"/>
        </w:rPr>
        <w:t>Finally, I reject two opposite misreadings: that Artemidorus is mere superstition, and that he anticipates Freud. His concern is prediction, not unconscious desire. He is better understood as a serious ancient attempt to organise an ambiguous human experience with the intellectual resources available to him.</w:t>
      </w:r>
    </w:p>
    <w:p w14:paraId="2A0078D6" w14:textId="77777777" w:rsidR="00A168BD" w:rsidRDefault="00A168BD" w:rsidP="00BC5A52">
      <w:pPr>
        <w:spacing w:line="480" w:lineRule="auto"/>
      </w:pPr>
    </w:p>
    <w:sectPr w:rsidR="00A168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73B5E33"/>
    <w:multiLevelType w:val="multilevel"/>
    <w:tmpl w:val="28DCE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019655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375"/>
    <w:rsid w:val="001369AE"/>
    <w:rsid w:val="00165868"/>
    <w:rsid w:val="00366375"/>
    <w:rsid w:val="004074BF"/>
    <w:rsid w:val="00A168BD"/>
    <w:rsid w:val="00BC5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FF0DD9"/>
  <w15:chartTrackingRefBased/>
  <w15:docId w15:val="{28230DD8-BB5E-8F43-9E89-782B9D518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3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63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3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3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3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37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37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37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37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3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63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3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3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3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3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3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3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375"/>
    <w:rPr>
      <w:rFonts w:eastAsiaTheme="majorEastAsia" w:cstheme="majorBidi"/>
      <w:color w:val="272727" w:themeColor="text1" w:themeTint="D8"/>
    </w:rPr>
  </w:style>
  <w:style w:type="paragraph" w:styleId="Title">
    <w:name w:val="Title"/>
    <w:basedOn w:val="Normal"/>
    <w:next w:val="Normal"/>
    <w:link w:val="TitleChar"/>
    <w:uiPriority w:val="10"/>
    <w:qFormat/>
    <w:rsid w:val="003663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3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37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3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3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66375"/>
    <w:rPr>
      <w:i/>
      <w:iCs/>
      <w:color w:val="404040" w:themeColor="text1" w:themeTint="BF"/>
    </w:rPr>
  </w:style>
  <w:style w:type="paragraph" w:styleId="ListParagraph">
    <w:name w:val="List Paragraph"/>
    <w:basedOn w:val="Normal"/>
    <w:uiPriority w:val="34"/>
    <w:qFormat/>
    <w:rsid w:val="00366375"/>
    <w:pPr>
      <w:ind w:left="720"/>
      <w:contextualSpacing/>
    </w:pPr>
  </w:style>
  <w:style w:type="character" w:styleId="IntenseEmphasis">
    <w:name w:val="Intense Emphasis"/>
    <w:basedOn w:val="DefaultParagraphFont"/>
    <w:uiPriority w:val="21"/>
    <w:qFormat/>
    <w:rsid w:val="00366375"/>
    <w:rPr>
      <w:i/>
      <w:iCs/>
      <w:color w:val="0F4761" w:themeColor="accent1" w:themeShade="BF"/>
    </w:rPr>
  </w:style>
  <w:style w:type="paragraph" w:styleId="IntenseQuote">
    <w:name w:val="Intense Quote"/>
    <w:basedOn w:val="Normal"/>
    <w:next w:val="Normal"/>
    <w:link w:val="IntenseQuoteChar"/>
    <w:uiPriority w:val="30"/>
    <w:qFormat/>
    <w:rsid w:val="003663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375"/>
    <w:rPr>
      <w:i/>
      <w:iCs/>
      <w:color w:val="0F4761" w:themeColor="accent1" w:themeShade="BF"/>
    </w:rPr>
  </w:style>
  <w:style w:type="character" w:styleId="IntenseReference">
    <w:name w:val="Intense Reference"/>
    <w:basedOn w:val="DefaultParagraphFont"/>
    <w:uiPriority w:val="32"/>
    <w:qFormat/>
    <w:rsid w:val="00366375"/>
    <w:rPr>
      <w:b/>
      <w:bCs/>
      <w:smallCaps/>
      <w:color w:val="0F4761" w:themeColor="accent1" w:themeShade="BF"/>
      <w:spacing w:val="5"/>
    </w:rPr>
  </w:style>
  <w:style w:type="paragraph" w:styleId="NormalWeb">
    <w:name w:val="Normal (Web)"/>
    <w:basedOn w:val="Normal"/>
    <w:uiPriority w:val="99"/>
    <w:semiHidden/>
    <w:unhideWhenUsed/>
    <w:rsid w:val="0036637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66375"/>
    <w:rPr>
      <w:b/>
      <w:bCs/>
    </w:rPr>
  </w:style>
  <w:style w:type="character" w:customStyle="1" w:styleId="apple-converted-space">
    <w:name w:val="apple-converted-space"/>
    <w:basedOn w:val="DefaultParagraphFont"/>
    <w:rsid w:val="00366375"/>
  </w:style>
  <w:style w:type="character" w:styleId="Emphasis">
    <w:name w:val="Emphasis"/>
    <w:basedOn w:val="DefaultParagraphFont"/>
    <w:uiPriority w:val="20"/>
    <w:qFormat/>
    <w:rsid w:val="0036637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512</Words>
  <Characters>2763</Characters>
  <Application>Microsoft Office Word</Application>
  <DocSecurity>0</DocSecurity>
  <Lines>42</Lines>
  <Paragraphs>12</Paragraphs>
  <ScaleCrop>false</ScaleCrop>
  <Company/>
  <LinksUpToDate>false</LinksUpToDate>
  <CharactersWithSpaces>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Scott</dc:creator>
  <cp:keywords/>
  <dc:description/>
  <cp:lastModifiedBy>Jane Scott</cp:lastModifiedBy>
  <cp:revision>2</cp:revision>
  <dcterms:created xsi:type="dcterms:W3CDTF">2026-10-19T18:13:00Z</dcterms:created>
  <dcterms:modified xsi:type="dcterms:W3CDTF">2026-10-20T17:09:00Z</dcterms:modified>
</cp:coreProperties>
</file>