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1E8EE6" w14:textId="1EF4A220" w:rsidR="00B84D46" w:rsidRDefault="005C1263" w:rsidP="00B84D46">
      <w:pPr>
        <w:spacing w:after="0" w:line="240" w:lineRule="auto"/>
        <w:rPr>
          <w:rFonts w:ascii="Times New Roman" w:eastAsia="Times New Roman" w:hAnsi="Times New Roman" w:cs="Times New Roman"/>
          <w:kern w:val="0"/>
          <w:lang w:eastAsia="en-GB"/>
          <w14:ligatures w14:val="none"/>
        </w:rPr>
      </w:pPr>
      <w:r>
        <w:rPr>
          <w:noProof/>
        </w:rPr>
        <w:drawing>
          <wp:anchor distT="0" distB="0" distL="114300" distR="114300" simplePos="0" relativeHeight="251658240" behindDoc="0" locked="0" layoutInCell="1" allowOverlap="1" wp14:anchorId="07E6BC2F" wp14:editId="533A31A7">
            <wp:simplePos x="0" y="0"/>
            <wp:positionH relativeFrom="margin">
              <wp:align>right</wp:align>
            </wp:positionH>
            <wp:positionV relativeFrom="paragraph">
              <wp:posOffset>356</wp:posOffset>
            </wp:positionV>
            <wp:extent cx="3449320" cy="982980"/>
            <wp:effectExtent l="0" t="0" r="0" b="7620"/>
            <wp:wrapSquare wrapText="bothSides"/>
            <wp:docPr id="1"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49320" cy="982980"/>
                    </a:xfrm>
                    <a:prstGeom prst="rect">
                      <a:avLst/>
                    </a:prstGeom>
                    <a:noFill/>
                    <a:ln>
                      <a:noFill/>
                    </a:ln>
                  </pic:spPr>
                </pic:pic>
              </a:graphicData>
            </a:graphic>
          </wp:anchor>
        </w:drawing>
      </w:r>
    </w:p>
    <w:p w14:paraId="60B4D0F3"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CE31787"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746A5704" w14:textId="77777777" w:rsidR="00356E74" w:rsidRPr="00356E74" w:rsidRDefault="00356E74" w:rsidP="00356E74">
      <w:pPr>
        <w:spacing w:before="100" w:beforeAutospacing="1" w:after="100" w:afterAutospacing="1" w:line="240" w:lineRule="auto"/>
        <w:rPr>
          <w:rFonts w:ascii="Arial" w:eastAsia="Times New Roman" w:hAnsi="Arial" w:cs="Arial"/>
          <w:b/>
          <w:bCs/>
          <w:kern w:val="0"/>
          <w:lang w:eastAsia="en-GB"/>
          <w14:ligatures w14:val="none"/>
        </w:rPr>
      </w:pPr>
      <w:r w:rsidRPr="00356E74">
        <w:rPr>
          <w:rFonts w:ascii="Arial" w:eastAsia="Times New Roman" w:hAnsi="Arial" w:cs="Arial"/>
          <w:kern w:val="0"/>
          <w:lang w:eastAsia="en-GB"/>
          <w14:ligatures w14:val="none"/>
        </w:rPr>
        <w:t>Sharlotte Winstanley</w:t>
      </w:r>
    </w:p>
    <w:p w14:paraId="700F3387" w14:textId="0813A33F" w:rsidR="00356E74" w:rsidRPr="00356E74" w:rsidRDefault="00356E74" w:rsidP="00356E74">
      <w:pPr>
        <w:spacing w:before="100" w:beforeAutospacing="1" w:after="100" w:afterAutospacing="1" w:line="240" w:lineRule="auto"/>
        <w:rPr>
          <w:rFonts w:ascii="Arial" w:eastAsia="Times New Roman" w:hAnsi="Arial" w:cs="Arial"/>
          <w:b/>
          <w:bCs/>
          <w:kern w:val="0"/>
          <w:lang w:eastAsia="en-GB"/>
          <w14:ligatures w14:val="none"/>
        </w:rPr>
      </w:pPr>
      <w:r w:rsidRPr="00356E74">
        <w:rPr>
          <w:rFonts w:ascii="Arial" w:eastAsia="Times New Roman" w:hAnsi="Arial" w:cs="Arial"/>
          <w:kern w:val="0"/>
          <w:lang w:eastAsia="en-GB"/>
          <w14:ligatures w14:val="none"/>
        </w:rPr>
        <w:t>Student number: 2441177</w:t>
      </w:r>
    </w:p>
    <w:p w14:paraId="1238AB52" w14:textId="69E207F2" w:rsidR="00356E74" w:rsidRPr="00356E74" w:rsidRDefault="00356E74" w:rsidP="00356E74">
      <w:pPr>
        <w:spacing w:after="0" w:line="240" w:lineRule="auto"/>
        <w:rPr>
          <w:rFonts w:ascii="Arial" w:eastAsia="Times New Roman" w:hAnsi="Arial" w:cs="Arial"/>
          <w:kern w:val="0"/>
          <w:lang w:eastAsia="en-GB"/>
          <w14:ligatures w14:val="none"/>
        </w:rPr>
      </w:pPr>
      <w:r w:rsidRPr="00356E74">
        <w:rPr>
          <w:rFonts w:ascii="Arial" w:eastAsia="Times New Roman" w:hAnsi="Arial" w:cs="Arial"/>
          <w:kern w:val="0"/>
          <w:lang w:eastAsia="en-GB"/>
          <w14:ligatures w14:val="none"/>
        </w:rPr>
        <w:t>Peace</w:t>
      </w:r>
      <w:r>
        <w:rPr>
          <w:rFonts w:ascii="Arial" w:eastAsia="Times New Roman" w:hAnsi="Arial" w:cs="Arial"/>
          <w:kern w:val="0"/>
          <w:lang w:eastAsia="en-GB"/>
          <w14:ligatures w14:val="none"/>
        </w:rPr>
        <w:t xml:space="preserve"> Ukac</w:t>
      </w:r>
      <w:r w:rsidR="008015F8">
        <w:rPr>
          <w:rFonts w:ascii="Arial" w:eastAsia="Times New Roman" w:hAnsi="Arial" w:cs="Arial"/>
          <w:kern w:val="0"/>
          <w:lang w:eastAsia="en-GB"/>
          <w14:ligatures w14:val="none"/>
        </w:rPr>
        <w:t>hukwu</w:t>
      </w:r>
    </w:p>
    <w:p w14:paraId="02EE8EE6" w14:textId="77777777" w:rsidR="008015F8" w:rsidRDefault="008015F8" w:rsidP="00356E74">
      <w:pPr>
        <w:spacing w:after="0" w:line="240" w:lineRule="auto"/>
        <w:rPr>
          <w:rFonts w:ascii="Arial" w:eastAsia="Times New Roman" w:hAnsi="Arial" w:cs="Arial"/>
          <w:kern w:val="0"/>
          <w:lang w:eastAsia="en-GB"/>
          <w14:ligatures w14:val="none"/>
        </w:rPr>
      </w:pPr>
    </w:p>
    <w:p w14:paraId="23112436" w14:textId="6FC3EF56" w:rsidR="00356E74" w:rsidRPr="00356E74" w:rsidRDefault="00356E74" w:rsidP="00356E74">
      <w:pPr>
        <w:spacing w:after="0" w:line="240" w:lineRule="auto"/>
        <w:rPr>
          <w:rFonts w:ascii="Arial" w:eastAsia="Times New Roman" w:hAnsi="Arial" w:cs="Arial"/>
          <w:kern w:val="0"/>
          <w:lang w:eastAsia="en-GB"/>
          <w14:ligatures w14:val="none"/>
        </w:rPr>
      </w:pPr>
      <w:proofErr w:type="gramStart"/>
      <w:r w:rsidRPr="00356E74">
        <w:rPr>
          <w:rFonts w:ascii="Arial" w:eastAsia="Times New Roman" w:hAnsi="Arial" w:cs="Arial"/>
          <w:kern w:val="0"/>
          <w:lang w:eastAsia="en-GB"/>
          <w14:ligatures w14:val="none"/>
        </w:rPr>
        <w:t>Module:</w:t>
      </w:r>
      <w:r w:rsidR="008015F8">
        <w:rPr>
          <w:rFonts w:ascii="Arial" w:eastAsia="Times New Roman" w:hAnsi="Arial" w:cs="Arial"/>
          <w:kern w:val="0"/>
          <w:lang w:eastAsia="en-GB"/>
          <w14:ligatures w14:val="none"/>
        </w:rPr>
        <w:t>LCHS</w:t>
      </w:r>
      <w:proofErr w:type="gramEnd"/>
      <w:r w:rsidR="008015F8">
        <w:rPr>
          <w:rFonts w:ascii="Arial" w:eastAsia="Times New Roman" w:hAnsi="Arial" w:cs="Arial"/>
          <w:kern w:val="0"/>
          <w:lang w:eastAsia="en-GB"/>
          <w14:ligatures w14:val="none"/>
        </w:rPr>
        <w:t>4010</w:t>
      </w:r>
    </w:p>
    <w:p w14:paraId="77DC2281"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42C160E3" w14:textId="77777777" w:rsidR="00E57065" w:rsidRDefault="00E57065" w:rsidP="00E57065">
      <w:pPr>
        <w:spacing w:before="100" w:beforeAutospacing="1" w:after="100" w:afterAutospacing="1" w:line="240" w:lineRule="auto"/>
        <w:ind w:left="360"/>
        <w:rPr>
          <w:rFonts w:ascii="Times New Roman" w:eastAsia="Times New Roman" w:hAnsi="Times New Roman" w:cs="Times New Roman"/>
          <w:b/>
          <w:bCs/>
          <w:kern w:val="0"/>
          <w:lang w:eastAsia="en-GB"/>
          <w14:ligatures w14:val="none"/>
        </w:rPr>
      </w:pPr>
    </w:p>
    <w:p w14:paraId="608FF033" w14:textId="0C0C06A6" w:rsidR="00E57065" w:rsidRPr="00E57065" w:rsidRDefault="00552392" w:rsidP="00F44711">
      <w:p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 xml:space="preserve">Erikson, E. H. (1982) – </w:t>
      </w:r>
    </w:p>
    <w:p w14:paraId="679B83AB" w14:textId="1391EF24" w:rsidR="00552392" w:rsidRPr="00552392"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The Life Cycle Completed</w:t>
      </w:r>
      <w:r w:rsidRPr="00552392">
        <w:rPr>
          <w:rFonts w:ascii="Arial" w:eastAsia="Times New Roman" w:hAnsi="Arial" w:cs="Arial"/>
          <w:kern w:val="0"/>
          <w:lang w:eastAsia="en-GB"/>
          <w14:ligatures w14:val="none"/>
        </w:rPr>
        <w:br/>
        <w:t>1.1 Reference</w:t>
      </w:r>
      <w:r w:rsidRPr="00552392">
        <w:rPr>
          <w:rFonts w:ascii="Arial" w:eastAsia="Times New Roman" w:hAnsi="Arial" w:cs="Arial"/>
          <w:kern w:val="0"/>
          <w:lang w:eastAsia="en-GB"/>
          <w14:ligatures w14:val="none"/>
        </w:rPr>
        <w:br/>
        <w:t>1.2 Summary</w:t>
      </w:r>
      <w:r w:rsidRPr="00552392">
        <w:rPr>
          <w:rFonts w:ascii="Arial" w:eastAsia="Times New Roman" w:hAnsi="Arial" w:cs="Arial"/>
          <w:kern w:val="0"/>
          <w:lang w:eastAsia="en-GB"/>
          <w14:ligatures w14:val="none"/>
        </w:rPr>
        <w:br/>
        <w:t xml:space="preserve">1.3 Critical Comment: Relevance to Health and Social Care </w:t>
      </w:r>
    </w:p>
    <w:p w14:paraId="5417244A" w14:textId="77777777" w:rsidR="00552392" w:rsidRPr="00552392"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Havighurst, R. J. (1961) – Successful Aging</w:t>
      </w:r>
      <w:r w:rsidRPr="00552392">
        <w:rPr>
          <w:rFonts w:ascii="Arial" w:eastAsia="Times New Roman" w:hAnsi="Arial" w:cs="Arial"/>
          <w:kern w:val="0"/>
          <w:lang w:eastAsia="en-GB"/>
          <w14:ligatures w14:val="none"/>
        </w:rPr>
        <w:br/>
        <w:t>2.1 Reference</w:t>
      </w:r>
      <w:r w:rsidRPr="00552392">
        <w:rPr>
          <w:rFonts w:ascii="Arial" w:eastAsia="Times New Roman" w:hAnsi="Arial" w:cs="Arial"/>
          <w:kern w:val="0"/>
          <w:lang w:eastAsia="en-GB"/>
          <w14:ligatures w14:val="none"/>
        </w:rPr>
        <w:br/>
        <w:t>2.2 Summary</w:t>
      </w:r>
      <w:r w:rsidRPr="00552392">
        <w:rPr>
          <w:rFonts w:ascii="Arial" w:eastAsia="Times New Roman" w:hAnsi="Arial" w:cs="Arial"/>
          <w:kern w:val="0"/>
          <w:lang w:eastAsia="en-GB"/>
          <w14:ligatures w14:val="none"/>
        </w:rPr>
        <w:br/>
        <w:t xml:space="preserve">2.3 Critical Comment: Relevance to Health and Social Care </w:t>
      </w:r>
    </w:p>
    <w:p w14:paraId="16D81DAD" w14:textId="77777777" w:rsidR="00552392" w:rsidRPr="00552392" w:rsidRDefault="00552392" w:rsidP="00552392">
      <w:pPr>
        <w:numPr>
          <w:ilvl w:val="0"/>
          <w:numId w:val="1"/>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Overall Evaluation</w:t>
      </w:r>
      <w:r w:rsidRPr="00552392">
        <w:rPr>
          <w:rFonts w:ascii="Arial" w:eastAsia="Times New Roman" w:hAnsi="Arial" w:cs="Arial"/>
          <w:kern w:val="0"/>
          <w:lang w:eastAsia="en-GB"/>
          <w14:ligatures w14:val="none"/>
        </w:rPr>
        <w:t xml:space="preserve"> </w:t>
      </w:r>
    </w:p>
    <w:p w14:paraId="7BF733CF" w14:textId="65DCD032" w:rsidR="00552392" w:rsidRPr="00552392" w:rsidRDefault="00552392" w:rsidP="00552392">
      <w:pPr>
        <w:spacing w:after="0" w:line="240" w:lineRule="auto"/>
        <w:rPr>
          <w:rFonts w:ascii="Arial" w:eastAsia="Times New Roman" w:hAnsi="Arial" w:cs="Arial"/>
          <w:kern w:val="0"/>
          <w:lang w:eastAsia="en-GB"/>
          <w14:ligatures w14:val="none"/>
        </w:rPr>
      </w:pPr>
    </w:p>
    <w:p w14:paraId="558B94B8" w14:textId="77777777" w:rsidR="00552392" w:rsidRPr="00552392" w:rsidRDefault="00552392" w:rsidP="00552392">
      <w:pPr>
        <w:spacing w:before="100" w:beforeAutospacing="1" w:after="100" w:afterAutospacing="1" w:line="240" w:lineRule="auto"/>
        <w:outlineLvl w:val="2"/>
        <w:rPr>
          <w:rFonts w:ascii="Arial" w:eastAsia="Times New Roman" w:hAnsi="Arial" w:cs="Arial"/>
          <w:b/>
          <w:bCs/>
          <w:kern w:val="0"/>
          <w:lang w:eastAsia="en-GB"/>
          <w14:ligatures w14:val="none"/>
        </w:rPr>
      </w:pPr>
      <w:r w:rsidRPr="00552392">
        <w:rPr>
          <w:rFonts w:ascii="Arial" w:eastAsia="Times New Roman" w:hAnsi="Arial" w:cs="Arial"/>
          <w:b/>
          <w:bCs/>
          <w:kern w:val="0"/>
          <w:lang w:eastAsia="en-GB"/>
          <w14:ligatures w14:val="none"/>
        </w:rPr>
        <w:t>Part B: Activity Theory in Care Homes</w:t>
      </w:r>
    </w:p>
    <w:p w14:paraId="66D52EE2" w14:textId="77777777" w:rsidR="00552392" w:rsidRPr="00552392"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Introduction</w:t>
      </w:r>
      <w:r w:rsidRPr="00552392">
        <w:rPr>
          <w:rFonts w:ascii="Arial" w:eastAsia="Times New Roman" w:hAnsi="Arial" w:cs="Arial"/>
          <w:kern w:val="0"/>
          <w:lang w:eastAsia="en-GB"/>
          <w14:ligatures w14:val="none"/>
        </w:rPr>
        <w:t xml:space="preserve"> </w:t>
      </w:r>
    </w:p>
    <w:p w14:paraId="1B747E5A" w14:textId="77777777" w:rsidR="00552392" w:rsidRPr="00552392"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What is Activity Theory?</w:t>
      </w:r>
      <w:r w:rsidRPr="00552392">
        <w:rPr>
          <w:rFonts w:ascii="Arial" w:eastAsia="Times New Roman" w:hAnsi="Arial" w:cs="Arial"/>
          <w:kern w:val="0"/>
          <w:lang w:eastAsia="en-GB"/>
          <w14:ligatures w14:val="none"/>
        </w:rPr>
        <w:t xml:space="preserve"> </w:t>
      </w:r>
    </w:p>
    <w:p w14:paraId="5F200BE6" w14:textId="77777777" w:rsidR="00552392" w:rsidRPr="00552392"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Example in Practice</w:t>
      </w:r>
      <w:r w:rsidRPr="00552392">
        <w:rPr>
          <w:rFonts w:ascii="Arial" w:eastAsia="Times New Roman" w:hAnsi="Arial" w:cs="Arial"/>
          <w:kern w:val="0"/>
          <w:lang w:eastAsia="en-GB"/>
          <w14:ligatures w14:val="none"/>
        </w:rPr>
        <w:t xml:space="preserve"> </w:t>
      </w:r>
    </w:p>
    <w:p w14:paraId="6B756226" w14:textId="77777777" w:rsidR="00552392" w:rsidRPr="00552392"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Challenges of Activity Theory</w:t>
      </w:r>
      <w:r w:rsidRPr="00552392">
        <w:rPr>
          <w:rFonts w:ascii="Arial" w:eastAsia="Times New Roman" w:hAnsi="Arial" w:cs="Arial"/>
          <w:kern w:val="0"/>
          <w:lang w:eastAsia="en-GB"/>
          <w14:ligatures w14:val="none"/>
        </w:rPr>
        <w:t xml:space="preserve"> </w:t>
      </w:r>
    </w:p>
    <w:p w14:paraId="114345B7" w14:textId="77777777" w:rsidR="00552392" w:rsidRPr="00552392" w:rsidRDefault="00552392" w:rsidP="00552392">
      <w:pPr>
        <w:numPr>
          <w:ilvl w:val="0"/>
          <w:numId w:val="2"/>
        </w:numPr>
        <w:spacing w:before="100" w:beforeAutospacing="1" w:after="100" w:afterAutospacing="1" w:line="240" w:lineRule="auto"/>
        <w:rPr>
          <w:rFonts w:ascii="Arial" w:eastAsia="Times New Roman" w:hAnsi="Arial" w:cs="Arial"/>
          <w:kern w:val="0"/>
          <w:lang w:eastAsia="en-GB"/>
          <w14:ligatures w14:val="none"/>
        </w:rPr>
      </w:pPr>
      <w:r w:rsidRPr="00552392">
        <w:rPr>
          <w:rFonts w:ascii="Arial" w:eastAsia="Times New Roman" w:hAnsi="Arial" w:cs="Arial"/>
          <w:b/>
          <w:bCs/>
          <w:kern w:val="0"/>
          <w:lang w:eastAsia="en-GB"/>
          <w14:ligatures w14:val="none"/>
        </w:rPr>
        <w:t>Conclusion</w:t>
      </w:r>
    </w:p>
    <w:p w14:paraId="1322A771" w14:textId="390ABCDF"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0F4E8745"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16E774CE"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E2FBC1B"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6AFD1767"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2B91C1F7"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316636F2"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503403DC" w14:textId="77777777" w:rsidR="008638E2" w:rsidRDefault="008638E2" w:rsidP="00B84D46">
      <w:pPr>
        <w:spacing w:before="100" w:beforeAutospacing="1" w:after="100" w:afterAutospacing="1" w:line="240" w:lineRule="auto"/>
        <w:outlineLvl w:val="1"/>
        <w:rPr>
          <w:rFonts w:ascii="Arial" w:eastAsia="Times New Roman" w:hAnsi="Arial" w:cs="Arial"/>
          <w:b/>
          <w:bCs/>
          <w:kern w:val="0"/>
          <w:lang w:eastAsia="en-GB"/>
          <w14:ligatures w14:val="none"/>
        </w:rPr>
      </w:pPr>
    </w:p>
    <w:p w14:paraId="67324C5C" w14:textId="77777777" w:rsidR="008638E2" w:rsidRPr="00F44711" w:rsidRDefault="008638E2" w:rsidP="00B84D46">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435CDF14" w14:textId="444FF303" w:rsidR="00B84D46" w:rsidRPr="00F44711" w:rsidRDefault="00B84D46" w:rsidP="00B84D46">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F44711">
        <w:rPr>
          <w:rFonts w:ascii="Arial" w:eastAsia="Times New Roman" w:hAnsi="Arial" w:cs="Arial"/>
          <w:b/>
          <w:bCs/>
          <w:kern w:val="0"/>
          <w:sz w:val="28"/>
          <w:szCs w:val="28"/>
          <w:lang w:eastAsia="en-GB"/>
          <w14:ligatures w14:val="none"/>
        </w:rPr>
        <w:t>Annotated Bibliography</w:t>
      </w:r>
    </w:p>
    <w:p w14:paraId="5CE6CDB8" w14:textId="77777777" w:rsidR="00B84D46" w:rsidRPr="00B84D46" w:rsidRDefault="00B84D46" w:rsidP="00B84D46">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1. Erikson, E. H. (1982)</w:t>
      </w:r>
    </w:p>
    <w:p w14:paraId="1D6EE250" w14:textId="77777777" w:rsidR="00B84D46" w:rsidRPr="00B84D46" w:rsidRDefault="00B84D46" w:rsidP="00B84D46">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Reference (UWTSD Harvard style):</w:t>
      </w:r>
      <w:r w:rsidRPr="00B84D46">
        <w:rPr>
          <w:rFonts w:ascii="Arial" w:eastAsia="Times New Roman" w:hAnsi="Arial" w:cs="Arial"/>
          <w:kern w:val="0"/>
          <w:sz w:val="22"/>
          <w:szCs w:val="22"/>
          <w:lang w:eastAsia="en-GB"/>
          <w14:ligatures w14:val="none"/>
        </w:rPr>
        <w:br/>
        <w:t xml:space="preserve">Erikson, E.H., 1982. </w:t>
      </w:r>
      <w:r w:rsidRPr="00B84D46">
        <w:rPr>
          <w:rFonts w:ascii="Arial" w:eastAsia="Times New Roman" w:hAnsi="Arial" w:cs="Arial"/>
          <w:i/>
          <w:iCs/>
          <w:kern w:val="0"/>
          <w:sz w:val="22"/>
          <w:szCs w:val="22"/>
          <w:lang w:eastAsia="en-GB"/>
          <w14:ligatures w14:val="none"/>
        </w:rPr>
        <w:t>The life cycle completed</w:t>
      </w:r>
      <w:r w:rsidRPr="00B84D46">
        <w:rPr>
          <w:rFonts w:ascii="Arial" w:eastAsia="Times New Roman" w:hAnsi="Arial" w:cs="Arial"/>
          <w:kern w:val="0"/>
          <w:sz w:val="22"/>
          <w:szCs w:val="22"/>
          <w:lang w:eastAsia="en-GB"/>
          <w14:ligatures w14:val="none"/>
        </w:rPr>
        <w:t>. New York: W.W. Norton &amp; Company.</w:t>
      </w:r>
    </w:p>
    <w:p w14:paraId="592112A9" w14:textId="77777777" w:rsidR="004F6262" w:rsidRPr="00F44711" w:rsidRDefault="00B84D46" w:rsidP="004F6262">
      <w:pPr>
        <w:spacing w:before="100" w:beforeAutospacing="1" w:after="100" w:afterAutospacing="1" w:line="240" w:lineRule="auto"/>
        <w:rPr>
          <w:rFonts w:ascii="Arial" w:eastAsia="Times New Roman" w:hAnsi="Arial" w:cs="Arial"/>
          <w:b/>
          <w:bCs/>
          <w:kern w:val="0"/>
          <w:sz w:val="28"/>
          <w:szCs w:val="28"/>
          <w:lang w:eastAsia="en-GB"/>
          <w14:ligatures w14:val="none"/>
        </w:rPr>
      </w:pPr>
      <w:r w:rsidRPr="00F44711">
        <w:rPr>
          <w:rFonts w:ascii="Arial" w:eastAsia="Times New Roman" w:hAnsi="Arial" w:cs="Arial"/>
          <w:b/>
          <w:bCs/>
          <w:kern w:val="0"/>
          <w:sz w:val="28"/>
          <w:szCs w:val="28"/>
          <w:lang w:eastAsia="en-GB"/>
          <w14:ligatures w14:val="none"/>
        </w:rPr>
        <w:t>Summary</w:t>
      </w:r>
    </w:p>
    <w:p w14:paraId="13C5ABC7" w14:textId="77777777" w:rsidR="00D95F5A" w:rsidRPr="00D95F5A" w:rsidRDefault="00B84D46" w:rsidP="00D95F5A">
      <w:pPr>
        <w:rPr>
          <w:rFonts w:ascii="Times New Roman" w:eastAsia="Times New Roman" w:hAnsi="Times New Roman" w:cs="Times New Roman"/>
          <w:kern w:val="0"/>
          <w:lang w:eastAsia="en-GB"/>
          <w14:ligatures w14:val="none"/>
        </w:rPr>
      </w:pPr>
      <w:proofErr w:type="gramStart"/>
      <w:r w:rsidRPr="00B84D46">
        <w:rPr>
          <w:rFonts w:ascii="Arial" w:eastAsia="Times New Roman" w:hAnsi="Arial" w:cs="Arial"/>
          <w:kern w:val="0"/>
          <w:sz w:val="22"/>
          <w:szCs w:val="22"/>
          <w:lang w:eastAsia="en-GB"/>
          <w14:ligatures w14:val="none"/>
        </w:rPr>
        <w:t>:</w:t>
      </w:r>
      <w:r w:rsidR="00D95F5A" w:rsidRPr="00D95F5A">
        <w:rPr>
          <w:rFonts w:ascii="Times New Roman" w:eastAsia="Times New Roman" w:hAnsi="Times New Roman" w:cs="Times New Roman"/>
          <w:kern w:val="0"/>
          <w:lang w:eastAsia="en-GB"/>
          <w14:ligatures w14:val="none"/>
        </w:rPr>
        <w:t>Erikson’s</w:t>
      </w:r>
      <w:proofErr w:type="gramEnd"/>
      <w:r w:rsidR="00D95F5A" w:rsidRPr="00D95F5A">
        <w:rPr>
          <w:rFonts w:ascii="Times New Roman" w:eastAsia="Times New Roman" w:hAnsi="Times New Roman" w:cs="Times New Roman"/>
          <w:kern w:val="0"/>
          <w:lang w:eastAsia="en-GB"/>
          <w14:ligatures w14:val="none"/>
        </w:rPr>
        <w:t xml:space="preserve"> theory describes the several stages of development people go through during their </w:t>
      </w:r>
      <w:r w:rsidR="00D95F5A" w:rsidRPr="001E2D6D">
        <w:rPr>
          <w:rFonts w:ascii="Arial" w:eastAsia="Times New Roman" w:hAnsi="Arial" w:cs="Arial"/>
          <w:kern w:val="0"/>
          <w:lang w:eastAsia="en-GB"/>
          <w14:ligatures w14:val="none"/>
        </w:rPr>
        <w:t>entire lives. Each phase has a trial, which plays into a person’s thoughts and emotions. The last stage in older adulthood is ego integrity vs. despair. This is when people look back on their life and feel satisfied and proud of their life, as acceptance is achieved. This aspect is called ego integrity. If they are feeling regretful or feel they have wasted their life, they may experience despair, such as sadness, anxiety, or fear of death. Erikson held that the way you feel at this stage is affected very much by relationships and milestones you have achieved, or your own experiences. His thought leads to a conclusion that ‘ageing is not just an accumulation of physical changes, but an accumulation of emotions and mental well-being’. It also underscores how development continues throughout the human lifespan, beyond childhood. The main reason this is important is that older adults still have emotional needs, and we should note that they are also capable of developing as individuals.</w:t>
      </w:r>
    </w:p>
    <w:p w14:paraId="0AF23786" w14:textId="77777777" w:rsidR="00F44711" w:rsidRDefault="00B84D46" w:rsidP="00CB48E7">
      <w:pPr>
        <w:spacing w:before="100" w:beforeAutospacing="1" w:after="100" w:afterAutospacing="1" w:line="240" w:lineRule="auto"/>
        <w:rPr>
          <w:rFonts w:ascii="Arial" w:hAnsi="Arial" w:cs="Arial"/>
          <w:spacing w:val="8"/>
          <w:sz w:val="23"/>
          <w:szCs w:val="23"/>
          <w:shd w:val="clear" w:color="auto" w:fill="FFFFFF"/>
        </w:rPr>
      </w:pPr>
      <w:r w:rsidRPr="00B84D46">
        <w:rPr>
          <w:rFonts w:ascii="Arial" w:eastAsia="Times New Roman" w:hAnsi="Arial" w:cs="Arial"/>
          <w:kern w:val="0"/>
          <w:sz w:val="22"/>
          <w:szCs w:val="22"/>
          <w:lang w:eastAsia="en-GB"/>
          <w14:ligatures w14:val="none"/>
        </w:rPr>
        <w:br/>
      </w:r>
      <w:r w:rsidRPr="00F44711">
        <w:rPr>
          <w:rFonts w:ascii="Arial" w:eastAsia="Times New Roman" w:hAnsi="Arial" w:cs="Arial"/>
          <w:b/>
          <w:bCs/>
          <w:kern w:val="0"/>
          <w:sz w:val="28"/>
          <w:szCs w:val="28"/>
          <w:lang w:eastAsia="en-GB"/>
          <w14:ligatures w14:val="none"/>
        </w:rPr>
        <w:t>Critical comment relevance to health and social care</w:t>
      </w:r>
      <w:r>
        <w:rPr>
          <w:rFonts w:ascii="Arial" w:eastAsia="Times New Roman" w:hAnsi="Arial" w:cs="Arial"/>
          <w:kern w:val="0"/>
          <w:sz w:val="22"/>
          <w:szCs w:val="22"/>
          <w:lang w:eastAsia="en-GB"/>
          <w14:ligatures w14:val="none"/>
        </w:rPr>
        <w:t>.</w:t>
      </w:r>
      <w:r w:rsidRPr="00B84D46">
        <w:rPr>
          <w:rFonts w:ascii="Arial" w:eastAsia="Times New Roman" w:hAnsi="Arial" w:cs="Arial"/>
          <w:kern w:val="0"/>
          <w:sz w:val="22"/>
          <w:szCs w:val="22"/>
          <w:lang w:eastAsia="en-GB"/>
          <w14:ligatures w14:val="none"/>
        </w:rPr>
        <w:br/>
      </w:r>
    </w:p>
    <w:p w14:paraId="5FAB5960" w14:textId="64B1901B" w:rsidR="00B84D46" w:rsidRPr="00B84D46" w:rsidRDefault="00CB48E7" w:rsidP="00CB48E7">
      <w:pPr>
        <w:spacing w:before="100" w:beforeAutospacing="1" w:after="100" w:afterAutospacing="1" w:line="240" w:lineRule="auto"/>
        <w:rPr>
          <w:rFonts w:ascii="Arial" w:eastAsia="Times New Roman" w:hAnsi="Arial" w:cs="Arial"/>
          <w:kern w:val="0"/>
          <w:sz w:val="22"/>
          <w:szCs w:val="22"/>
          <w:lang w:eastAsia="en-GB"/>
          <w14:ligatures w14:val="none"/>
        </w:rPr>
      </w:pPr>
      <w:r>
        <w:rPr>
          <w:rFonts w:ascii="Arial" w:hAnsi="Arial" w:cs="Arial"/>
          <w:spacing w:val="8"/>
          <w:sz w:val="23"/>
          <w:szCs w:val="23"/>
          <w:shd w:val="clear" w:color="auto" w:fill="FFFFFF"/>
        </w:rPr>
        <w:t xml:space="preserve">Why this theory is so useful in health and social care is that it assists health professionals in understanding that they are handling the emotional needs of a population of older adults. For instance, carers </w:t>
      </w:r>
      <w:proofErr w:type="gramStart"/>
      <w:r>
        <w:rPr>
          <w:rFonts w:ascii="Arial" w:hAnsi="Arial" w:cs="Arial"/>
          <w:spacing w:val="8"/>
          <w:sz w:val="23"/>
          <w:szCs w:val="23"/>
          <w:shd w:val="clear" w:color="auto" w:fill="FFFFFF"/>
        </w:rPr>
        <w:t>have the ability to</w:t>
      </w:r>
      <w:proofErr w:type="gramEnd"/>
      <w:r>
        <w:rPr>
          <w:rFonts w:ascii="Arial" w:hAnsi="Arial" w:cs="Arial"/>
          <w:spacing w:val="8"/>
          <w:sz w:val="23"/>
          <w:szCs w:val="23"/>
          <w:shd w:val="clear" w:color="auto" w:fill="FFFFFF"/>
        </w:rPr>
        <w:t xml:space="preserve"> foster conversations about the past, recollecting and remembering their achievements. This process can be triggered by reminiscence therapy, which also tends to improve mood and reduce feelings of depression or loneliness. But the theory does suffer from some inadequacies. It seems very blanket and supposes, simply put, that everyone walks through the same stages in the same manner. Life experiences differ in the personal and cultural spectrum for everyone. It means that not everyone benefits equally from the theory. Even so, it remains useful because it reminds care workers to treat older adults with dignity, and to focus on their emotional wellbeing as well as their physical health.</w:t>
      </w:r>
    </w:p>
    <w:p w14:paraId="4B909F20" w14:textId="77777777" w:rsidR="00B84D46" w:rsidRPr="00B84D46" w:rsidRDefault="00B84D46" w:rsidP="00B84D46">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lastRenderedPageBreak/>
        <w:t>2. Havighurst, R. J. (1961)</w:t>
      </w:r>
    </w:p>
    <w:p w14:paraId="06357402" w14:textId="77777777" w:rsidR="00B84D46" w:rsidRPr="00B84D46" w:rsidRDefault="00B84D46" w:rsidP="00B84D46">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Reference (UWTSD Harvard style):</w:t>
      </w:r>
      <w:r w:rsidRPr="00B84D46">
        <w:rPr>
          <w:rFonts w:ascii="Arial" w:eastAsia="Times New Roman" w:hAnsi="Arial" w:cs="Arial"/>
          <w:kern w:val="0"/>
          <w:sz w:val="22"/>
          <w:szCs w:val="22"/>
          <w:lang w:eastAsia="en-GB"/>
          <w14:ligatures w14:val="none"/>
        </w:rPr>
        <w:br/>
        <w:t xml:space="preserve">Havighurst, R.J., 1961. Successful aging. </w:t>
      </w:r>
      <w:r w:rsidRPr="00B84D46">
        <w:rPr>
          <w:rFonts w:ascii="Arial" w:eastAsia="Times New Roman" w:hAnsi="Arial" w:cs="Arial"/>
          <w:i/>
          <w:iCs/>
          <w:kern w:val="0"/>
          <w:sz w:val="22"/>
          <w:szCs w:val="22"/>
          <w:lang w:eastAsia="en-GB"/>
          <w14:ligatures w14:val="none"/>
        </w:rPr>
        <w:t>The Gerontologist</w:t>
      </w:r>
      <w:r w:rsidRPr="00B84D46">
        <w:rPr>
          <w:rFonts w:ascii="Arial" w:eastAsia="Times New Roman" w:hAnsi="Arial" w:cs="Arial"/>
          <w:kern w:val="0"/>
          <w:sz w:val="22"/>
          <w:szCs w:val="22"/>
          <w:lang w:eastAsia="en-GB"/>
          <w14:ligatures w14:val="none"/>
        </w:rPr>
        <w:t>, 1(1), pp.8–13.</w:t>
      </w:r>
    </w:p>
    <w:p w14:paraId="3CB4AAA6" w14:textId="77777777" w:rsidR="00F44711" w:rsidRDefault="00B84D46" w:rsidP="007C781B">
      <w:pPr>
        <w:spacing w:before="100" w:beforeAutospacing="1" w:after="100" w:afterAutospacing="1" w:line="240" w:lineRule="auto"/>
        <w:rPr>
          <w:rFonts w:ascii="Arial" w:eastAsia="Times New Roman" w:hAnsi="Arial" w:cs="Arial"/>
          <w:kern w:val="0"/>
          <w:sz w:val="22"/>
          <w:szCs w:val="22"/>
          <w:lang w:eastAsia="en-GB"/>
          <w14:ligatures w14:val="none"/>
        </w:rPr>
      </w:pPr>
      <w:r w:rsidRPr="00F44711">
        <w:rPr>
          <w:rFonts w:ascii="Arial" w:eastAsia="Times New Roman" w:hAnsi="Arial" w:cs="Arial"/>
          <w:b/>
          <w:bCs/>
          <w:kern w:val="0"/>
          <w:sz w:val="28"/>
          <w:szCs w:val="28"/>
          <w:lang w:eastAsia="en-GB"/>
          <w14:ligatures w14:val="none"/>
        </w:rPr>
        <w:t>Summary</w:t>
      </w:r>
      <w:r w:rsidRPr="00F44711">
        <w:rPr>
          <w:rFonts w:ascii="Arial" w:eastAsia="Times New Roman" w:hAnsi="Arial" w:cs="Arial"/>
          <w:kern w:val="0"/>
          <w:sz w:val="28"/>
          <w:szCs w:val="28"/>
          <w:lang w:eastAsia="en-GB"/>
          <w14:ligatures w14:val="none"/>
        </w:rPr>
        <w:t>:</w:t>
      </w:r>
    </w:p>
    <w:p w14:paraId="4BB01AFC" w14:textId="418F9785" w:rsidR="007C781B" w:rsidRPr="00B84D46" w:rsidRDefault="00B84D46" w:rsidP="007C781B">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br/>
      </w:r>
      <w:r w:rsidR="007C781B">
        <w:rPr>
          <w:rFonts w:ascii="Arial" w:hAnsi="Arial" w:cs="Arial"/>
          <w:spacing w:val="8"/>
          <w:sz w:val="23"/>
          <w:szCs w:val="23"/>
          <w:shd w:val="clear" w:color="auto" w:fill="FFFFFF"/>
        </w:rPr>
        <w:t>Havighurst’s Activity Theory is concerned with methods for men and women to get through the aging process. He thought that older age is more positive when one is living the life of activity and being part of social activities. That could be with old friends, family members, clubs, hobbies, activities or other community events – it’s all possible. Informed by this theory, physical activity helps maintain a sense of purpose and identity – and it is key to well-being. The theory itself was also based on disengagement theory that argued it is common for people to isolate themselves from the outside world as they get older. Havighurst countered with the assertion that keeping up appearances to get out and about is a factor of course in maintaining emotional and physical well-being and life satisfaction. But he also advised individuals who lose a job, retirement and so on to replace the same roles, say to try and bring them new activities in life and live purposefully in their lives.</w:t>
      </w:r>
      <w:r w:rsidR="007C781B">
        <w:rPr>
          <w:rFonts w:ascii="Arial" w:hAnsi="Arial" w:cs="Arial"/>
          <w:spacing w:val="8"/>
          <w:sz w:val="23"/>
          <w:szCs w:val="23"/>
        </w:rPr>
        <w:br/>
      </w:r>
      <w:r w:rsidR="007C781B">
        <w:rPr>
          <w:rFonts w:ascii="Arial" w:hAnsi="Arial" w:cs="Arial"/>
          <w:spacing w:val="8"/>
          <w:sz w:val="23"/>
          <w:szCs w:val="23"/>
          <w:shd w:val="clear" w:color="auto" w:fill="FFFFFF"/>
        </w:rPr>
        <w:t>Critical comments (relevance to health and social care):</w:t>
      </w:r>
      <w:r w:rsidR="007C781B">
        <w:rPr>
          <w:rFonts w:ascii="Arial" w:hAnsi="Arial" w:cs="Arial"/>
          <w:spacing w:val="8"/>
          <w:sz w:val="23"/>
          <w:szCs w:val="23"/>
        </w:rPr>
        <w:br/>
      </w:r>
      <w:r w:rsidR="007C781B">
        <w:rPr>
          <w:rFonts w:ascii="Arial" w:hAnsi="Arial" w:cs="Arial"/>
          <w:spacing w:val="8"/>
          <w:sz w:val="23"/>
          <w:szCs w:val="23"/>
          <w:shd w:val="clear" w:color="auto" w:fill="FFFFFF"/>
        </w:rPr>
        <w:t xml:space="preserve">Activity Theory is highly significant in health and social care as it motivates practice to make provision for older individuals to remain active and engaged. This is an idea that many care settings utilise with, for example exercise classes, social groups and creative hobbies. These endeavours can aid in combatting loneliness, mental health and perhaps physical wellbeing. But the theory does have some limitations too. That assumes all older adults can be physically active, which isn’t always the case. Some may suffer health, physical challenges, or mobility barriers that inhibit them from participating in activities. Nor does it </w:t>
      </w:r>
      <w:proofErr w:type="gramStart"/>
      <w:r w:rsidR="007C781B">
        <w:rPr>
          <w:rFonts w:ascii="Arial" w:hAnsi="Arial" w:cs="Arial"/>
          <w:spacing w:val="8"/>
          <w:sz w:val="23"/>
          <w:szCs w:val="23"/>
          <w:shd w:val="clear" w:color="auto" w:fill="FFFFFF"/>
        </w:rPr>
        <w:t>take into account</w:t>
      </w:r>
      <w:proofErr w:type="gramEnd"/>
      <w:r w:rsidR="007C781B">
        <w:rPr>
          <w:rFonts w:ascii="Arial" w:hAnsi="Arial" w:cs="Arial"/>
          <w:spacing w:val="8"/>
          <w:sz w:val="23"/>
          <w:szCs w:val="23"/>
          <w:shd w:val="clear" w:color="auto" w:fill="FFFFFF"/>
        </w:rPr>
        <w:t xml:space="preserve"> that some individuals can be quieter and prefer that they do not have to be busy all the time. The theory is still very useful, as always, if used flexibly. Care workers may modify any activity to suit </w:t>
      </w:r>
      <w:proofErr w:type="gramStart"/>
      <w:r w:rsidR="007C781B">
        <w:rPr>
          <w:rFonts w:ascii="Arial" w:hAnsi="Arial" w:cs="Arial"/>
          <w:spacing w:val="8"/>
          <w:sz w:val="23"/>
          <w:szCs w:val="23"/>
          <w:shd w:val="clear" w:color="auto" w:fill="FFFFFF"/>
        </w:rPr>
        <w:t>each individual’s</w:t>
      </w:r>
      <w:proofErr w:type="gramEnd"/>
      <w:r w:rsidR="007C781B">
        <w:rPr>
          <w:rFonts w:ascii="Arial" w:hAnsi="Arial" w:cs="Arial"/>
          <w:spacing w:val="8"/>
          <w:sz w:val="23"/>
          <w:szCs w:val="23"/>
          <w:shd w:val="clear" w:color="auto" w:fill="FFFFFF"/>
        </w:rPr>
        <w:t xml:space="preserve"> needs and abilities, ensuring that the person in question feels included and supported. This way, human services may be more person-centred, whereby </w:t>
      </w:r>
      <w:proofErr w:type="gramStart"/>
      <w:r w:rsidR="007C781B">
        <w:rPr>
          <w:rFonts w:ascii="Arial" w:hAnsi="Arial" w:cs="Arial"/>
          <w:spacing w:val="8"/>
          <w:sz w:val="23"/>
          <w:szCs w:val="23"/>
          <w:shd w:val="clear" w:color="auto" w:fill="FFFFFF"/>
        </w:rPr>
        <w:t>each individual</w:t>
      </w:r>
      <w:proofErr w:type="gramEnd"/>
      <w:r w:rsidR="007C781B">
        <w:rPr>
          <w:rFonts w:ascii="Arial" w:hAnsi="Arial" w:cs="Arial"/>
          <w:spacing w:val="8"/>
          <w:sz w:val="23"/>
          <w:szCs w:val="23"/>
          <w:shd w:val="clear" w:color="auto" w:fill="FFFFFF"/>
        </w:rPr>
        <w:t xml:space="preserve"> is given the chance to feel unique. And they are given the same preferences as the next person.</w:t>
      </w:r>
    </w:p>
    <w:p w14:paraId="1AEB4EC4" w14:textId="0986DD66" w:rsidR="00B84D46" w:rsidRPr="00B84D46" w:rsidRDefault="00B84D46" w:rsidP="00B84D46">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w:t>
      </w:r>
    </w:p>
    <w:p w14:paraId="503983A7" w14:textId="6F73BC68" w:rsidR="00B84D46" w:rsidRPr="00B84D46" w:rsidRDefault="00B84D46" w:rsidP="00B84D46">
      <w:pPr>
        <w:spacing w:after="0" w:line="240" w:lineRule="auto"/>
        <w:rPr>
          <w:rFonts w:ascii="Arial" w:eastAsia="Times New Roman" w:hAnsi="Arial" w:cs="Arial"/>
          <w:kern w:val="0"/>
          <w:sz w:val="22"/>
          <w:szCs w:val="22"/>
          <w:lang w:eastAsia="en-GB"/>
          <w14:ligatures w14:val="none"/>
        </w:rPr>
      </w:pPr>
    </w:p>
    <w:p w14:paraId="497C7E53" w14:textId="77777777" w:rsidR="00B84D46" w:rsidRPr="007635BE" w:rsidRDefault="00B84D46" w:rsidP="00B84D46">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635BE">
        <w:rPr>
          <w:rFonts w:ascii="Arial" w:eastAsia="Times New Roman" w:hAnsi="Arial" w:cs="Arial"/>
          <w:b/>
          <w:bCs/>
          <w:kern w:val="0"/>
          <w:sz w:val="28"/>
          <w:szCs w:val="28"/>
          <w:lang w:eastAsia="en-GB"/>
          <w14:ligatures w14:val="none"/>
        </w:rPr>
        <w:t>Overall Evaluation</w:t>
      </w:r>
    </w:p>
    <w:p w14:paraId="48071C21" w14:textId="77777777" w:rsidR="00B84D46" w:rsidRDefault="00B84D46" w:rsidP="00B84D46">
      <w:pPr>
        <w:spacing w:before="100" w:beforeAutospacing="1" w:after="100" w:afterAutospacing="1" w:line="240" w:lineRule="auto"/>
        <w:rPr>
          <w:rFonts w:ascii="Arial" w:eastAsia="Times New Roman" w:hAnsi="Arial" w:cs="Arial"/>
          <w:kern w:val="0"/>
          <w:sz w:val="22"/>
          <w:szCs w:val="22"/>
          <w:lang w:eastAsia="en-GB"/>
          <w14:ligatures w14:val="none"/>
        </w:rPr>
      </w:pPr>
      <w:r w:rsidRPr="00B84D46">
        <w:rPr>
          <w:rFonts w:ascii="Arial" w:eastAsia="Times New Roman" w:hAnsi="Arial" w:cs="Arial"/>
          <w:kern w:val="0"/>
          <w:sz w:val="22"/>
          <w:szCs w:val="22"/>
          <w:lang w:eastAsia="en-GB"/>
          <w14:ligatures w14:val="none"/>
        </w:rPr>
        <w:t>Overall, both Erikson’s theory and Havighurst’s Activity Theory are helpful for understanding ageing and wellbeing. Erikson focuses more on how people feel about their life and their emotional wellbeing, while Havighurst focuses on staying active and involved in daily life. Together, they show that both emotional support and social activity are important for older adults in health and social care settings.</w:t>
      </w:r>
    </w:p>
    <w:p w14:paraId="14F9CCE6"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1269D9ED"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2879CE89"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5140C5E6"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19DA6BA6"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725623D4"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1860157E"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6542B40A"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54DF792C" w14:textId="77777777" w:rsidR="008638E2"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75775E43" w14:textId="77777777" w:rsidR="008638E2" w:rsidRDefault="008638E2" w:rsidP="008638E2">
      <w:pPr>
        <w:spacing w:before="100" w:beforeAutospacing="1" w:after="100" w:afterAutospacing="1" w:line="240" w:lineRule="auto"/>
        <w:jc w:val="both"/>
        <w:outlineLvl w:val="1"/>
        <w:rPr>
          <w:rFonts w:ascii="Arial" w:eastAsia="Times New Roman" w:hAnsi="Arial" w:cs="Arial"/>
          <w:kern w:val="0"/>
          <w:sz w:val="32"/>
          <w:szCs w:val="32"/>
          <w:lang w:eastAsia="en-GB"/>
          <w14:ligatures w14:val="none"/>
        </w:rPr>
      </w:pPr>
      <w:r w:rsidRPr="00103DEF">
        <w:rPr>
          <w:rFonts w:ascii="Arial" w:hAnsi="Arial" w:cs="Arial"/>
          <w:b/>
          <w:bCs/>
          <w:spacing w:val="8"/>
          <w:sz w:val="28"/>
          <w:szCs w:val="28"/>
        </w:rPr>
        <w:t>Part B</w:t>
      </w:r>
    </w:p>
    <w:p w14:paraId="7F681471" w14:textId="77777777" w:rsidR="008638E2" w:rsidRPr="007A6E8D" w:rsidRDefault="008638E2" w:rsidP="008638E2">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7A6E8D">
        <w:rPr>
          <w:rFonts w:ascii="Arial" w:eastAsia="Times New Roman" w:hAnsi="Arial" w:cs="Arial"/>
          <w:b/>
          <w:bCs/>
          <w:kern w:val="36"/>
          <w:sz w:val="28"/>
          <w:szCs w:val="28"/>
          <w:lang w:eastAsia="en-GB"/>
          <w14:ligatures w14:val="none"/>
        </w:rPr>
        <w:t>Activity Theory in Care Homes</w:t>
      </w:r>
    </w:p>
    <w:p w14:paraId="56E526AA"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Introduction</w:t>
      </w:r>
    </w:p>
    <w:p w14:paraId="39C31C13" w14:textId="77777777" w:rsidR="00E4563D" w:rsidRPr="00E4563D" w:rsidRDefault="00E4563D" w:rsidP="00E4563D">
      <w:pPr>
        <w:spacing w:before="120" w:after="120" w:line="240" w:lineRule="auto"/>
        <w:outlineLvl w:val="1"/>
        <w:rPr>
          <w:rFonts w:ascii="Arial" w:eastAsia="Times New Roman" w:hAnsi="Arial" w:cs="Arial"/>
          <w:kern w:val="0"/>
          <w:lang w:eastAsia="en-GB"/>
          <w14:ligatures w14:val="none"/>
        </w:rPr>
      </w:pPr>
      <w:r w:rsidRPr="00E4563D">
        <w:rPr>
          <w:rFonts w:ascii="Arial" w:eastAsia="Times New Roman" w:hAnsi="Arial" w:cs="Arial"/>
          <w:kern w:val="0"/>
          <w:lang w:eastAsia="en-GB"/>
          <w14:ligatures w14:val="none"/>
        </w:rPr>
        <w:t>This guide is for care home staff supporting residents aged 60 and over. It explains how Activity Theory can be applied to improve psychological health and overall well-being in residential care settings. Activity Theory, developed by Havighurst and Albrecht (1953), suggests that older adults who remain active and socially engaged are more satisfied with life than those who are inactive (Havighurst and Albrecht, 1953).</w:t>
      </w:r>
    </w:p>
    <w:p w14:paraId="0D18CF76" w14:textId="77777777" w:rsidR="00E4563D" w:rsidRPr="00E4563D" w:rsidRDefault="00E4563D" w:rsidP="00E4563D">
      <w:pPr>
        <w:spacing w:after="0" w:line="240" w:lineRule="auto"/>
        <w:rPr>
          <w:rFonts w:ascii="Arial" w:eastAsia="Times New Roman" w:hAnsi="Arial" w:cs="Arial"/>
          <w:kern w:val="0"/>
          <w:lang w:eastAsia="en-GB"/>
          <w14:ligatures w14:val="none"/>
        </w:rPr>
      </w:pPr>
      <w:r w:rsidRPr="00E4563D">
        <w:rPr>
          <w:rFonts w:ascii="Arial" w:eastAsia="Times New Roman" w:hAnsi="Arial" w:cs="Arial"/>
          <w:kern w:val="0"/>
          <w:lang w:eastAsia="en-GB"/>
          <w14:ligatures w14:val="none"/>
        </w:rPr>
        <w:t>This is particularly important in care homes, where residents may experience loneliness, boredom, or a loss of purpose if meaningful activities are not provided. Promoting engagement, therefore, plays an important role in improving quality of life and emotional well-being in later life (Havighurst and Albrecht, 1953).</w:t>
      </w:r>
    </w:p>
    <w:p w14:paraId="45927B5D" w14:textId="77777777" w:rsidR="00E4563D" w:rsidRPr="007A6E8D" w:rsidRDefault="00E4563D"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2776CBB3"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1371480E"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What is Activity Theory?</w:t>
      </w:r>
    </w:p>
    <w:p w14:paraId="2E9CC83A" w14:textId="64DB1971" w:rsidR="00094EDC" w:rsidRPr="00094EDC" w:rsidRDefault="00094EDC" w:rsidP="00094EDC">
      <w:pPr>
        <w:spacing w:before="120" w:after="120" w:line="240" w:lineRule="auto"/>
        <w:outlineLvl w:val="1"/>
        <w:rPr>
          <w:rFonts w:ascii="Arial" w:eastAsia="Times New Roman" w:hAnsi="Arial" w:cs="Arial"/>
          <w:kern w:val="0"/>
          <w:lang w:eastAsia="en-GB"/>
          <w14:ligatures w14:val="none"/>
        </w:rPr>
      </w:pPr>
      <w:r w:rsidRPr="00094EDC">
        <w:rPr>
          <w:rFonts w:ascii="Arial" w:eastAsia="Times New Roman" w:hAnsi="Arial" w:cs="Arial"/>
          <w:kern w:val="0"/>
          <w:lang w:eastAsia="en-GB"/>
          <w14:ligatures w14:val="none"/>
        </w:rPr>
        <w:t xml:space="preserve">Activity Theory </w:t>
      </w:r>
      <w:r w:rsidR="00BC60B7">
        <w:rPr>
          <w:rFonts w:ascii="Arial" w:eastAsia="Times New Roman" w:hAnsi="Arial" w:cs="Arial"/>
          <w:kern w:val="0"/>
          <w:lang w:eastAsia="en-GB"/>
          <w14:ligatures w14:val="none"/>
        </w:rPr>
        <w:t>emphasises</w:t>
      </w:r>
      <w:r w:rsidRPr="00094EDC">
        <w:rPr>
          <w:rFonts w:ascii="Arial" w:eastAsia="Times New Roman" w:hAnsi="Arial" w:cs="Arial"/>
          <w:kern w:val="0"/>
          <w:lang w:eastAsia="en-GB"/>
          <w14:ligatures w14:val="none"/>
        </w:rPr>
        <w:t xml:space="preserve"> the need to support the physical, social, and mental activity of older adults (Havighurst and Albrecht, 1953). In care homes, it means offering people activities they enjoy and can still do. This would include activities such as arts and crafts, gardening, music sessions, walking groups, group games, and small volunteer roles done in the home. It fosters the sense that such activities are useful to residents, that they maintain relationships, and that they improve emotional well-being (Havighurst and Albrecht, 1953). The theory further demonstrates that care is not just a physical act but also a relationship-oriented one. Maintaining activity can also help residents retain identity, confidence, and a sense of purpose.</w:t>
      </w:r>
    </w:p>
    <w:p w14:paraId="7CC46E6D"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16CD564B"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Example in Practice</w:t>
      </w:r>
    </w:p>
    <w:p w14:paraId="7743C0A1" w14:textId="1587264A" w:rsidR="00925A2B" w:rsidRPr="00925A2B" w:rsidRDefault="00925A2B" w:rsidP="00925A2B">
      <w:pPr>
        <w:spacing w:after="0" w:line="240" w:lineRule="auto"/>
        <w:rPr>
          <w:rFonts w:ascii="Arial" w:eastAsia="Times New Roman" w:hAnsi="Arial" w:cs="Arial"/>
          <w:kern w:val="0"/>
          <w:lang w:eastAsia="en-GB"/>
          <w14:ligatures w14:val="none"/>
        </w:rPr>
      </w:pPr>
      <w:r w:rsidRPr="00925A2B">
        <w:rPr>
          <w:rFonts w:ascii="Arial" w:eastAsia="Times New Roman" w:hAnsi="Arial" w:cs="Arial"/>
          <w:kern w:val="0"/>
          <w:lang w:eastAsia="en-GB"/>
          <w14:ligatures w14:val="none"/>
        </w:rPr>
        <w:t xml:space="preserve">A care home implemented a weekly Gardening Club for its residents. </w:t>
      </w:r>
      <w:r w:rsidR="002A4E20" w:rsidRPr="007635BE">
        <w:rPr>
          <w:rFonts w:ascii="Arial" w:eastAsia="Times New Roman" w:hAnsi="Arial" w:cs="Arial"/>
          <w:kern w:val="0"/>
          <w:lang w:eastAsia="en-GB"/>
          <w14:ligatures w14:val="none"/>
        </w:rPr>
        <w:t>Before</w:t>
      </w:r>
      <w:r w:rsidRPr="00925A2B">
        <w:rPr>
          <w:rFonts w:ascii="Arial" w:eastAsia="Times New Roman" w:hAnsi="Arial" w:cs="Arial"/>
          <w:kern w:val="0"/>
          <w:lang w:eastAsia="en-GB"/>
          <w14:ligatures w14:val="none"/>
        </w:rPr>
        <w:t xml:space="preserve"> the initiative, </w:t>
      </w:r>
      <w:proofErr w:type="gramStart"/>
      <w:r w:rsidRPr="00925A2B">
        <w:rPr>
          <w:rFonts w:ascii="Arial" w:eastAsia="Times New Roman" w:hAnsi="Arial" w:cs="Arial"/>
          <w:kern w:val="0"/>
          <w:lang w:eastAsia="en-GB"/>
          <w14:ligatures w14:val="none"/>
        </w:rPr>
        <w:t>the majority of</w:t>
      </w:r>
      <w:proofErr w:type="gramEnd"/>
      <w:r w:rsidRPr="00925A2B">
        <w:rPr>
          <w:rFonts w:ascii="Arial" w:eastAsia="Times New Roman" w:hAnsi="Arial" w:cs="Arial"/>
          <w:kern w:val="0"/>
          <w:lang w:eastAsia="en-GB"/>
          <w14:ligatures w14:val="none"/>
        </w:rPr>
        <w:t xml:space="preserve"> our participants had liked gardening, but many were unable to join due to age or health reasons. Attendees were facilitated by staff who established raised garden beds, supplied adapted tools, and ensured wheelchair users had safe access. A resident, the 82-year-old </w:t>
      </w:r>
      <w:r w:rsidR="002A4E20" w:rsidRPr="007635BE">
        <w:rPr>
          <w:rFonts w:ascii="Arial" w:eastAsia="Times New Roman" w:hAnsi="Arial" w:cs="Arial"/>
          <w:kern w:val="0"/>
          <w:lang w:eastAsia="en-GB"/>
          <w14:ligatures w14:val="none"/>
        </w:rPr>
        <w:t>Mrs</w:t>
      </w:r>
      <w:r w:rsidRPr="00925A2B">
        <w:rPr>
          <w:rFonts w:ascii="Arial" w:eastAsia="Times New Roman" w:hAnsi="Arial" w:cs="Arial"/>
          <w:kern w:val="0"/>
          <w:lang w:eastAsia="en-GB"/>
          <w14:ligatures w14:val="none"/>
        </w:rPr>
        <w:t xml:space="preserve"> Thompson, declined to participate due to limited mobility and wheelchair use. But after some prompting, she got a bit more involved. Eventually, she was </w:t>
      </w:r>
      <w:r w:rsidR="002A4E20" w:rsidRPr="007635BE">
        <w:rPr>
          <w:rFonts w:ascii="Arial" w:eastAsia="Times New Roman" w:hAnsi="Arial" w:cs="Arial"/>
          <w:kern w:val="0"/>
          <w:lang w:eastAsia="en-GB"/>
          <w14:ligatures w14:val="none"/>
        </w:rPr>
        <w:t>socialising</w:t>
      </w:r>
      <w:r w:rsidRPr="00925A2B">
        <w:rPr>
          <w:rFonts w:ascii="Arial" w:eastAsia="Times New Roman" w:hAnsi="Arial" w:cs="Arial"/>
          <w:kern w:val="0"/>
          <w:lang w:eastAsia="en-GB"/>
          <w14:ligatures w14:val="none"/>
        </w:rPr>
        <w:t xml:space="preserve"> with other residents, sharing all her gardening skills, and participating more openly. The staff noticed she was happier, more socially engaged, and physically active. This example illustrates how meaningful activity can enhance wellbeing,</w:t>
      </w:r>
    </w:p>
    <w:p w14:paraId="2F9CBDFC" w14:textId="3E536747" w:rsidR="00881BBE" w:rsidRPr="007635BE" w:rsidRDefault="00881BBE" w:rsidP="00881BBE">
      <w:pPr>
        <w:pStyle w:val="w7sjnrxzl6krnffuzhqe"/>
        <w:shd w:val="clear" w:color="auto" w:fill="FFFFFF"/>
        <w:spacing w:before="0" w:beforeAutospacing="0" w:after="150" w:afterAutospacing="0" w:line="345" w:lineRule="atLeast"/>
        <w:textAlignment w:val="baseline"/>
        <w:rPr>
          <w:rFonts w:ascii="Arial" w:hAnsi="Arial" w:cs="Arial"/>
          <w:spacing w:val="8"/>
          <w:sz w:val="23"/>
          <w:szCs w:val="23"/>
        </w:rPr>
      </w:pPr>
      <w:r w:rsidRPr="007635BE">
        <w:rPr>
          <w:rFonts w:ascii="Arial" w:hAnsi="Arial" w:cs="Arial"/>
          <w:spacing w:val="8"/>
          <w:sz w:val="23"/>
          <w:szCs w:val="23"/>
        </w:rPr>
        <w:t>(Havighurst and Albrecht, 1953).</w:t>
      </w:r>
    </w:p>
    <w:p w14:paraId="12D0C3ED"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6DF91C0F" w14:textId="77777777" w:rsidR="008638E2"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Challenges of Activity Theory</w:t>
      </w:r>
    </w:p>
    <w:p w14:paraId="2AD4606C" w14:textId="0C1F5DAF" w:rsidR="00F81B3A" w:rsidRPr="00F81B3A" w:rsidRDefault="00F81B3A" w:rsidP="00F81B3A">
      <w:pPr>
        <w:spacing w:after="0" w:line="240" w:lineRule="auto"/>
        <w:rPr>
          <w:rFonts w:ascii="Arial" w:eastAsia="Times New Roman" w:hAnsi="Arial" w:cs="Arial"/>
          <w:kern w:val="0"/>
          <w:lang w:eastAsia="en-GB"/>
          <w14:ligatures w14:val="none"/>
        </w:rPr>
      </w:pPr>
      <w:r w:rsidRPr="00F81B3A">
        <w:rPr>
          <w:rFonts w:ascii="Arial" w:eastAsia="Times New Roman" w:hAnsi="Arial" w:cs="Arial"/>
          <w:kern w:val="0"/>
          <w:lang w:eastAsia="en-GB"/>
          <w14:ligatures w14:val="none"/>
        </w:rPr>
        <w:t xml:space="preserve">Not all residents, however, can easily participate in activities, despite their benefits. Some may experience arthritis, poor balance, dementia, or reduced mobility, which can limit participation or make certain activities unsafe. This </w:t>
      </w:r>
      <w:r w:rsidR="00BD506A">
        <w:rPr>
          <w:rFonts w:ascii="Arial" w:eastAsia="Times New Roman" w:hAnsi="Arial" w:cs="Arial"/>
          <w:kern w:val="0"/>
          <w:lang w:eastAsia="en-GB"/>
          <w14:ligatures w14:val="none"/>
        </w:rPr>
        <w:t>emphasises</w:t>
      </w:r>
      <w:r w:rsidRPr="00F81B3A">
        <w:rPr>
          <w:rFonts w:ascii="Arial" w:eastAsia="Times New Roman" w:hAnsi="Arial" w:cs="Arial"/>
          <w:kern w:val="0"/>
          <w:lang w:eastAsia="en-GB"/>
          <w14:ligatures w14:val="none"/>
        </w:rPr>
        <w:t xml:space="preserve"> the weakness of Activity Theory, as it presumes that people may remain active into later life (Havighurst and Albrecht, 1953). Health conditions and disabilities can stop some residents from engaging fully without support or adaptation. It is therefore important that care staff </w:t>
      </w:r>
      <w:r w:rsidR="00B630F5">
        <w:rPr>
          <w:rFonts w:ascii="Arial" w:eastAsia="Times New Roman" w:hAnsi="Arial" w:cs="Arial"/>
          <w:kern w:val="0"/>
          <w:lang w:eastAsia="en-GB"/>
          <w14:ligatures w14:val="none"/>
        </w:rPr>
        <w:t>recognise</w:t>
      </w:r>
      <w:r w:rsidRPr="00F81B3A">
        <w:rPr>
          <w:rFonts w:ascii="Arial" w:eastAsia="Times New Roman" w:hAnsi="Arial" w:cs="Arial"/>
          <w:kern w:val="0"/>
          <w:lang w:eastAsia="en-GB"/>
          <w14:ligatures w14:val="none"/>
        </w:rPr>
        <w:t xml:space="preserve"> these barriers and ensure activities are flexible and inclusive, rather than expecting all residents to participate in the same way.</w:t>
      </w:r>
    </w:p>
    <w:p w14:paraId="3083EB19" w14:textId="2DB2A159" w:rsidR="00F81B3A" w:rsidRPr="00F81B3A" w:rsidRDefault="00F81B3A" w:rsidP="00F81B3A">
      <w:pPr>
        <w:spacing w:before="240" w:after="120" w:line="240" w:lineRule="auto"/>
        <w:outlineLvl w:val="1"/>
        <w:rPr>
          <w:rFonts w:ascii="Arial" w:eastAsia="Times New Roman" w:hAnsi="Arial" w:cs="Arial"/>
          <w:kern w:val="0"/>
          <w:lang w:eastAsia="en-GB"/>
          <w14:ligatures w14:val="none"/>
        </w:rPr>
      </w:pPr>
      <w:r w:rsidRPr="00F81B3A">
        <w:rPr>
          <w:rFonts w:ascii="Arial" w:eastAsia="Times New Roman" w:hAnsi="Arial" w:cs="Arial"/>
          <w:kern w:val="0"/>
          <w:lang w:eastAsia="en-GB"/>
          <w14:ligatures w14:val="none"/>
        </w:rPr>
        <w:t>Carers can facilitate activities by personalizing the activities for individuals. A garden could be modified with raised beds or indoor plants, an exercise session could be conducted in a seated position, and games or crafts could be simplified for residents with cognitive impairments. Even small, attainable goals can help build confidence and get people involved. Staff must regularly assess residents' skills and preferences, receive appropriate training, and focus on what residents can do rather than what they cannot. These strategies ensure that Activity Theory is put into practice in a person-</w:t>
      </w:r>
      <w:r w:rsidR="00B630F5" w:rsidRPr="00F81B3A">
        <w:rPr>
          <w:rFonts w:ascii="Arial" w:eastAsia="Times New Roman" w:hAnsi="Arial" w:cs="Arial"/>
          <w:kern w:val="0"/>
          <w:lang w:eastAsia="en-GB"/>
          <w14:ligatures w14:val="none"/>
        </w:rPr>
        <w:t>centred</w:t>
      </w:r>
      <w:r w:rsidRPr="00F81B3A">
        <w:rPr>
          <w:rFonts w:ascii="Arial" w:eastAsia="Times New Roman" w:hAnsi="Arial" w:cs="Arial"/>
          <w:kern w:val="0"/>
          <w:lang w:eastAsia="en-GB"/>
          <w14:ligatures w14:val="none"/>
        </w:rPr>
        <w:t xml:space="preserve"> manner and encourage involvement and well-being in all residents.</w:t>
      </w:r>
    </w:p>
    <w:p w14:paraId="4A9A5395" w14:textId="77777777" w:rsidR="0093136C" w:rsidRPr="007A6E8D" w:rsidRDefault="0093136C"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p>
    <w:p w14:paraId="318F0ACB" w14:textId="6F2A564C" w:rsidR="008638E2" w:rsidRPr="002122CC" w:rsidRDefault="008638E2" w:rsidP="008638E2">
      <w:pPr>
        <w:spacing w:before="100" w:beforeAutospacing="1" w:after="100" w:afterAutospacing="1" w:line="240" w:lineRule="auto"/>
        <w:rPr>
          <w:rFonts w:ascii="Arial" w:eastAsia="Times New Roman" w:hAnsi="Arial" w:cs="Arial"/>
          <w:kern w:val="0"/>
          <w:lang w:eastAsia="en-GB"/>
          <w14:ligatures w14:val="none"/>
        </w:rPr>
      </w:pPr>
      <w:r w:rsidRPr="002122CC">
        <w:rPr>
          <w:rFonts w:ascii="Arial" w:eastAsia="Times New Roman" w:hAnsi="Arial" w:cs="Arial"/>
          <w:kern w:val="0"/>
          <w:lang w:eastAsia="en-GB"/>
          <w14:ligatures w14:val="none"/>
        </w:rPr>
        <w:t>(Havighurst and Albrecht, 1953).</w:t>
      </w:r>
    </w:p>
    <w:p w14:paraId="579DD9DF" w14:textId="77777777" w:rsidR="008638E2" w:rsidRPr="007A6E8D" w:rsidRDefault="008638E2" w:rsidP="008638E2">
      <w:pPr>
        <w:spacing w:after="0" w:line="240" w:lineRule="auto"/>
        <w:rPr>
          <w:rFonts w:ascii="Arial" w:eastAsia="Times New Roman" w:hAnsi="Arial" w:cs="Arial"/>
          <w:kern w:val="0"/>
          <w:sz w:val="22"/>
          <w:szCs w:val="22"/>
          <w:lang w:eastAsia="en-GB"/>
          <w14:ligatures w14:val="none"/>
        </w:rPr>
      </w:pPr>
    </w:p>
    <w:p w14:paraId="5DBC2ED4" w14:textId="77777777" w:rsidR="008638E2" w:rsidRPr="007A6E8D" w:rsidRDefault="008638E2" w:rsidP="008638E2">
      <w:pPr>
        <w:spacing w:before="100" w:beforeAutospacing="1" w:after="100" w:afterAutospacing="1" w:line="240" w:lineRule="auto"/>
        <w:outlineLvl w:val="1"/>
        <w:rPr>
          <w:rFonts w:ascii="Arial" w:eastAsia="Times New Roman" w:hAnsi="Arial" w:cs="Arial"/>
          <w:b/>
          <w:bCs/>
          <w:kern w:val="0"/>
          <w:sz w:val="28"/>
          <w:szCs w:val="28"/>
          <w:lang w:eastAsia="en-GB"/>
          <w14:ligatures w14:val="none"/>
        </w:rPr>
      </w:pPr>
      <w:r w:rsidRPr="007A6E8D">
        <w:rPr>
          <w:rFonts w:ascii="Arial" w:eastAsia="Times New Roman" w:hAnsi="Arial" w:cs="Arial"/>
          <w:b/>
          <w:bCs/>
          <w:kern w:val="0"/>
          <w:sz w:val="28"/>
          <w:szCs w:val="28"/>
          <w:lang w:eastAsia="en-GB"/>
          <w14:ligatures w14:val="none"/>
        </w:rPr>
        <w:t>Conclusion</w:t>
      </w:r>
    </w:p>
    <w:p w14:paraId="2A6627B7" w14:textId="24B1A010" w:rsidR="00F242CF" w:rsidRPr="00F242CF" w:rsidRDefault="00F242CF" w:rsidP="00F242CF">
      <w:pPr>
        <w:spacing w:before="120" w:after="120" w:line="240" w:lineRule="auto"/>
        <w:outlineLvl w:val="1"/>
        <w:rPr>
          <w:rFonts w:ascii="Arial" w:eastAsia="Times New Roman" w:hAnsi="Arial" w:cs="Arial"/>
          <w:kern w:val="0"/>
          <w:lang w:eastAsia="en-GB"/>
          <w14:ligatures w14:val="none"/>
        </w:rPr>
      </w:pPr>
      <w:r w:rsidRPr="00F242CF">
        <w:rPr>
          <w:rFonts w:ascii="Arial" w:eastAsia="Times New Roman" w:hAnsi="Arial" w:cs="Arial"/>
          <w:kern w:val="0"/>
          <w:lang w:eastAsia="en-GB"/>
          <w14:ligatures w14:val="none"/>
        </w:rPr>
        <w:t xml:space="preserve">Activity Theory is a useful methodology for enhancing psychological well-being in care homes. It indicates that older adults fare better when they are less sedentary, more involved, and more socially integrated. Offering meaningful activities helps </w:t>
      </w:r>
      <w:r w:rsidRPr="00F242CF">
        <w:rPr>
          <w:rFonts w:ascii="Arial" w:eastAsia="Times New Roman" w:hAnsi="Arial" w:cs="Arial"/>
          <w:kern w:val="0"/>
          <w:lang w:eastAsia="en-GB"/>
          <w14:ligatures w14:val="none"/>
        </w:rPr>
        <w:lastRenderedPageBreak/>
        <w:t>residents maintain a sense of purpose, improve mood, and build relationships with others (Havighurst and Albrecht, 1953). Even if physical or cognitive impairment means that some residents cannot join in, careful planning and adaptation can ensure everyone can take part. Care staff play a key role in encouraging participation and supporting inclusive activity planning. Overall, Activity Theory supports a more positive, person-</w:t>
      </w:r>
      <w:r w:rsidR="002122CC" w:rsidRPr="00F242CF">
        <w:rPr>
          <w:rFonts w:ascii="Arial" w:eastAsia="Times New Roman" w:hAnsi="Arial" w:cs="Arial"/>
          <w:kern w:val="0"/>
          <w:lang w:eastAsia="en-GB"/>
          <w14:ligatures w14:val="none"/>
        </w:rPr>
        <w:t>centred</w:t>
      </w:r>
      <w:r w:rsidRPr="00F242CF">
        <w:rPr>
          <w:rFonts w:ascii="Arial" w:eastAsia="Times New Roman" w:hAnsi="Arial" w:cs="Arial"/>
          <w:kern w:val="0"/>
          <w:lang w:eastAsia="en-GB"/>
          <w14:ligatures w14:val="none"/>
        </w:rPr>
        <w:t xml:space="preserve"> approach to care, helping older adults experience improved well-being and a better quality of life.</w:t>
      </w:r>
    </w:p>
    <w:p w14:paraId="638129A0"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6D26D9C8"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067DB4C3" w14:textId="77777777" w:rsidR="008638E2" w:rsidRDefault="008638E2" w:rsidP="008638E2">
      <w:pPr>
        <w:spacing w:after="0" w:line="240" w:lineRule="auto"/>
        <w:jc w:val="both"/>
        <w:rPr>
          <w:rFonts w:ascii="Arial" w:eastAsia="Times New Roman" w:hAnsi="Arial" w:cs="Arial"/>
          <w:kern w:val="0"/>
          <w:sz w:val="32"/>
          <w:szCs w:val="32"/>
          <w:lang w:eastAsia="en-GB"/>
          <w14:ligatures w14:val="none"/>
        </w:rPr>
      </w:pPr>
    </w:p>
    <w:p w14:paraId="1F8C4DEC" w14:textId="77777777" w:rsidR="008638E2" w:rsidRPr="006D1A4F" w:rsidRDefault="008638E2" w:rsidP="008638E2">
      <w:pPr>
        <w:jc w:val="both"/>
        <w:rPr>
          <w:rFonts w:ascii="Arial" w:hAnsi="Arial" w:cs="Arial"/>
          <w:b/>
          <w:bCs/>
          <w:sz w:val="28"/>
          <w:szCs w:val="28"/>
        </w:rPr>
      </w:pPr>
      <w:r w:rsidRPr="006D1A4F">
        <w:rPr>
          <w:rFonts w:ascii="Arial" w:hAnsi="Arial" w:cs="Arial"/>
          <w:b/>
          <w:bCs/>
          <w:sz w:val="28"/>
          <w:szCs w:val="28"/>
        </w:rPr>
        <w:t>Reference list</w:t>
      </w:r>
    </w:p>
    <w:p w14:paraId="6496093C" w14:textId="77777777" w:rsidR="008638E2" w:rsidRDefault="008638E2" w:rsidP="008638E2">
      <w:pPr>
        <w:pStyle w:val="NormalWeb"/>
      </w:pPr>
      <w:r>
        <w:t xml:space="preserve">World Health Organization, 2022. </w:t>
      </w:r>
      <w:r>
        <w:rPr>
          <w:rStyle w:val="Emphasis"/>
          <w:rFonts w:eastAsiaTheme="majorEastAsia"/>
        </w:rPr>
        <w:t>Decade of healthy ageing: Baseline report</w:t>
      </w:r>
      <w:r>
        <w:t>. Geneva: World Health Organization.</w:t>
      </w:r>
    </w:p>
    <w:p w14:paraId="6AED2CF8" w14:textId="77777777" w:rsidR="008638E2" w:rsidRDefault="008638E2" w:rsidP="008638E2">
      <w:pPr>
        <w:pStyle w:val="NormalWeb"/>
      </w:pPr>
      <w:r>
        <w:t xml:space="preserve">National Institute on Ageing, 2023. </w:t>
      </w:r>
      <w:r>
        <w:rPr>
          <w:rStyle w:val="Emphasis"/>
          <w:rFonts w:eastAsiaTheme="majorEastAsia"/>
        </w:rPr>
        <w:t>Social engagement and healthy ageing in older adults</w:t>
      </w:r>
      <w:r>
        <w:t>. Washington, DC: National Institutes of Health.</w:t>
      </w:r>
    </w:p>
    <w:p w14:paraId="27E30EB2" w14:textId="77777777" w:rsidR="008638E2" w:rsidRDefault="008638E2" w:rsidP="008638E2">
      <w:pPr>
        <w:pStyle w:val="NormalWeb"/>
      </w:pPr>
      <w:r>
        <w:t xml:space="preserve">Office for Health Improvement and Disparities, 2022. </w:t>
      </w:r>
      <w:r>
        <w:rPr>
          <w:rStyle w:val="Emphasis"/>
          <w:rFonts w:eastAsiaTheme="majorEastAsia"/>
        </w:rPr>
        <w:t>Health and wellbeing of older adults in England</w:t>
      </w:r>
      <w:r>
        <w:t>. London: UK Government.</w:t>
      </w:r>
    </w:p>
    <w:p w14:paraId="4CB78C05" w14:textId="77777777" w:rsidR="008638E2" w:rsidRDefault="008638E2" w:rsidP="008638E2">
      <w:pPr>
        <w:pStyle w:val="NormalWeb"/>
      </w:pPr>
      <w:r>
        <w:t xml:space="preserve">Cottrell, L., Duggleby, W. and Ploeg, J., 2021. Social participation and wellbeing in older adults: A systematic review. </w:t>
      </w:r>
      <w:r>
        <w:rPr>
          <w:rStyle w:val="Emphasis"/>
          <w:rFonts w:eastAsiaTheme="majorEastAsia"/>
        </w:rPr>
        <w:t>Ageing &amp; Society</w:t>
      </w:r>
      <w:r>
        <w:t>, 41(9), pp.2100–2125.</w:t>
      </w:r>
    </w:p>
    <w:p w14:paraId="38836EFD" w14:textId="77777777" w:rsidR="008638E2" w:rsidRDefault="008638E2" w:rsidP="008638E2">
      <w:pPr>
        <w:pStyle w:val="NormalWeb"/>
      </w:pPr>
      <w:r>
        <w:t xml:space="preserve">Liu, M., Wang, Y. and Li, J., 2022. Activity engagement and psychological wellbeing in older adults: A longitudinal study. </w:t>
      </w:r>
      <w:r>
        <w:rPr>
          <w:rStyle w:val="Emphasis"/>
          <w:rFonts w:eastAsiaTheme="majorEastAsia"/>
        </w:rPr>
        <w:t>BMC Geriatrics</w:t>
      </w:r>
      <w:r>
        <w:t>, 22(1), pp.1–12.</w:t>
      </w:r>
    </w:p>
    <w:p w14:paraId="2545AB37" w14:textId="77777777" w:rsidR="008638E2" w:rsidRDefault="008638E2" w:rsidP="008638E2">
      <w:pPr>
        <w:pStyle w:val="NormalWeb"/>
      </w:pPr>
      <w:r>
        <w:t xml:space="preserve">Brownie, S. and Nancarrow, S., 2021. Effects of person-centred activity programmes in residential aged care: A review. </w:t>
      </w:r>
      <w:r>
        <w:rPr>
          <w:rStyle w:val="Emphasis"/>
          <w:rFonts w:eastAsiaTheme="majorEastAsia"/>
        </w:rPr>
        <w:t>Journal of Clinical Nursing</w:t>
      </w:r>
      <w:r>
        <w:t>, 30(15–16), pp.2234–2246.</w:t>
      </w:r>
    </w:p>
    <w:p w14:paraId="7CC62582" w14:textId="77777777" w:rsidR="008638E2" w:rsidRPr="00103DEF" w:rsidRDefault="008638E2" w:rsidP="008638E2">
      <w:pPr>
        <w:spacing w:before="100" w:beforeAutospacing="1" w:after="100" w:afterAutospacing="1" w:line="240" w:lineRule="auto"/>
        <w:jc w:val="both"/>
        <w:outlineLvl w:val="1"/>
        <w:rPr>
          <w:rFonts w:ascii="Arial" w:eastAsia="Times New Roman" w:hAnsi="Arial" w:cs="Arial"/>
          <w:kern w:val="0"/>
          <w:sz w:val="32"/>
          <w:szCs w:val="32"/>
          <w:lang w:eastAsia="en-GB"/>
          <w14:ligatures w14:val="none"/>
        </w:rPr>
      </w:pPr>
    </w:p>
    <w:p w14:paraId="5899E5D6" w14:textId="77777777" w:rsidR="008638E2" w:rsidRDefault="008638E2" w:rsidP="008638E2">
      <w:pPr>
        <w:jc w:val="both"/>
      </w:pPr>
    </w:p>
    <w:p w14:paraId="2D7B7D01" w14:textId="77777777" w:rsidR="008638E2" w:rsidRPr="00B84D46" w:rsidRDefault="008638E2" w:rsidP="00B84D46">
      <w:pPr>
        <w:spacing w:before="100" w:beforeAutospacing="1" w:after="100" w:afterAutospacing="1" w:line="240" w:lineRule="auto"/>
        <w:rPr>
          <w:rFonts w:ascii="Arial" w:eastAsia="Times New Roman" w:hAnsi="Arial" w:cs="Arial"/>
          <w:kern w:val="0"/>
          <w:sz w:val="22"/>
          <w:szCs w:val="22"/>
          <w:lang w:eastAsia="en-GB"/>
          <w14:ligatures w14:val="none"/>
        </w:rPr>
      </w:pPr>
    </w:p>
    <w:p w14:paraId="429B0E38" w14:textId="77777777" w:rsidR="00700DB7" w:rsidRDefault="00700DB7"/>
    <w:sectPr w:rsidR="00700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8E46CB"/>
    <w:multiLevelType w:val="multilevel"/>
    <w:tmpl w:val="AC281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7C76D7"/>
    <w:multiLevelType w:val="multilevel"/>
    <w:tmpl w:val="E12E33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3945327">
    <w:abstractNumId w:val="0"/>
  </w:num>
  <w:num w:numId="2" w16cid:durableId="1283610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D46"/>
    <w:rsid w:val="00094EDC"/>
    <w:rsid w:val="000E45E8"/>
    <w:rsid w:val="00113734"/>
    <w:rsid w:val="001E2D6D"/>
    <w:rsid w:val="002122CC"/>
    <w:rsid w:val="00264469"/>
    <w:rsid w:val="002A4E20"/>
    <w:rsid w:val="00311178"/>
    <w:rsid w:val="00356E74"/>
    <w:rsid w:val="00430FC9"/>
    <w:rsid w:val="0044138B"/>
    <w:rsid w:val="00491465"/>
    <w:rsid w:val="004F6262"/>
    <w:rsid w:val="00505E0D"/>
    <w:rsid w:val="00513104"/>
    <w:rsid w:val="00552392"/>
    <w:rsid w:val="00596151"/>
    <w:rsid w:val="005C1263"/>
    <w:rsid w:val="0060623F"/>
    <w:rsid w:val="006579A5"/>
    <w:rsid w:val="00700DB7"/>
    <w:rsid w:val="007635BE"/>
    <w:rsid w:val="007C781B"/>
    <w:rsid w:val="008015F8"/>
    <w:rsid w:val="008638E2"/>
    <w:rsid w:val="00881BBE"/>
    <w:rsid w:val="008945E6"/>
    <w:rsid w:val="00925A2B"/>
    <w:rsid w:val="00927700"/>
    <w:rsid w:val="0093136C"/>
    <w:rsid w:val="0098511E"/>
    <w:rsid w:val="009D259D"/>
    <w:rsid w:val="009F1689"/>
    <w:rsid w:val="00AE23BA"/>
    <w:rsid w:val="00B630F5"/>
    <w:rsid w:val="00B84D46"/>
    <w:rsid w:val="00BC60B7"/>
    <w:rsid w:val="00BD506A"/>
    <w:rsid w:val="00BF6B18"/>
    <w:rsid w:val="00C55A5F"/>
    <w:rsid w:val="00CB48E7"/>
    <w:rsid w:val="00D95F5A"/>
    <w:rsid w:val="00E4563D"/>
    <w:rsid w:val="00E57065"/>
    <w:rsid w:val="00ED4A28"/>
    <w:rsid w:val="00F153E9"/>
    <w:rsid w:val="00F242CF"/>
    <w:rsid w:val="00F44711"/>
    <w:rsid w:val="00F46124"/>
    <w:rsid w:val="00F81B3A"/>
    <w:rsid w:val="00FB6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7F336"/>
  <w15:chartTrackingRefBased/>
  <w15:docId w15:val="{FC332B2E-092B-464B-83E7-5EE0A3717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D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D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D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D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D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D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D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D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D46"/>
    <w:rPr>
      <w:rFonts w:eastAsiaTheme="majorEastAsia" w:cstheme="majorBidi"/>
      <w:color w:val="272727" w:themeColor="text1" w:themeTint="D8"/>
    </w:rPr>
  </w:style>
  <w:style w:type="paragraph" w:styleId="Title">
    <w:name w:val="Title"/>
    <w:basedOn w:val="Normal"/>
    <w:next w:val="Normal"/>
    <w:link w:val="TitleChar"/>
    <w:uiPriority w:val="10"/>
    <w:qFormat/>
    <w:rsid w:val="00B84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D46"/>
    <w:pPr>
      <w:spacing w:before="160"/>
      <w:jc w:val="center"/>
    </w:pPr>
    <w:rPr>
      <w:i/>
      <w:iCs/>
      <w:color w:val="404040" w:themeColor="text1" w:themeTint="BF"/>
    </w:rPr>
  </w:style>
  <w:style w:type="character" w:customStyle="1" w:styleId="QuoteChar">
    <w:name w:val="Quote Char"/>
    <w:basedOn w:val="DefaultParagraphFont"/>
    <w:link w:val="Quote"/>
    <w:uiPriority w:val="29"/>
    <w:rsid w:val="00B84D46"/>
    <w:rPr>
      <w:i/>
      <w:iCs/>
      <w:color w:val="404040" w:themeColor="text1" w:themeTint="BF"/>
    </w:rPr>
  </w:style>
  <w:style w:type="paragraph" w:styleId="ListParagraph">
    <w:name w:val="List Paragraph"/>
    <w:basedOn w:val="Normal"/>
    <w:uiPriority w:val="34"/>
    <w:qFormat/>
    <w:rsid w:val="00B84D46"/>
    <w:pPr>
      <w:ind w:left="720"/>
      <w:contextualSpacing/>
    </w:pPr>
  </w:style>
  <w:style w:type="character" w:styleId="IntenseEmphasis">
    <w:name w:val="Intense Emphasis"/>
    <w:basedOn w:val="DefaultParagraphFont"/>
    <w:uiPriority w:val="21"/>
    <w:qFormat/>
    <w:rsid w:val="00B84D46"/>
    <w:rPr>
      <w:i/>
      <w:iCs/>
      <w:color w:val="0F4761" w:themeColor="accent1" w:themeShade="BF"/>
    </w:rPr>
  </w:style>
  <w:style w:type="paragraph" w:styleId="IntenseQuote">
    <w:name w:val="Intense Quote"/>
    <w:basedOn w:val="Normal"/>
    <w:next w:val="Normal"/>
    <w:link w:val="IntenseQuoteChar"/>
    <w:uiPriority w:val="30"/>
    <w:qFormat/>
    <w:rsid w:val="00B84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D46"/>
    <w:rPr>
      <w:i/>
      <w:iCs/>
      <w:color w:val="0F4761" w:themeColor="accent1" w:themeShade="BF"/>
    </w:rPr>
  </w:style>
  <w:style w:type="character" w:styleId="IntenseReference">
    <w:name w:val="Intense Reference"/>
    <w:basedOn w:val="DefaultParagraphFont"/>
    <w:uiPriority w:val="32"/>
    <w:qFormat/>
    <w:rsid w:val="00B84D46"/>
    <w:rPr>
      <w:b/>
      <w:bCs/>
      <w:smallCaps/>
      <w:color w:val="0F4761" w:themeColor="accent1" w:themeShade="BF"/>
      <w:spacing w:val="5"/>
    </w:rPr>
  </w:style>
  <w:style w:type="paragraph" w:styleId="NormalWeb">
    <w:name w:val="Normal (Web)"/>
    <w:basedOn w:val="Normal"/>
    <w:uiPriority w:val="99"/>
    <w:semiHidden/>
    <w:unhideWhenUsed/>
    <w:rsid w:val="008638E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638E2"/>
    <w:rPr>
      <w:i/>
      <w:iCs/>
    </w:rPr>
  </w:style>
  <w:style w:type="character" w:styleId="Hyperlink">
    <w:name w:val="Hyperlink"/>
    <w:basedOn w:val="DefaultParagraphFont"/>
    <w:uiPriority w:val="99"/>
    <w:unhideWhenUsed/>
    <w:rsid w:val="00C55A5F"/>
    <w:rPr>
      <w:color w:val="467886" w:themeColor="hyperlink"/>
      <w:u w:val="single"/>
    </w:rPr>
  </w:style>
  <w:style w:type="character" w:styleId="UnresolvedMention">
    <w:name w:val="Unresolved Mention"/>
    <w:basedOn w:val="DefaultParagraphFont"/>
    <w:uiPriority w:val="99"/>
    <w:semiHidden/>
    <w:unhideWhenUsed/>
    <w:rsid w:val="00C55A5F"/>
    <w:rPr>
      <w:color w:val="605E5C"/>
      <w:shd w:val="clear" w:color="auto" w:fill="E1DFDD"/>
    </w:rPr>
  </w:style>
  <w:style w:type="paragraph" w:customStyle="1" w:styleId="w7sjnrxzl6krnffuzhqe">
    <w:name w:val="w7sjnrxzl6krnffuzhqe"/>
    <w:basedOn w:val="Normal"/>
    <w:rsid w:val="00881B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1647</Words>
  <Characters>9390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car</dc:creator>
  <cp:keywords/>
  <dc:description/>
  <cp:lastModifiedBy>c car</cp:lastModifiedBy>
  <cp:revision>2</cp:revision>
  <dcterms:created xsi:type="dcterms:W3CDTF">2026-04-18T09:43:00Z</dcterms:created>
  <dcterms:modified xsi:type="dcterms:W3CDTF">2026-04-18T09:43:00Z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f43a61b0-9d21-4173-b791-971780bdc71f</vt:lpwstr>
  </property>
</Properties>
</file>