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B91" w:rsidRDefault="007E7B91" w:rsidP="001E44AB">
      <w:pPr>
        <w:spacing w:line="360" w:lineRule="auto"/>
      </w:pPr>
    </w:p>
    <w:p w:rsidR="00417EF9" w:rsidRDefault="003422E3" w:rsidP="00230F35">
      <w:pPr>
        <w:pStyle w:val="NormalWeb"/>
        <w:spacing w:before="0" w:beforeAutospacing="0" w:after="0" w:afterAutospacing="0"/>
        <w:ind w:left="-180" w:right="-334"/>
      </w:pPr>
      <w:r>
        <w:rPr>
          <w:noProof/>
        </w:rPr>
        <w:pict w14:anchorId="3C448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TSD_logo2010" style="width:150.4pt;height:49.9pt;mso-width-percent:0;mso-height-percent:0;mso-width-percent:0;mso-height-percent:0" o:bordertopcolor="this" o:borderleftcolor="this" o:borderbottomcolor="this" o:borderrightcolor="this">
            <v:imagedata r:id="rId7" o:title="TSD_logo2010"/>
            <w10:bordertop type="single" width="12"/>
            <w10:borderleft type="single" width="12"/>
            <w10:borderbottom type="single" width="12"/>
            <w10:borderright type="single" width="12"/>
          </v:shape>
        </w:pict>
      </w:r>
    </w:p>
    <w:p w:rsidR="00417EF9" w:rsidRDefault="00417EF9" w:rsidP="00230F35">
      <w:pPr>
        <w:pStyle w:val="NormalWeb"/>
        <w:spacing w:before="0" w:beforeAutospacing="0" w:after="0" w:afterAutospacing="0"/>
        <w:ind w:left="-180" w:right="-334"/>
      </w:pPr>
    </w:p>
    <w:p w:rsidR="00417EF9" w:rsidRDefault="00417EF9" w:rsidP="00230F35">
      <w:pPr>
        <w:pStyle w:val="NormalWeb"/>
        <w:spacing w:before="0" w:beforeAutospacing="0" w:after="0" w:afterAutospacing="0"/>
        <w:ind w:left="-180" w:right="-334"/>
      </w:pPr>
    </w:p>
    <w:p w:rsidR="00417EF9" w:rsidRDefault="00417EF9"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417EF9" w:rsidRPr="00230F35" w:rsidRDefault="00417EF9"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417EF9" w:rsidRPr="00230F35" w:rsidRDefault="00417EF9" w:rsidP="002E67CE">
      <w:pPr>
        <w:rPr>
          <w:rFonts w:ascii="Arial" w:hAnsi="Arial" w:cs="Arial"/>
          <w:sz w:val="28"/>
          <w:szCs w:val="28"/>
          <w:lang w:val="cy-GB"/>
        </w:rPr>
      </w:pPr>
    </w:p>
    <w:p w:rsidR="00417EF9" w:rsidRDefault="00417EF9" w:rsidP="002E67CE">
      <w:pPr>
        <w:pStyle w:val="Heading3"/>
        <w:jc w:val="center"/>
        <w:rPr>
          <w:lang w:val="cy-GB"/>
        </w:rPr>
      </w:pPr>
      <w:r>
        <w:rPr>
          <w:lang w:val="cy-GB"/>
        </w:rPr>
        <w:t>THIS SHEET MUST BE THE FIRST PAGE OF THE ASSIGNMENT YOU ARE SUBMITTING  (DO NOT SEND AS A SEPARATE FILE)</w:t>
      </w:r>
    </w:p>
    <w:p w:rsidR="00417EF9" w:rsidRDefault="00417EF9"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17EF9" w:rsidRPr="00230F35" w:rsidTr="00A745B6">
        <w:trPr>
          <w:trHeight w:val="614"/>
        </w:trPr>
        <w:tc>
          <w:tcPr>
            <w:tcW w:w="8856" w:type="dxa"/>
            <w:gridSpan w:val="5"/>
          </w:tcPr>
          <w:p w:rsidR="00417EF9" w:rsidRPr="00230F35" w:rsidRDefault="00417EF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17EF9" w:rsidRPr="00230F35" w:rsidTr="00A745B6">
        <w:trPr>
          <w:trHeight w:val="718"/>
        </w:trPr>
        <w:tc>
          <w:tcPr>
            <w:tcW w:w="8856" w:type="dxa"/>
            <w:gridSpan w:val="5"/>
          </w:tcPr>
          <w:p w:rsidR="00417EF9" w:rsidRDefault="00417EF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Pr="004470B5">
              <w:rPr>
                <w:rFonts w:ascii="Arial" w:hAnsi="Arial" w:cs="Arial"/>
                <w:b/>
                <w:sz w:val="22"/>
                <w:szCs w:val="22"/>
              </w:rPr>
              <w:t>Karen Hunt</w:t>
            </w:r>
          </w:p>
          <w:p w:rsidR="00417EF9" w:rsidRPr="00230F35" w:rsidRDefault="00417EF9" w:rsidP="002F467C">
            <w:pPr>
              <w:pStyle w:val="NormalWeb"/>
              <w:spacing w:before="0" w:beforeAutospacing="0" w:after="0" w:afterAutospacing="0"/>
              <w:ind w:right="34"/>
              <w:rPr>
                <w:rFonts w:ascii="Arial" w:hAnsi="Arial" w:cs="Arial"/>
                <w:sz w:val="22"/>
                <w:szCs w:val="22"/>
              </w:rPr>
            </w:pPr>
          </w:p>
        </w:tc>
      </w:tr>
      <w:tr w:rsidR="00417EF9" w:rsidRPr="00230F35" w:rsidTr="00A745B6">
        <w:trPr>
          <w:trHeight w:val="849"/>
        </w:trPr>
        <w:tc>
          <w:tcPr>
            <w:tcW w:w="4788" w:type="dxa"/>
          </w:tcPr>
          <w:p w:rsidR="00417EF9" w:rsidRPr="00230F35" w:rsidRDefault="00417EF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4470B5">
              <w:rPr>
                <w:rFonts w:ascii="Arial" w:hAnsi="Arial" w:cs="Arial"/>
                <w:b/>
                <w:sz w:val="22"/>
                <w:szCs w:val="22"/>
              </w:rPr>
              <w:t>AHHI7016</w:t>
            </w:r>
          </w:p>
          <w:p w:rsidR="00417EF9" w:rsidRPr="00230F35" w:rsidRDefault="00417EF9" w:rsidP="002F467C">
            <w:pPr>
              <w:pStyle w:val="NormalWeb"/>
              <w:spacing w:before="0" w:beforeAutospacing="0" w:after="0" w:afterAutospacing="0"/>
              <w:ind w:right="34"/>
              <w:rPr>
                <w:rFonts w:ascii="Arial" w:hAnsi="Arial" w:cs="Arial"/>
                <w:sz w:val="22"/>
                <w:szCs w:val="22"/>
              </w:rPr>
            </w:pPr>
          </w:p>
          <w:p w:rsidR="00417EF9" w:rsidRDefault="00417EF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4470B5">
              <w:rPr>
                <w:rFonts w:ascii="Arial" w:hAnsi="Arial" w:cs="Arial"/>
                <w:b/>
                <w:sz w:val="22"/>
                <w:szCs w:val="22"/>
              </w:rPr>
              <w:t>Studying the Medieval</w:t>
            </w:r>
          </w:p>
          <w:p w:rsidR="00417EF9" w:rsidRDefault="00417EF9" w:rsidP="002F467C">
            <w:pPr>
              <w:pStyle w:val="NormalWeb"/>
              <w:spacing w:before="0" w:beforeAutospacing="0" w:after="0" w:afterAutospacing="0"/>
              <w:ind w:right="34"/>
              <w:rPr>
                <w:rFonts w:ascii="Arial" w:hAnsi="Arial" w:cs="Arial"/>
                <w:sz w:val="22"/>
                <w:szCs w:val="22"/>
              </w:rPr>
            </w:pPr>
          </w:p>
          <w:p w:rsidR="00417EF9" w:rsidRPr="00230F35" w:rsidRDefault="00417EF9" w:rsidP="002F467C">
            <w:pPr>
              <w:pStyle w:val="NormalWeb"/>
              <w:spacing w:before="0" w:beforeAutospacing="0" w:after="0" w:afterAutospacing="0"/>
              <w:ind w:right="34"/>
              <w:rPr>
                <w:rFonts w:ascii="Arial" w:hAnsi="Arial" w:cs="Arial"/>
                <w:sz w:val="22"/>
                <w:szCs w:val="22"/>
              </w:rPr>
            </w:pPr>
          </w:p>
        </w:tc>
        <w:tc>
          <w:tcPr>
            <w:tcW w:w="2266" w:type="dxa"/>
            <w:gridSpan w:val="3"/>
          </w:tcPr>
          <w:p w:rsidR="00417EF9" w:rsidRDefault="00417EF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417EF9" w:rsidRDefault="00417EF9" w:rsidP="002F467C">
            <w:pPr>
              <w:pStyle w:val="NormalWeb"/>
              <w:spacing w:before="0" w:beforeAutospacing="0" w:after="0" w:afterAutospacing="0"/>
              <w:ind w:right="34"/>
              <w:rPr>
                <w:rFonts w:ascii="Arial" w:hAnsi="Arial" w:cs="Arial"/>
                <w:sz w:val="22"/>
                <w:szCs w:val="22"/>
              </w:rPr>
            </w:pPr>
          </w:p>
          <w:p w:rsidR="00417EF9" w:rsidRPr="004470B5" w:rsidRDefault="00417EF9" w:rsidP="002F467C">
            <w:pPr>
              <w:pStyle w:val="NormalWeb"/>
              <w:spacing w:before="0" w:beforeAutospacing="0" w:after="0" w:afterAutospacing="0"/>
              <w:ind w:right="34"/>
              <w:rPr>
                <w:rFonts w:ascii="Arial" w:hAnsi="Arial" w:cs="Arial"/>
                <w:b/>
                <w:sz w:val="22"/>
                <w:szCs w:val="22"/>
              </w:rPr>
            </w:pPr>
            <w:r w:rsidRPr="004470B5">
              <w:rPr>
                <w:rFonts w:ascii="Arial" w:hAnsi="Arial" w:cs="Arial"/>
                <w:b/>
                <w:sz w:val="22"/>
                <w:szCs w:val="22"/>
              </w:rPr>
              <w:t>1703957</w:t>
            </w:r>
          </w:p>
        </w:tc>
        <w:tc>
          <w:tcPr>
            <w:tcW w:w="1802" w:type="dxa"/>
          </w:tcPr>
          <w:p w:rsidR="00417EF9" w:rsidRPr="00230F35" w:rsidRDefault="00417EF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417EF9" w:rsidRPr="004470B5" w:rsidRDefault="00417EF9" w:rsidP="002F467C">
            <w:pPr>
              <w:pStyle w:val="NormalWeb"/>
              <w:spacing w:before="0" w:beforeAutospacing="0" w:after="0" w:afterAutospacing="0"/>
              <w:ind w:right="34"/>
              <w:rPr>
                <w:rFonts w:ascii="Arial" w:hAnsi="Arial" w:cs="Arial"/>
                <w:b/>
                <w:sz w:val="22"/>
                <w:szCs w:val="22"/>
              </w:rPr>
            </w:pPr>
            <w:r w:rsidRPr="004470B5">
              <w:rPr>
                <w:rFonts w:ascii="Arial" w:hAnsi="Arial" w:cs="Arial"/>
                <w:b/>
                <w:sz w:val="22"/>
                <w:szCs w:val="22"/>
              </w:rPr>
              <w:t>No</w:t>
            </w:r>
          </w:p>
        </w:tc>
      </w:tr>
      <w:tr w:rsidR="00417EF9" w:rsidRPr="00230F35" w:rsidTr="00A745B6">
        <w:trPr>
          <w:trHeight w:val="1139"/>
        </w:trPr>
        <w:tc>
          <w:tcPr>
            <w:tcW w:w="8856" w:type="dxa"/>
            <w:gridSpan w:val="5"/>
          </w:tcPr>
          <w:p w:rsidR="00417EF9" w:rsidRPr="00230F35" w:rsidRDefault="00417EF9"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w:t>
            </w:r>
            <w:r w:rsidRPr="004470B5">
              <w:rPr>
                <w:rFonts w:ascii="Arial" w:hAnsi="Arial" w:cs="Arial"/>
                <w:b/>
                <w:sz w:val="22"/>
                <w:szCs w:val="22"/>
              </w:rPr>
              <w:t>Janet Burton</w:t>
            </w:r>
          </w:p>
          <w:p w:rsidR="00417EF9" w:rsidRPr="00230F35" w:rsidRDefault="00417EF9" w:rsidP="002F467C">
            <w:pPr>
              <w:pStyle w:val="NormalWeb"/>
              <w:spacing w:before="0" w:beforeAutospacing="0" w:after="0" w:afterAutospacing="0"/>
              <w:ind w:right="34"/>
              <w:rPr>
                <w:rFonts w:ascii="Arial" w:hAnsi="Arial" w:cs="Arial"/>
                <w:sz w:val="22"/>
                <w:szCs w:val="22"/>
              </w:rPr>
            </w:pPr>
          </w:p>
          <w:p w:rsidR="00417EF9" w:rsidRDefault="00417EF9" w:rsidP="002F467C">
            <w:pPr>
              <w:pStyle w:val="NormalWeb"/>
              <w:spacing w:before="0" w:beforeAutospacing="0" w:after="0" w:afterAutospacing="0"/>
              <w:ind w:right="34"/>
              <w:rPr>
                <w:rFonts w:ascii="Arial" w:hAnsi="Arial" w:cs="Arial"/>
                <w:sz w:val="22"/>
                <w:szCs w:val="22"/>
              </w:rPr>
            </w:pPr>
          </w:p>
          <w:p w:rsidR="00417EF9" w:rsidRPr="00230F35" w:rsidRDefault="00417EF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Pr="004470B5">
              <w:rPr>
                <w:rFonts w:ascii="Arial" w:hAnsi="Arial" w:cs="Arial"/>
                <w:b/>
                <w:sz w:val="22"/>
                <w:szCs w:val="22"/>
              </w:rPr>
              <w:t>31</w:t>
            </w:r>
            <w:r w:rsidRPr="004470B5">
              <w:rPr>
                <w:rFonts w:ascii="Arial" w:hAnsi="Arial" w:cs="Arial"/>
                <w:b/>
                <w:sz w:val="22"/>
                <w:szCs w:val="22"/>
                <w:vertAlign w:val="superscript"/>
              </w:rPr>
              <w:t>st</w:t>
            </w:r>
            <w:r w:rsidRPr="004470B5">
              <w:rPr>
                <w:rFonts w:ascii="Arial" w:hAnsi="Arial" w:cs="Arial"/>
                <w:b/>
                <w:sz w:val="22"/>
                <w:szCs w:val="22"/>
              </w:rPr>
              <w:t xml:space="preserve"> August 2018</w:t>
            </w:r>
          </w:p>
        </w:tc>
      </w:tr>
      <w:tr w:rsidR="00417EF9" w:rsidRPr="00230F35" w:rsidTr="00A745B6">
        <w:trPr>
          <w:trHeight w:val="978"/>
        </w:trPr>
        <w:tc>
          <w:tcPr>
            <w:tcW w:w="8856" w:type="dxa"/>
            <w:gridSpan w:val="5"/>
            <w:tcBorders>
              <w:bottom w:val="single" w:sz="4" w:space="0" w:color="000000"/>
            </w:tcBorders>
          </w:tcPr>
          <w:p w:rsidR="00417EF9" w:rsidRDefault="00417EF9" w:rsidP="00F75EB5">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rsidR="00417EF9" w:rsidRDefault="00417EF9" w:rsidP="00F75EB5">
            <w:pPr>
              <w:rPr>
                <w:rFonts w:ascii="Arial" w:hAnsi="Arial" w:cs="Arial"/>
                <w:sz w:val="22"/>
                <w:szCs w:val="22"/>
              </w:rPr>
            </w:pPr>
          </w:p>
          <w:p w:rsidR="00417EF9" w:rsidRPr="00230F35" w:rsidRDefault="00417EF9" w:rsidP="00F75EB5">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p>
        </w:tc>
      </w:tr>
      <w:tr w:rsidR="00417EF9" w:rsidRPr="00230F35" w:rsidTr="00A745B6">
        <w:trPr>
          <w:trHeight w:val="978"/>
        </w:trPr>
        <w:tc>
          <w:tcPr>
            <w:tcW w:w="8856" w:type="dxa"/>
            <w:gridSpan w:val="5"/>
            <w:shd w:val="clear" w:color="auto" w:fill="D9D9D9"/>
          </w:tcPr>
          <w:p w:rsidR="00417EF9" w:rsidRPr="00230F35" w:rsidRDefault="00417EF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417EF9" w:rsidRDefault="00417EF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rsidR="00417EF9" w:rsidRDefault="00417EF9"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sym w:font="Wingdings" w:char="F0FC"/>
            </w:r>
          </w:p>
          <w:p w:rsidR="00417EF9" w:rsidRPr="00230F35" w:rsidRDefault="00417EF9"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17EF9" w:rsidRPr="00230F35" w:rsidTr="00A745B6">
        <w:trPr>
          <w:trHeight w:val="3972"/>
        </w:trPr>
        <w:tc>
          <w:tcPr>
            <w:tcW w:w="8856" w:type="dxa"/>
            <w:gridSpan w:val="5"/>
          </w:tcPr>
          <w:p w:rsidR="00417EF9" w:rsidRDefault="00417EF9" w:rsidP="00A745B6">
            <w:pPr>
              <w:rPr>
                <w:rFonts w:ascii="Arial" w:hAnsi="Arial"/>
                <w:b/>
              </w:rPr>
            </w:pPr>
          </w:p>
          <w:p w:rsidR="00417EF9" w:rsidRPr="00116CE6" w:rsidRDefault="00417EF9"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17EF9" w:rsidRPr="00116CE6" w:rsidTr="00022345">
              <w:tc>
                <w:tcPr>
                  <w:tcW w:w="6970" w:type="dxa"/>
                </w:tcPr>
                <w:p w:rsidR="00417EF9" w:rsidRPr="00116CE6" w:rsidRDefault="00417EF9" w:rsidP="009C1A08">
                  <w:pPr>
                    <w:rPr>
                      <w:rFonts w:ascii="Arial" w:hAnsi="Arial"/>
                      <w:sz w:val="20"/>
                      <w:szCs w:val="20"/>
                    </w:rPr>
                  </w:pPr>
                </w:p>
                <w:p w:rsidR="00417EF9" w:rsidRPr="00116CE6" w:rsidRDefault="00417EF9"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417EF9" w:rsidRPr="00116CE6" w:rsidRDefault="00417EF9" w:rsidP="009C1A08">
                  <w:pPr>
                    <w:rPr>
                      <w:rFonts w:ascii="Arial" w:hAnsi="Arial"/>
                      <w:sz w:val="20"/>
                      <w:szCs w:val="20"/>
                    </w:rPr>
                  </w:pPr>
                </w:p>
              </w:tc>
            </w:tr>
            <w:tr w:rsidR="00417EF9" w:rsidRPr="00116CE6" w:rsidTr="00022345">
              <w:tc>
                <w:tcPr>
                  <w:tcW w:w="6970" w:type="dxa"/>
                </w:tcPr>
                <w:p w:rsidR="00417EF9" w:rsidRPr="00116CE6" w:rsidRDefault="00417EF9" w:rsidP="009C1A08">
                  <w:pPr>
                    <w:rPr>
                      <w:rFonts w:ascii="Arial" w:hAnsi="Arial"/>
                      <w:sz w:val="20"/>
                      <w:szCs w:val="20"/>
                    </w:rPr>
                  </w:pPr>
                </w:p>
                <w:p w:rsidR="00417EF9" w:rsidRPr="00116CE6" w:rsidRDefault="00417EF9"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417EF9" w:rsidRPr="00116CE6" w:rsidRDefault="00417EF9" w:rsidP="009C1A08">
                  <w:pPr>
                    <w:rPr>
                      <w:rFonts w:ascii="Arial" w:hAnsi="Arial"/>
                      <w:sz w:val="20"/>
                      <w:szCs w:val="20"/>
                    </w:rPr>
                  </w:pPr>
                </w:p>
              </w:tc>
            </w:tr>
            <w:tr w:rsidR="00417EF9" w:rsidRPr="00116CE6" w:rsidTr="00022345">
              <w:tc>
                <w:tcPr>
                  <w:tcW w:w="6970" w:type="dxa"/>
                </w:tcPr>
                <w:p w:rsidR="00417EF9" w:rsidRPr="00116CE6" w:rsidRDefault="00417EF9" w:rsidP="009C1A08">
                  <w:pPr>
                    <w:rPr>
                      <w:rFonts w:ascii="Arial" w:hAnsi="Arial"/>
                      <w:sz w:val="20"/>
                      <w:szCs w:val="20"/>
                    </w:rPr>
                  </w:pPr>
                </w:p>
                <w:p w:rsidR="00417EF9" w:rsidRPr="00116CE6" w:rsidRDefault="00417EF9"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417EF9" w:rsidRPr="00116CE6" w:rsidRDefault="00417EF9" w:rsidP="009C1A08">
                  <w:pPr>
                    <w:rPr>
                      <w:rFonts w:ascii="Arial" w:hAnsi="Arial"/>
                      <w:sz w:val="20"/>
                      <w:szCs w:val="20"/>
                    </w:rPr>
                  </w:pPr>
                </w:p>
              </w:tc>
            </w:tr>
            <w:tr w:rsidR="00417EF9" w:rsidRPr="00116CE6" w:rsidTr="00022345">
              <w:tc>
                <w:tcPr>
                  <w:tcW w:w="6970" w:type="dxa"/>
                </w:tcPr>
                <w:p w:rsidR="00417EF9" w:rsidRDefault="00417EF9" w:rsidP="009C1A08">
                  <w:pPr>
                    <w:rPr>
                      <w:rFonts w:ascii="Arial" w:hAnsi="Arial"/>
                      <w:sz w:val="20"/>
                      <w:szCs w:val="20"/>
                    </w:rPr>
                  </w:pPr>
                </w:p>
                <w:p w:rsidR="00417EF9" w:rsidRPr="00022345" w:rsidRDefault="00417EF9" w:rsidP="009C1A08">
                  <w:pPr>
                    <w:rPr>
                      <w:rFonts w:ascii="Arial" w:hAnsi="Arial"/>
                      <w:b/>
                      <w:sz w:val="20"/>
                      <w:szCs w:val="20"/>
                    </w:rPr>
                  </w:pPr>
                  <w:r w:rsidRPr="00022345">
                    <w:rPr>
                      <w:rFonts w:ascii="Arial" w:hAnsi="Arial"/>
                      <w:b/>
                      <w:sz w:val="20"/>
                      <w:szCs w:val="20"/>
                    </w:rPr>
                    <w:t>Final Mark</w:t>
                  </w:r>
                </w:p>
                <w:p w:rsidR="00417EF9" w:rsidRPr="00116CE6" w:rsidRDefault="00417EF9" w:rsidP="009C1A08">
                  <w:pPr>
                    <w:rPr>
                      <w:rFonts w:ascii="Arial" w:hAnsi="Arial"/>
                      <w:sz w:val="20"/>
                      <w:szCs w:val="20"/>
                    </w:rPr>
                  </w:pPr>
                </w:p>
              </w:tc>
              <w:tc>
                <w:tcPr>
                  <w:tcW w:w="1660" w:type="dxa"/>
                </w:tcPr>
                <w:p w:rsidR="00417EF9" w:rsidRPr="00116CE6" w:rsidRDefault="00417EF9" w:rsidP="009C1A08">
                  <w:pPr>
                    <w:rPr>
                      <w:rFonts w:ascii="Arial" w:hAnsi="Arial"/>
                      <w:sz w:val="20"/>
                      <w:szCs w:val="20"/>
                    </w:rPr>
                  </w:pPr>
                </w:p>
              </w:tc>
            </w:tr>
          </w:tbl>
          <w:p w:rsidR="00417EF9" w:rsidRDefault="00417EF9" w:rsidP="00A745B6">
            <w:pPr>
              <w:pStyle w:val="NormalWeb"/>
              <w:spacing w:before="0" w:beforeAutospacing="0" w:after="0" w:afterAutospacing="0"/>
              <w:ind w:left="142" w:right="34"/>
              <w:rPr>
                <w:rFonts w:ascii="Arial" w:hAnsi="Arial" w:cs="Arial"/>
                <w:b/>
                <w:sz w:val="22"/>
                <w:szCs w:val="22"/>
              </w:rPr>
            </w:pPr>
          </w:p>
          <w:p w:rsidR="00417EF9" w:rsidRPr="00230F35" w:rsidRDefault="00417EF9"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417EF9" w:rsidRDefault="00417EF9" w:rsidP="002F467C">
            <w:pPr>
              <w:pStyle w:val="NormalWeb"/>
              <w:spacing w:before="0" w:beforeAutospacing="0" w:after="0" w:afterAutospacing="0"/>
              <w:rPr>
                <w:rFonts w:ascii="Arial" w:hAnsi="Arial" w:cs="Arial"/>
                <w:b/>
                <w:sz w:val="22"/>
                <w:szCs w:val="22"/>
              </w:rPr>
            </w:pPr>
          </w:p>
          <w:p w:rsidR="00417EF9" w:rsidRDefault="00417EF9" w:rsidP="002F467C">
            <w:pPr>
              <w:pStyle w:val="NormalWeb"/>
              <w:spacing w:before="0" w:beforeAutospacing="0" w:after="0" w:afterAutospacing="0"/>
              <w:rPr>
                <w:rFonts w:ascii="Arial" w:hAnsi="Arial" w:cs="Arial"/>
                <w:b/>
                <w:sz w:val="22"/>
                <w:szCs w:val="22"/>
              </w:rPr>
            </w:pPr>
          </w:p>
          <w:p w:rsidR="00417EF9" w:rsidRDefault="00417EF9" w:rsidP="002F467C">
            <w:pPr>
              <w:pStyle w:val="NormalWeb"/>
              <w:spacing w:before="0" w:beforeAutospacing="0" w:after="0" w:afterAutospacing="0"/>
              <w:rPr>
                <w:rFonts w:ascii="Arial" w:hAnsi="Arial" w:cs="Arial"/>
                <w:b/>
                <w:sz w:val="22"/>
                <w:szCs w:val="22"/>
              </w:rPr>
            </w:pPr>
          </w:p>
          <w:p w:rsidR="00417EF9" w:rsidRDefault="00417EF9" w:rsidP="002F467C">
            <w:pPr>
              <w:pStyle w:val="NormalWeb"/>
              <w:spacing w:before="0" w:beforeAutospacing="0" w:after="0" w:afterAutospacing="0"/>
              <w:rPr>
                <w:rFonts w:ascii="Arial" w:hAnsi="Arial" w:cs="Arial"/>
                <w:b/>
                <w:sz w:val="22"/>
                <w:szCs w:val="22"/>
              </w:rPr>
            </w:pPr>
          </w:p>
          <w:p w:rsidR="00417EF9" w:rsidRDefault="00417EF9" w:rsidP="002F467C">
            <w:pPr>
              <w:pStyle w:val="NormalWeb"/>
              <w:spacing w:before="0" w:beforeAutospacing="0" w:after="0" w:afterAutospacing="0"/>
              <w:rPr>
                <w:rFonts w:ascii="Arial" w:hAnsi="Arial" w:cs="Arial"/>
                <w:b/>
                <w:sz w:val="22"/>
                <w:szCs w:val="22"/>
              </w:rPr>
            </w:pPr>
          </w:p>
          <w:p w:rsidR="00417EF9" w:rsidRPr="00230F35" w:rsidRDefault="00417EF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417EF9" w:rsidRDefault="00417EF9" w:rsidP="0004354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417EF9" w:rsidRPr="00001C3B" w:rsidRDefault="00417EF9" w:rsidP="00043549">
            <w:pPr>
              <w:pStyle w:val="NormalWeb"/>
              <w:rPr>
                <w:rFonts w:ascii="Arial" w:hAnsi="Arial" w:cs="Arial"/>
                <w:sz w:val="22"/>
                <w:szCs w:val="22"/>
              </w:rPr>
            </w:pPr>
          </w:p>
        </w:tc>
      </w:tr>
      <w:tr w:rsidR="00417EF9" w:rsidRPr="00230F35" w:rsidTr="00A745B6">
        <w:trPr>
          <w:trHeight w:val="492"/>
        </w:trPr>
        <w:tc>
          <w:tcPr>
            <w:tcW w:w="6768" w:type="dxa"/>
            <w:gridSpan w:val="3"/>
          </w:tcPr>
          <w:p w:rsidR="00417EF9" w:rsidRPr="00230F35" w:rsidRDefault="00417EF9" w:rsidP="00230F3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417EF9" w:rsidRPr="00230F35" w:rsidRDefault="00417EF9" w:rsidP="002F467C">
            <w:pPr>
              <w:pStyle w:val="NormalWeb"/>
              <w:spacing w:after="0"/>
              <w:ind w:left="142" w:right="34"/>
              <w:rPr>
                <w:rFonts w:ascii="Arial" w:hAnsi="Arial" w:cs="Arial"/>
                <w:sz w:val="22"/>
                <w:szCs w:val="22"/>
              </w:rPr>
            </w:pPr>
            <w:r w:rsidRPr="00230F35">
              <w:rPr>
                <w:rFonts w:ascii="Arial" w:hAnsi="Arial" w:cs="Arial"/>
                <w:sz w:val="22"/>
                <w:szCs w:val="22"/>
              </w:rPr>
              <w:t>Date:</w:t>
            </w:r>
          </w:p>
        </w:tc>
      </w:tr>
      <w:tr w:rsidR="00417EF9" w:rsidRPr="002F467C" w:rsidTr="002F467C">
        <w:tc>
          <w:tcPr>
            <w:tcW w:w="8856" w:type="dxa"/>
            <w:gridSpan w:val="5"/>
          </w:tcPr>
          <w:p w:rsidR="00417EF9" w:rsidRPr="00230F35" w:rsidRDefault="00417EF9" w:rsidP="002F467C">
            <w:pPr>
              <w:pStyle w:val="NormalWeb"/>
              <w:spacing w:before="0" w:beforeAutospacing="0" w:after="0" w:afterAutospacing="0"/>
              <w:ind w:right="-334"/>
              <w:rPr>
                <w:rFonts w:ascii="Arial" w:hAnsi="Arial" w:cs="Arial"/>
                <w:bCs/>
                <w:i/>
                <w:sz w:val="22"/>
                <w:szCs w:val="22"/>
              </w:rPr>
            </w:pPr>
          </w:p>
          <w:p w:rsidR="00417EF9" w:rsidRPr="00230F35" w:rsidRDefault="00417EF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417EF9" w:rsidRPr="00230F35" w:rsidRDefault="00417EF9" w:rsidP="002F467C">
            <w:pPr>
              <w:pStyle w:val="NormalWeb"/>
              <w:spacing w:before="0" w:beforeAutospacing="0" w:after="0" w:afterAutospacing="0"/>
              <w:ind w:right="-334"/>
              <w:rPr>
                <w:rFonts w:ascii="Arial" w:hAnsi="Arial" w:cs="Arial"/>
                <w:b/>
                <w:bCs/>
                <w:sz w:val="22"/>
                <w:szCs w:val="22"/>
              </w:rPr>
            </w:pPr>
          </w:p>
          <w:p w:rsidR="00417EF9" w:rsidRPr="00230F35" w:rsidRDefault="00417EF9"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417EF9" w:rsidRPr="00230F35" w:rsidRDefault="00417EF9" w:rsidP="002F467C">
            <w:pPr>
              <w:pStyle w:val="NormalWeb"/>
              <w:spacing w:before="0" w:beforeAutospacing="0" w:after="0" w:afterAutospacing="0"/>
              <w:ind w:right="-334"/>
              <w:rPr>
                <w:rFonts w:ascii="Arial" w:hAnsi="Arial" w:cs="Arial"/>
                <w:bCs/>
                <w:sz w:val="22"/>
                <w:szCs w:val="22"/>
              </w:rPr>
            </w:pPr>
          </w:p>
          <w:p w:rsidR="00417EF9" w:rsidRPr="00230F35" w:rsidRDefault="00417EF9" w:rsidP="002F467C">
            <w:pPr>
              <w:pStyle w:val="NormalWeb"/>
              <w:spacing w:before="0" w:beforeAutospacing="0" w:after="0" w:afterAutospacing="0"/>
              <w:ind w:right="-334"/>
              <w:rPr>
                <w:rFonts w:ascii="Arial" w:hAnsi="Arial" w:cs="Arial"/>
                <w:bCs/>
                <w:sz w:val="22"/>
                <w:szCs w:val="22"/>
              </w:rPr>
            </w:pPr>
          </w:p>
          <w:p w:rsidR="00417EF9" w:rsidRPr="00230F35" w:rsidRDefault="00417EF9" w:rsidP="002F467C">
            <w:pPr>
              <w:pStyle w:val="NormalWeb"/>
              <w:spacing w:before="0" w:beforeAutospacing="0" w:after="0" w:afterAutospacing="0"/>
              <w:ind w:right="-334"/>
              <w:rPr>
                <w:rFonts w:ascii="Arial" w:hAnsi="Arial" w:cs="Arial"/>
                <w:bCs/>
                <w:sz w:val="22"/>
                <w:szCs w:val="22"/>
              </w:rPr>
            </w:pPr>
          </w:p>
        </w:tc>
      </w:tr>
      <w:tr w:rsidR="00417EF9" w:rsidRPr="002F467C" w:rsidTr="008D674F">
        <w:trPr>
          <w:trHeight w:val="720"/>
        </w:trPr>
        <w:tc>
          <w:tcPr>
            <w:tcW w:w="5211" w:type="dxa"/>
            <w:gridSpan w:val="2"/>
          </w:tcPr>
          <w:p w:rsidR="00417EF9" w:rsidRPr="00230F35" w:rsidRDefault="00417EF9"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417EF9" w:rsidRPr="00230F35" w:rsidRDefault="00417EF9"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17EF9" w:rsidRPr="002F467C" w:rsidTr="009C1A08">
        <w:trPr>
          <w:trHeight w:val="720"/>
        </w:trPr>
        <w:tc>
          <w:tcPr>
            <w:tcW w:w="8856" w:type="dxa"/>
            <w:gridSpan w:val="5"/>
          </w:tcPr>
          <w:p w:rsidR="00417EF9" w:rsidRPr="00B34964" w:rsidRDefault="00417EF9" w:rsidP="00230F35">
            <w:pPr>
              <w:rPr>
                <w:rFonts w:ascii="Arial" w:hAnsi="Arial" w:cs="Arial"/>
                <w:b/>
                <w:sz w:val="22"/>
                <w:szCs w:val="22"/>
              </w:rPr>
            </w:pPr>
            <w:r w:rsidRPr="00B34964">
              <w:rPr>
                <w:rFonts w:ascii="Arial" w:hAnsi="Arial" w:cs="Arial"/>
                <w:b/>
                <w:sz w:val="22"/>
                <w:szCs w:val="22"/>
              </w:rPr>
              <w:t>External Examiner’s comments (if relevant)</w:t>
            </w:r>
          </w:p>
          <w:p w:rsidR="00417EF9" w:rsidRPr="00230F35" w:rsidRDefault="00417EF9" w:rsidP="002F467C">
            <w:pPr>
              <w:pStyle w:val="NormalWeb"/>
              <w:spacing w:before="0" w:beforeAutospacing="0" w:after="0" w:afterAutospacing="0"/>
              <w:ind w:right="-334"/>
              <w:rPr>
                <w:rFonts w:ascii="Arial" w:hAnsi="Arial" w:cs="Arial"/>
                <w:bCs/>
                <w:sz w:val="22"/>
                <w:szCs w:val="22"/>
              </w:rPr>
            </w:pPr>
          </w:p>
          <w:p w:rsidR="00417EF9" w:rsidRPr="00230F35" w:rsidRDefault="00417EF9" w:rsidP="002F467C">
            <w:pPr>
              <w:pStyle w:val="NormalWeb"/>
              <w:spacing w:before="0" w:beforeAutospacing="0" w:after="0" w:afterAutospacing="0"/>
              <w:ind w:right="-334"/>
              <w:rPr>
                <w:rFonts w:ascii="Arial" w:hAnsi="Arial" w:cs="Arial"/>
                <w:bCs/>
                <w:sz w:val="22"/>
                <w:szCs w:val="22"/>
              </w:rPr>
            </w:pPr>
          </w:p>
          <w:p w:rsidR="00417EF9" w:rsidRPr="00230F35" w:rsidRDefault="00417EF9" w:rsidP="002F467C">
            <w:pPr>
              <w:pStyle w:val="NormalWeb"/>
              <w:spacing w:before="0" w:beforeAutospacing="0" w:after="0" w:afterAutospacing="0"/>
              <w:ind w:right="-334"/>
              <w:rPr>
                <w:rFonts w:ascii="Arial" w:hAnsi="Arial" w:cs="Arial"/>
                <w:bCs/>
                <w:sz w:val="22"/>
                <w:szCs w:val="22"/>
              </w:rPr>
            </w:pPr>
          </w:p>
        </w:tc>
      </w:tr>
      <w:tr w:rsidR="00417EF9" w:rsidRPr="002F467C" w:rsidTr="00230F35">
        <w:trPr>
          <w:trHeight w:val="720"/>
        </w:trPr>
        <w:tc>
          <w:tcPr>
            <w:tcW w:w="5211" w:type="dxa"/>
            <w:gridSpan w:val="2"/>
          </w:tcPr>
          <w:p w:rsidR="00417EF9" w:rsidRPr="00230F35" w:rsidRDefault="00417EF9"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417EF9" w:rsidRPr="00230F35" w:rsidRDefault="00417EF9" w:rsidP="00230F35">
            <w:pPr>
              <w:rPr>
                <w:rFonts w:ascii="Arial" w:hAnsi="Arial" w:cs="Arial"/>
                <w:sz w:val="22"/>
                <w:szCs w:val="22"/>
              </w:rPr>
            </w:pPr>
            <w:r w:rsidRPr="00230F35">
              <w:rPr>
                <w:rFonts w:ascii="Arial" w:hAnsi="Arial" w:cs="Arial"/>
                <w:sz w:val="22"/>
                <w:szCs w:val="22"/>
              </w:rPr>
              <w:t>Date:</w:t>
            </w:r>
          </w:p>
        </w:tc>
      </w:tr>
    </w:tbl>
    <w:p w:rsidR="00417EF9" w:rsidRPr="00D67BF8" w:rsidRDefault="00417EF9" w:rsidP="00FA07E9">
      <w:pPr>
        <w:pStyle w:val="NormalWeb"/>
        <w:spacing w:before="0" w:beforeAutospacing="0" w:after="0" w:afterAutospacing="0"/>
        <w:ind w:right="-334"/>
        <w:rPr>
          <w:rFonts w:ascii="Trebuchet MS" w:hAnsi="Trebuchet MS" w:cs="Tahoma"/>
          <w:bCs/>
          <w:sz w:val="24"/>
          <w:szCs w:val="24"/>
        </w:rPr>
      </w:pPr>
    </w:p>
    <w:p w:rsidR="00417EF9" w:rsidRDefault="00417EF9">
      <w:r>
        <w:br w:type="page"/>
      </w:r>
    </w:p>
    <w:p w:rsidR="00417EF9" w:rsidRDefault="00417EF9" w:rsidP="001E44AB">
      <w:pPr>
        <w:spacing w:line="360" w:lineRule="auto"/>
      </w:pPr>
      <w:bookmarkStart w:id="5" w:name="_GoBack"/>
      <w:bookmarkEnd w:id="5"/>
    </w:p>
    <w:p w:rsidR="007E7B91" w:rsidRPr="00C376A8" w:rsidRDefault="007E7B91" w:rsidP="001E44AB">
      <w:pPr>
        <w:spacing w:line="360" w:lineRule="auto"/>
        <w:rPr>
          <w:u w:val="single"/>
        </w:rPr>
      </w:pPr>
      <w:r w:rsidRPr="00C376A8">
        <w:rPr>
          <w:u w:val="single"/>
        </w:rPr>
        <w:t>Comment on the nature and function of the illustrations in the Luttrell Psalter.</w:t>
      </w:r>
    </w:p>
    <w:p w:rsidR="00E96E80" w:rsidRDefault="00E96E80" w:rsidP="001E44AB">
      <w:pPr>
        <w:spacing w:line="360" w:lineRule="auto"/>
      </w:pPr>
    </w:p>
    <w:p w:rsidR="006B20A0" w:rsidRDefault="00A05324" w:rsidP="001E44AB">
      <w:pPr>
        <w:spacing w:line="360" w:lineRule="auto"/>
      </w:pPr>
      <w:r>
        <w:t xml:space="preserve">The Luttrell Psalter </w:t>
      </w:r>
      <w:r w:rsidR="00165DAE">
        <w:t>otherwise known as</w:t>
      </w:r>
      <w:r>
        <w:t xml:space="preserve"> Additional MS </w:t>
      </w:r>
      <w:r w:rsidR="00E40461">
        <w:t xml:space="preserve">42130 </w:t>
      </w:r>
      <w:r>
        <w:t xml:space="preserve">resides at the British Library where it is usually on display in the Treasures Gallery. </w:t>
      </w:r>
      <w:r w:rsidR="00C4469E">
        <w:t>A</w:t>
      </w:r>
      <w:r>
        <w:t xml:space="preserve"> quick search of </w:t>
      </w:r>
      <w:r w:rsidR="00BC7ED1">
        <w:t>‘</w:t>
      </w:r>
      <w:r>
        <w:t>Luttrell Psalter</w:t>
      </w:r>
      <w:r w:rsidR="00BC7ED1">
        <w:t>’</w:t>
      </w:r>
      <w:r>
        <w:t xml:space="preserve"> </w:t>
      </w:r>
      <w:r w:rsidR="00484A64">
        <w:t xml:space="preserve">on any internet search engine </w:t>
      </w:r>
      <w:r>
        <w:t>will bring up tho</w:t>
      </w:r>
      <w:r w:rsidR="00C4469E">
        <w:t xml:space="preserve">usands of images for the public and scholars of history alike to view the </w:t>
      </w:r>
      <w:r w:rsidR="00634F1D">
        <w:t xml:space="preserve">now </w:t>
      </w:r>
      <w:r w:rsidR="00C4469E">
        <w:t>fam</w:t>
      </w:r>
      <w:r w:rsidR="00484A64">
        <w:t xml:space="preserve">ous images of everyday life that </w:t>
      </w:r>
      <w:r w:rsidR="00C4469E">
        <w:t xml:space="preserve">have been placed alongside the more expected religious imagery you would </w:t>
      </w:r>
      <w:r w:rsidR="00484A64">
        <w:t>exp</w:t>
      </w:r>
      <w:r w:rsidR="006B20A0">
        <w:t xml:space="preserve">ect in a </w:t>
      </w:r>
      <w:r w:rsidR="00E40461">
        <w:t xml:space="preserve">devotional book such as a </w:t>
      </w:r>
      <w:r w:rsidR="006B20A0">
        <w:t>Psalter.</w:t>
      </w:r>
      <w:r w:rsidR="00C4469E">
        <w:t xml:space="preserve"> </w:t>
      </w:r>
      <w:r w:rsidR="00484A64">
        <w:t xml:space="preserve"> </w:t>
      </w:r>
      <w:r w:rsidR="00BC7ED1">
        <w:t>A</w:t>
      </w:r>
      <w:r w:rsidR="00484A64">
        <w:t xml:space="preserve"> fa</w:t>
      </w:r>
      <w:r w:rsidR="00634F1D">
        <w:t xml:space="preserve">r cry from the first time the </w:t>
      </w:r>
      <w:r w:rsidR="00484A64">
        <w:t>manuscript came into the public eye with a single sh</w:t>
      </w:r>
      <w:r w:rsidR="00634F1D">
        <w:t xml:space="preserve">ared image, an engraving of </w:t>
      </w:r>
      <w:r w:rsidR="00484A64">
        <w:t xml:space="preserve">a mounted knight bearing the Luttrell coat of arms. This was reproduced in John Carter’s </w:t>
      </w:r>
      <w:r w:rsidR="00484A64" w:rsidRPr="00484A64">
        <w:rPr>
          <w:i/>
        </w:rPr>
        <w:t xml:space="preserve">Ancient Sculpture and Painting </w:t>
      </w:r>
      <w:r w:rsidR="00484A64">
        <w:t>(volume 2), published in 1794</w:t>
      </w:r>
      <w:r w:rsidR="00634F1D">
        <w:t>.</w:t>
      </w:r>
      <w:r w:rsidR="00901F30">
        <w:rPr>
          <w:rStyle w:val="FootnoteReference"/>
        </w:rPr>
        <w:footnoteReference w:id="1"/>
      </w:r>
      <w:r w:rsidR="00634F1D">
        <w:t xml:space="preserve">  </w:t>
      </w:r>
      <w:r w:rsidR="006B20A0">
        <w:t>We</w:t>
      </w:r>
      <w:r w:rsidR="00E70D3C">
        <w:t xml:space="preserve"> can identify this image as Sir Geoffrey Luttrell, the knight who caused the Luttrell Psalter to be made and it will be one of the images discussed later in this essay. </w:t>
      </w:r>
    </w:p>
    <w:p w:rsidR="006B20A0" w:rsidRDefault="006B20A0" w:rsidP="001E44AB">
      <w:pPr>
        <w:spacing w:line="360" w:lineRule="auto"/>
      </w:pPr>
    </w:p>
    <w:p w:rsidR="003C3234" w:rsidRDefault="007E7B91" w:rsidP="001E44AB">
      <w:pPr>
        <w:spacing w:line="360" w:lineRule="auto"/>
      </w:pPr>
      <w:r>
        <w:t xml:space="preserve">Psalters, as collections of the Psalms, were used in religious </w:t>
      </w:r>
      <w:r w:rsidR="00F531E4">
        <w:t>institutions</w:t>
      </w:r>
      <w:r>
        <w:t xml:space="preserve"> but </w:t>
      </w:r>
      <w:r w:rsidR="00075AE9">
        <w:t xml:space="preserve">they </w:t>
      </w:r>
      <w:r>
        <w:t>were also held as personal b</w:t>
      </w:r>
      <w:r w:rsidR="00E70D3C">
        <w:t>ooks of devotion by the laity</w:t>
      </w:r>
      <w:r w:rsidR="00075AE9">
        <w:t xml:space="preserve">.  This particular book of devotion had remained in private hands until it was purchased by the British Museum in 1929. The catalogue for the sale at </w:t>
      </w:r>
      <w:r w:rsidR="00B74A5D">
        <w:t>Sotheby’s</w:t>
      </w:r>
      <w:r w:rsidR="00075AE9">
        <w:t xml:space="preserve"> where the manuscript was </w:t>
      </w:r>
      <w:r w:rsidR="00B74A5D">
        <w:t>to be auctioned (although it was later sold privately to the British Museum) gives us a detailed provenance</w:t>
      </w:r>
      <w:r w:rsidR="00075AE9">
        <w:t xml:space="preserve"> </w:t>
      </w:r>
      <w:r w:rsidR="00B74A5D">
        <w:t xml:space="preserve">for the Psalter and it passed out of the hands of the Luttrell family very soon after it was produced. The male Luttrell line died out in 1419 when Geoffrey Luttrell’s grandson was killed at the </w:t>
      </w:r>
      <w:proofErr w:type="spellStart"/>
      <w:r w:rsidR="00B74A5D">
        <w:t>Seige</w:t>
      </w:r>
      <w:proofErr w:type="spellEnd"/>
      <w:r w:rsidR="00B74A5D">
        <w:t xml:space="preserve"> of Rouen but by then it was already being held outside the family.</w:t>
      </w:r>
      <w:r w:rsidR="00B74A5D">
        <w:rPr>
          <w:rStyle w:val="FootnoteReference"/>
        </w:rPr>
        <w:footnoteReference w:id="2"/>
      </w:r>
      <w:r w:rsidR="00B74A5D">
        <w:t xml:space="preserve"> </w:t>
      </w:r>
      <w:r w:rsidR="00974605">
        <w:t xml:space="preserve">Obits added into the Calendars for Joan de </w:t>
      </w:r>
      <w:proofErr w:type="spellStart"/>
      <w:r w:rsidR="00974605">
        <w:t>Bohun</w:t>
      </w:r>
      <w:proofErr w:type="spellEnd"/>
      <w:r w:rsidR="00974605">
        <w:t xml:space="preserve"> and her mother Eleanor, Countess of Arundel mother in law to Henry IV who brought the Lancastrian </w:t>
      </w:r>
      <w:r w:rsidR="00E40461">
        <w:t>family</w:t>
      </w:r>
      <w:r w:rsidR="00974605">
        <w:t xml:space="preserve"> to the throne, are suggestive that perhaps the Psalter may have been gifted by the son of Sir Geoffrey, Sir Andrew Luttrell to either his patron or his daughter.</w:t>
      </w:r>
      <w:r w:rsidR="00166139">
        <w:rPr>
          <w:rStyle w:val="FootnoteReference"/>
        </w:rPr>
        <w:footnoteReference w:id="3"/>
      </w:r>
      <w:r w:rsidR="00974605">
        <w:t xml:space="preserve">  The </w:t>
      </w:r>
      <w:proofErr w:type="spellStart"/>
      <w:r w:rsidR="00974605">
        <w:t>Luttrells</w:t>
      </w:r>
      <w:proofErr w:type="spellEnd"/>
      <w:r w:rsidR="00974605">
        <w:t xml:space="preserve"> were traditional linked to the Lancastrian dynasty and </w:t>
      </w:r>
      <w:r w:rsidR="00166139">
        <w:t>this would have been a generous gift</w:t>
      </w:r>
      <w:r w:rsidR="00E40461">
        <w:t xml:space="preserve"> indeed</w:t>
      </w:r>
      <w:r w:rsidR="00166139">
        <w:t xml:space="preserve">. </w:t>
      </w:r>
    </w:p>
    <w:p w:rsidR="003C3234" w:rsidRDefault="003C3234" w:rsidP="001E44AB">
      <w:pPr>
        <w:spacing w:line="360" w:lineRule="auto"/>
      </w:pPr>
    </w:p>
    <w:p w:rsidR="00FE1A06" w:rsidRDefault="003C3234" w:rsidP="001E44AB">
      <w:pPr>
        <w:spacing w:line="360" w:lineRule="auto"/>
      </w:pPr>
      <w:r>
        <w:lastRenderedPageBreak/>
        <w:t xml:space="preserve">Considering that the book passed out of the family even before the </w:t>
      </w:r>
      <w:r w:rsidR="00A7464B">
        <w:t>male</w:t>
      </w:r>
      <w:r w:rsidR="001F4FBD">
        <w:t xml:space="preserve"> </w:t>
      </w:r>
      <w:r>
        <w:t xml:space="preserve">line died </w:t>
      </w:r>
      <w:r w:rsidR="00A7464B">
        <w:t xml:space="preserve">why </w:t>
      </w:r>
      <w:r w:rsidR="007C2FCD">
        <w:t xml:space="preserve">then </w:t>
      </w:r>
      <w:r w:rsidR="00E40461">
        <w:t xml:space="preserve">is </w:t>
      </w:r>
      <w:r w:rsidR="001F4FBD">
        <w:t>it referred to as the</w:t>
      </w:r>
      <w:r w:rsidR="00D319EE">
        <w:t xml:space="preserve"> Luttrell Psalter and named </w:t>
      </w:r>
      <w:r w:rsidR="00A71DC4">
        <w:t>as such in that first engraving that was published</w:t>
      </w:r>
      <w:r w:rsidR="001F4FBD">
        <w:t xml:space="preserve">?  </w:t>
      </w:r>
      <w:r w:rsidR="00D319EE">
        <w:t xml:space="preserve">It is typical of manuscripts of this type that we can identify them with their </w:t>
      </w:r>
      <w:r w:rsidR="000B2E5E">
        <w:t>original patrons</w:t>
      </w:r>
      <w:r w:rsidR="00D319EE">
        <w:t xml:space="preserve"> by the heraldic imagery that is contained either within the decoration or on particular</w:t>
      </w:r>
      <w:r w:rsidR="00E40461">
        <w:t xml:space="preserve"> </w:t>
      </w:r>
      <w:r w:rsidR="001F4FBD">
        <w:t>miniatures</w:t>
      </w:r>
      <w:r w:rsidR="00D319EE">
        <w:t>.</w:t>
      </w:r>
      <w:r w:rsidR="00D319EE">
        <w:rPr>
          <w:rStyle w:val="FootnoteReference"/>
        </w:rPr>
        <w:footnoteReference w:id="4"/>
      </w:r>
      <w:r w:rsidR="001F4FBD">
        <w:t xml:space="preserve"> </w:t>
      </w:r>
      <w:r w:rsidR="00A7464B">
        <w:t>The image of the mounted knight is displayed prominently in the Psalter, opposite Psalm 109 which would be the first recited on a Sunday at evening prayer.  It</w:t>
      </w:r>
      <w:r w:rsidR="001F4FBD">
        <w:t xml:space="preserve"> depicts the knight bearing the Luttrell Arms which are also found throughout the manuscript.  From that alone we </w:t>
      </w:r>
      <w:r w:rsidR="00BC7ED1">
        <w:t>can infer</w:t>
      </w:r>
      <w:r w:rsidR="001F4FBD">
        <w:t xml:space="preserve"> that this Psalter was commissioned by the Luttrell family, but we </w:t>
      </w:r>
      <w:r w:rsidR="00BC7ED1">
        <w:t>can</w:t>
      </w:r>
      <w:r w:rsidR="001F4FBD">
        <w:t xml:space="preserve"> take this a step further as the Psalter itself names its creator with the Latin text above the knight </w:t>
      </w:r>
      <w:r w:rsidR="00E40461">
        <w:t xml:space="preserve">‘Dominus </w:t>
      </w:r>
      <w:proofErr w:type="spellStart"/>
      <w:r w:rsidR="00E40461">
        <w:t>Galfridus</w:t>
      </w:r>
      <w:proofErr w:type="spellEnd"/>
      <w:r w:rsidR="00E40461">
        <w:t xml:space="preserve"> </w:t>
      </w:r>
      <w:proofErr w:type="spellStart"/>
      <w:r w:rsidR="00E40461">
        <w:t>Louterell</w:t>
      </w:r>
      <w:proofErr w:type="spellEnd"/>
      <w:r w:rsidR="00E40461">
        <w:t xml:space="preserve"> me </w:t>
      </w:r>
      <w:proofErr w:type="spellStart"/>
      <w:r w:rsidR="00E40461">
        <w:t>fieri</w:t>
      </w:r>
      <w:proofErr w:type="spellEnd"/>
      <w:r w:rsidR="00E40461">
        <w:t xml:space="preserve"> </w:t>
      </w:r>
      <w:proofErr w:type="spellStart"/>
      <w:r w:rsidR="00E40461">
        <w:t>Fecit</w:t>
      </w:r>
      <w:proofErr w:type="spellEnd"/>
      <w:r w:rsidR="00E40461">
        <w:t xml:space="preserve">’, or ‘The Lord </w:t>
      </w:r>
      <w:proofErr w:type="spellStart"/>
      <w:r w:rsidR="00E40461">
        <w:t>Geoffe</w:t>
      </w:r>
      <w:r w:rsidR="00A7464B">
        <w:t>r</w:t>
      </w:r>
      <w:r w:rsidR="00E40461">
        <w:t>y</w:t>
      </w:r>
      <w:proofErr w:type="spellEnd"/>
      <w:r w:rsidR="00E40461">
        <w:t xml:space="preserve"> Luttrell caused me to be made’</w:t>
      </w:r>
      <w:r w:rsidR="00A7464B">
        <w:t>.</w:t>
      </w:r>
      <w:r w:rsidR="00A7464B">
        <w:rPr>
          <w:rStyle w:val="FootnoteReference"/>
        </w:rPr>
        <w:footnoteReference w:id="5"/>
      </w:r>
      <w:r w:rsidR="00A7464B">
        <w:t xml:space="preserve"> There can therefore be no doubt as to who commissioned this work. But the miniature tells us more than just who paid for </w:t>
      </w:r>
      <w:r w:rsidR="00465D35">
        <w:t>the Psalter</w:t>
      </w:r>
      <w:r w:rsidR="00FE1A06">
        <w:t xml:space="preserve">. </w:t>
      </w:r>
    </w:p>
    <w:p w:rsidR="009A7981" w:rsidRDefault="009A7981" w:rsidP="001E44AB">
      <w:pPr>
        <w:spacing w:line="360" w:lineRule="auto"/>
      </w:pPr>
    </w:p>
    <w:p w:rsidR="00BE3D37" w:rsidRDefault="009A7981" w:rsidP="001E44AB">
      <w:pPr>
        <w:spacing w:line="360" w:lineRule="auto"/>
      </w:pPr>
      <w:r>
        <w:t xml:space="preserve">While the </w:t>
      </w:r>
      <w:r w:rsidR="00160C19">
        <w:t xml:space="preserve">miniature is a prominent image </w:t>
      </w:r>
      <w:r>
        <w:t xml:space="preserve">Backhouse notes </w:t>
      </w:r>
      <w:r w:rsidR="00160C19">
        <w:t>that as a dedication image</w:t>
      </w:r>
      <w:r>
        <w:t xml:space="preserve"> it is in an unusual position </w:t>
      </w:r>
      <w:r w:rsidR="00BC7ED1">
        <w:t xml:space="preserve">and shows </w:t>
      </w:r>
      <w:r>
        <w:t xml:space="preserve">Sir Geoffrey as a fully armed mounted knight </w:t>
      </w:r>
      <w:r w:rsidR="004723DB">
        <w:t xml:space="preserve">which is </w:t>
      </w:r>
      <w:r>
        <w:t xml:space="preserve">contrary to </w:t>
      </w:r>
      <w:r w:rsidR="000B2E5E">
        <w:t xml:space="preserve">the </w:t>
      </w:r>
      <w:r>
        <w:t>more usual dedication miniatures which would show their patron at prayer, most likely on their knees.</w:t>
      </w:r>
      <w:r>
        <w:rPr>
          <w:rStyle w:val="FootnoteReference"/>
        </w:rPr>
        <w:footnoteReference w:id="6"/>
      </w:r>
      <w:r>
        <w:t xml:space="preserve"> </w:t>
      </w:r>
      <w:r w:rsidR="009C145A">
        <w:t xml:space="preserve">The initial of the Psalm on the opposite page is </w:t>
      </w:r>
      <w:r w:rsidR="00201919">
        <w:t>also un</w:t>
      </w:r>
      <w:r w:rsidR="00AD2CE8">
        <w:t>u</w:t>
      </w:r>
      <w:r w:rsidR="00201919">
        <w:t>sual as the letter D has Christ with a globe and a secular king, not the more usual persons from the Trinity.</w:t>
      </w:r>
      <w:r w:rsidR="00201919">
        <w:rPr>
          <w:rStyle w:val="FootnoteReference"/>
        </w:rPr>
        <w:footnoteReference w:id="7"/>
      </w:r>
      <w:r w:rsidR="00201919">
        <w:t xml:space="preserve"> As this is a devotional book the king could be representing </w:t>
      </w:r>
      <w:r w:rsidR="00F70656">
        <w:t xml:space="preserve">King </w:t>
      </w:r>
      <w:r w:rsidR="00201919">
        <w:t>David, however Backhouse also suggests that it could be Sir Geoffrey’s own king Edward III.  However</w:t>
      </w:r>
      <w:r w:rsidR="004723DB">
        <w:t>,</w:t>
      </w:r>
      <w:r w:rsidR="00201919">
        <w:t xml:space="preserve"> </w:t>
      </w:r>
      <w:r w:rsidR="00F70656">
        <w:t xml:space="preserve">an alternate view proposed by </w:t>
      </w:r>
      <w:r w:rsidR="00201919">
        <w:t xml:space="preserve">Brown </w:t>
      </w:r>
      <w:r w:rsidR="00F70656">
        <w:t xml:space="preserve">is </w:t>
      </w:r>
      <w:r w:rsidR="00201919">
        <w:t>that the king is Edward I who was Sir Geoffrey’s overload during his younger years and could be showing him off on campaign for his King.</w:t>
      </w:r>
      <w:r w:rsidR="00F70656">
        <w:rPr>
          <w:rStyle w:val="FootnoteReference"/>
        </w:rPr>
        <w:footnoteReference w:id="8"/>
      </w:r>
      <w:r w:rsidR="00201919">
        <w:t xml:space="preserve">  Regardless of which secular King is depicted thi</w:t>
      </w:r>
      <w:r w:rsidR="00BE3D37">
        <w:t xml:space="preserve">s an unusual choice of image for </w:t>
      </w:r>
      <w:r w:rsidR="00201919">
        <w:t>the init</w:t>
      </w:r>
      <w:r w:rsidR="00F70656">
        <w:t>ial letter beginning the Psalm</w:t>
      </w:r>
      <w:r w:rsidR="00BE3D37">
        <w:t xml:space="preserve">. </w:t>
      </w:r>
      <w:r w:rsidR="00F70656">
        <w:t xml:space="preserve"> </w:t>
      </w:r>
    </w:p>
    <w:p w:rsidR="00BE3D37" w:rsidRDefault="00BE3D37" w:rsidP="001E44AB">
      <w:pPr>
        <w:spacing w:line="360" w:lineRule="auto"/>
      </w:pPr>
    </w:p>
    <w:p w:rsidR="00BE3D37" w:rsidRDefault="00BE3D37" w:rsidP="001E44AB">
      <w:pPr>
        <w:spacing w:line="360" w:lineRule="auto"/>
      </w:pPr>
      <w:r>
        <w:t xml:space="preserve">An illuminated manuscript was an expensive undertaking and one which Sir Geoffrey would have taken pains to ensure represented his views, beliefs and </w:t>
      </w:r>
      <w:r w:rsidR="008143AF">
        <w:t>allegiances</w:t>
      </w:r>
      <w:r>
        <w:t xml:space="preserve">.  No image would </w:t>
      </w:r>
      <w:r>
        <w:lastRenderedPageBreak/>
        <w:t>have been placed in the manuscript by accident. The artist will have taken significant direction from their patron as to what was meant to go in, and what was to be left out.</w:t>
      </w:r>
      <w:r w:rsidR="008143AF" w:rsidRPr="00210927">
        <w:rPr>
          <w:rStyle w:val="FootnoteReference"/>
        </w:rPr>
        <w:footnoteReference w:id="9"/>
      </w:r>
    </w:p>
    <w:p w:rsidR="006869A1" w:rsidRDefault="00BE3D37" w:rsidP="001E44AB">
      <w:pPr>
        <w:spacing w:line="360" w:lineRule="auto"/>
      </w:pPr>
      <w:r>
        <w:t xml:space="preserve">In </w:t>
      </w:r>
      <w:r w:rsidR="00F70656">
        <w:t xml:space="preserve">linking himself to </w:t>
      </w:r>
      <w:r w:rsidR="005D3A9D">
        <w:t xml:space="preserve">a king from either </w:t>
      </w:r>
      <w:r w:rsidR="00DC1A39">
        <w:t xml:space="preserve">his past or present Sir Geoffrey is </w:t>
      </w:r>
      <w:r w:rsidR="008143AF">
        <w:t xml:space="preserve">overtly both emphasising his own social standing as well as honouring his overload. </w:t>
      </w:r>
      <w:r w:rsidR="00DC1A39">
        <w:t xml:space="preserve"> </w:t>
      </w:r>
      <w:r w:rsidR="00BC7ED1">
        <w:t xml:space="preserve">Smith tells </w:t>
      </w:r>
      <w:r>
        <w:t>us that book ownership and artistic patronage were “fundamental to the patron’s self-conception and self-expression and richly suggestive and even constitutive of their sense of familial and social ‘place’”.</w:t>
      </w:r>
      <w:r>
        <w:rPr>
          <w:rStyle w:val="FootnoteReference"/>
        </w:rPr>
        <w:footnoteReference w:id="10"/>
      </w:r>
      <w:r w:rsidR="008143AF">
        <w:t xml:space="preserve"> What is clear is t</w:t>
      </w:r>
      <w:r w:rsidR="00332247">
        <w:t xml:space="preserve">hat </w:t>
      </w:r>
      <w:r w:rsidR="007C2FCD">
        <w:t>Sir Geoffrey by cho</w:t>
      </w:r>
      <w:r w:rsidR="00BC6BBD">
        <w:t>o</w:t>
      </w:r>
      <w:r w:rsidR="007C2FCD">
        <w:t>sing to portray himself in this way, rather than in the more traditional devotional pose, is promoting himself</w:t>
      </w:r>
      <w:r w:rsidR="004723DB">
        <w:t>.</w:t>
      </w:r>
    </w:p>
    <w:p w:rsidR="004723DB" w:rsidRDefault="004723DB" w:rsidP="001E44AB">
      <w:pPr>
        <w:spacing w:line="360" w:lineRule="auto"/>
      </w:pPr>
    </w:p>
    <w:p w:rsidR="00BC6BBD" w:rsidRDefault="006869A1" w:rsidP="001E44AB">
      <w:pPr>
        <w:spacing w:line="360" w:lineRule="auto"/>
      </w:pPr>
      <w:r>
        <w:t>Sir Geoffrey appears again in the Psalter as the Lord of the Manor at a feast in hi</w:t>
      </w:r>
      <w:r w:rsidR="00BC7ED1">
        <w:t>s house. T</w:t>
      </w:r>
      <w:r w:rsidR="005C03B4">
        <w:t xml:space="preserve">his image </w:t>
      </w:r>
      <w:r w:rsidR="00D8756A">
        <w:t xml:space="preserve">accompanies Psalm 115, </w:t>
      </w:r>
      <w:r w:rsidR="002A3BE8">
        <w:t>a Psalm of thanksgiving</w:t>
      </w:r>
      <w:r w:rsidR="0056249A">
        <w:t xml:space="preserve"> for rescuing the </w:t>
      </w:r>
      <w:r w:rsidR="00BF2809">
        <w:t>Psalmist from death and despair.  Verses three and four are above Sir Geoffrey’s head which say ‘The sorrows of death compassed me, and the perils of Hell have found me; I met with trouble and sorrow and called upon the name of the Lord.’</w:t>
      </w:r>
      <w:r w:rsidR="00BF2809">
        <w:rPr>
          <w:rStyle w:val="FootnoteReference"/>
        </w:rPr>
        <w:footnoteReference w:id="11"/>
      </w:r>
      <w:r w:rsidR="00BF2809">
        <w:t xml:space="preserve"> </w:t>
      </w:r>
      <w:r w:rsidR="007C2FCD">
        <w:t xml:space="preserve"> </w:t>
      </w:r>
      <w:r w:rsidR="00BC6BBD">
        <w:t xml:space="preserve">Camille uses this image to aid the dating of the manuscript, citing Sir Geoffrey’s ill health in 1325 (which had prevented him from taking up the post of commissioner of array in </w:t>
      </w:r>
      <w:proofErr w:type="spellStart"/>
      <w:r w:rsidR="00BC6BBD">
        <w:t>Kesteven</w:t>
      </w:r>
      <w:proofErr w:type="spellEnd"/>
      <w:r w:rsidR="00BC6BBD">
        <w:t xml:space="preserve">) </w:t>
      </w:r>
      <w:r w:rsidR="00730A7E">
        <w:t xml:space="preserve">and linking this to the words of the Psalm.  He also refers to the larger tradition of the Psalms being used to directly reflect the personal life and issues of their patrons when used in English manuscripts and when </w:t>
      </w:r>
      <w:r w:rsidR="00D70749">
        <w:t>taken with the deliberate positioning of the dedication miniature alongside Psalm 109 we can see that careful thought has been given to which images are being placed alongside which Psalms.</w:t>
      </w:r>
      <w:r w:rsidR="00D70749">
        <w:rPr>
          <w:rStyle w:val="FootnoteReference"/>
        </w:rPr>
        <w:footnoteReference w:id="12"/>
      </w:r>
      <w:r w:rsidR="00D70749">
        <w:t xml:space="preserve"> By 1325 Sir Geoffrey has suffered the loss of his eldest son Robert and also a sexual scandal that had surrounded his daughter Elizabeth in 1309 (also alluded to in the manuscript). Combining this with the</w:t>
      </w:r>
      <w:r w:rsidR="00BC7ED1">
        <w:t>ir</w:t>
      </w:r>
      <w:r w:rsidR="00D70749">
        <w:t xml:space="preserve"> di</w:t>
      </w:r>
      <w:r w:rsidR="004B54B2">
        <w:t>scovery that he and his wife were related to within the third and fourth degree, making their relationship incestuous in the eyes of the church</w:t>
      </w:r>
      <w:r w:rsidR="00BC7ED1">
        <w:t xml:space="preserve"> </w:t>
      </w:r>
      <w:r w:rsidR="004B54B2">
        <w:t>and his children illegitimate</w:t>
      </w:r>
      <w:r w:rsidR="00BC7ED1">
        <w:t>,</w:t>
      </w:r>
      <w:r w:rsidR="004B54B2">
        <w:t xml:space="preserve"> this was surely a painful and difficult time for Sir Geoffrey. It is not unreasonable to date the commission of this manuscript to the mid 1320’s at a time </w:t>
      </w:r>
      <w:r w:rsidR="004B54B2">
        <w:lastRenderedPageBreak/>
        <w:t>when</w:t>
      </w:r>
      <w:r w:rsidR="002E7ADA">
        <w:t xml:space="preserve"> </w:t>
      </w:r>
      <w:r w:rsidR="00E03FFC">
        <w:t xml:space="preserve">Sir Geoffrey’s </w:t>
      </w:r>
      <w:r w:rsidR="002E7ADA">
        <w:t>family was threatened</w:t>
      </w:r>
      <w:r w:rsidR="004723DB">
        <w:t>.  He</w:t>
      </w:r>
      <w:r w:rsidR="002E7ADA">
        <w:t xml:space="preserve"> would be seeking a significant symbol and a physical manifestation </w:t>
      </w:r>
      <w:r w:rsidR="00EA5C28">
        <w:t>of legitimization.</w:t>
      </w:r>
      <w:r w:rsidR="00EA5C28">
        <w:rPr>
          <w:rStyle w:val="FootnoteReference"/>
        </w:rPr>
        <w:footnoteReference w:id="13"/>
      </w:r>
    </w:p>
    <w:p w:rsidR="00BC6BBD" w:rsidRDefault="00BC6BBD" w:rsidP="001E44AB">
      <w:pPr>
        <w:spacing w:line="360" w:lineRule="auto"/>
      </w:pPr>
    </w:p>
    <w:p w:rsidR="006869A1" w:rsidRDefault="00E03FFC" w:rsidP="001E44AB">
      <w:pPr>
        <w:spacing w:line="360" w:lineRule="auto"/>
      </w:pPr>
      <w:r>
        <w:t>This image</w:t>
      </w:r>
      <w:r w:rsidR="00E93B2E">
        <w:t xml:space="preserve"> can also be used to demonstrate the difficulty in knowing what we are meant to understand from </w:t>
      </w:r>
      <w:r>
        <w:t xml:space="preserve">an </w:t>
      </w:r>
      <w:r w:rsidR="00E93B2E">
        <w:t xml:space="preserve">image.  </w:t>
      </w:r>
      <w:r w:rsidR="00BF2809">
        <w:t>A later verse</w:t>
      </w:r>
      <w:r>
        <w:t xml:space="preserve"> of the </w:t>
      </w:r>
      <w:r w:rsidR="00E93B2E">
        <w:t>same Psalm</w:t>
      </w:r>
      <w:r w:rsidR="00BF2809">
        <w:t xml:space="preserve"> refers to the chalice of salvation and calling upon the Lord.  Camille has noted this has Eucharistic overtones as has Brown who notes that the scene is reminiscent of the last supper with Sir Geoffrey taking the central role of Christ with the </w:t>
      </w:r>
      <w:r w:rsidR="00D8756A">
        <w:t xml:space="preserve">rest of the gathered company as the </w:t>
      </w:r>
      <w:r w:rsidR="00CF49BB">
        <w:t>Apostles</w:t>
      </w:r>
      <w:r w:rsidR="00D8756A">
        <w:t>.</w:t>
      </w:r>
      <w:r w:rsidR="00D8756A">
        <w:rPr>
          <w:rStyle w:val="FootnoteReference"/>
        </w:rPr>
        <w:footnoteReference w:id="14"/>
      </w:r>
      <w:r w:rsidR="00D8756A">
        <w:t xml:space="preserve"> Brown takes the analogy further referencing the figure with the Jewish scarf who could be meant to refer to either </w:t>
      </w:r>
      <w:r w:rsidR="00CF49BB">
        <w:t>Judas</w:t>
      </w:r>
      <w:r w:rsidR="00D8756A">
        <w:t xml:space="preserve"> genuflecting to Christ or alternatively asks “was there perhaps a ‘</w:t>
      </w:r>
      <w:r w:rsidR="00CF49BB">
        <w:t>Judas</w:t>
      </w:r>
      <w:r w:rsidR="00D8756A">
        <w:t>’ in the Luttrell household?”</w:t>
      </w:r>
      <w:r w:rsidR="00D8756A">
        <w:rPr>
          <w:rStyle w:val="FootnoteReference"/>
        </w:rPr>
        <w:footnoteReference w:id="15"/>
      </w:r>
      <w:r w:rsidR="00E16331">
        <w:t xml:space="preserve"> Camille, only notes that his fringed napkin is being worn backwards like a liturgical stole, and so does not make the same connection as Brown.</w:t>
      </w:r>
      <w:r w:rsidR="00E16331">
        <w:rPr>
          <w:rStyle w:val="FootnoteReference"/>
        </w:rPr>
        <w:footnoteReference w:id="16"/>
      </w:r>
    </w:p>
    <w:p w:rsidR="00511B1C" w:rsidRDefault="00511B1C" w:rsidP="001E44AB">
      <w:pPr>
        <w:spacing w:line="360" w:lineRule="auto"/>
      </w:pPr>
    </w:p>
    <w:p w:rsidR="00CF49BB" w:rsidRDefault="0032412A" w:rsidP="001E44AB">
      <w:pPr>
        <w:spacing w:line="360" w:lineRule="auto"/>
      </w:pPr>
      <w:r>
        <w:t xml:space="preserve">It is clear from this image and our discussion of the dedication miniature </w:t>
      </w:r>
      <w:r w:rsidR="00511B1C">
        <w:t xml:space="preserve">that while </w:t>
      </w:r>
      <w:r w:rsidR="00BE3D37">
        <w:t>much can be inferred fro</w:t>
      </w:r>
      <w:r w:rsidR="00511B1C">
        <w:t xml:space="preserve">m a picture, </w:t>
      </w:r>
      <w:r w:rsidR="00CF49BB">
        <w:t xml:space="preserve">we have also seen </w:t>
      </w:r>
      <w:r w:rsidR="00511B1C">
        <w:t xml:space="preserve">that one person can see something different, or take different meaning, from </w:t>
      </w:r>
      <w:r>
        <w:t>another</w:t>
      </w:r>
      <w:r w:rsidR="00511B1C">
        <w:t xml:space="preserve">.  Backhouse and Brown have differing views on the King pictured in the initial letter opposite the dedication </w:t>
      </w:r>
      <w:r w:rsidR="00CF49BB">
        <w:t>miniature</w:t>
      </w:r>
      <w:r w:rsidR="00511B1C">
        <w:t xml:space="preserve"> and Camille and Brown place a different emphasis on the figure at the feast with the scarf. </w:t>
      </w:r>
      <w:r w:rsidR="00CF49BB">
        <w:t xml:space="preserve"> How then can we be sure that we are describing the images as they were meant to be seen, or indeed know that we are taking their function or meaning as they were </w:t>
      </w:r>
      <w:r w:rsidR="00BE3D37">
        <w:t xml:space="preserve">originally </w:t>
      </w:r>
      <w:r w:rsidR="00CF49BB">
        <w:t>meant to be understood?</w:t>
      </w:r>
    </w:p>
    <w:p w:rsidR="00332247" w:rsidRDefault="00332247" w:rsidP="001E44AB">
      <w:pPr>
        <w:spacing w:line="360" w:lineRule="auto"/>
      </w:pPr>
    </w:p>
    <w:p w:rsidR="00605FB2" w:rsidRDefault="00332247" w:rsidP="001E44AB">
      <w:pPr>
        <w:spacing w:line="360" w:lineRule="auto"/>
      </w:pPr>
      <w:r>
        <w:t xml:space="preserve">Caruthers in her work </w:t>
      </w:r>
      <w:r w:rsidRPr="00E3736E">
        <w:rPr>
          <w:i/>
        </w:rPr>
        <w:t>The Book of Memory</w:t>
      </w:r>
      <w:r>
        <w:t>, says that “Images are themselves words of a sort, not because they represent words in our sense of ‘represent’ but because like words they recall content to mind”.</w:t>
      </w:r>
      <w:r>
        <w:rPr>
          <w:rStyle w:val="FootnoteReference"/>
        </w:rPr>
        <w:footnoteReference w:id="17"/>
      </w:r>
      <w:r w:rsidR="002C1360">
        <w:t xml:space="preserve"> She goes on that the images are not there just as a representation of the text but are to be considered alongside so that the meaning is taken from the whole and are necessary “..to its proper meaning”.</w:t>
      </w:r>
      <w:r w:rsidR="002C1360">
        <w:rPr>
          <w:rStyle w:val="FootnoteReference"/>
        </w:rPr>
        <w:footnoteReference w:id="18"/>
      </w:r>
      <w:r w:rsidR="00640AD8">
        <w:t xml:space="preserve"> </w:t>
      </w:r>
      <w:r w:rsidR="00FB478D">
        <w:t>W</w:t>
      </w:r>
      <w:r w:rsidR="00126EA1">
        <w:t xml:space="preserve">e can take from this </w:t>
      </w:r>
      <w:r w:rsidR="001F2586">
        <w:t xml:space="preserve">that to </w:t>
      </w:r>
      <w:r w:rsidR="001F2586">
        <w:lastRenderedPageBreak/>
        <w:t>read a medieval illuminated manuscript it is not enough just to read the words, or view it as a picture book</w:t>
      </w:r>
      <w:r w:rsidR="00F62A0B">
        <w:t>.</w:t>
      </w:r>
      <w:r w:rsidR="001F2586">
        <w:t xml:space="preserve"> </w:t>
      </w:r>
      <w:r w:rsidR="00126EA1">
        <w:t>O</w:t>
      </w:r>
      <w:r w:rsidR="001F2586">
        <w:t>ne must view the manuscript in its entirety to understand its purpose</w:t>
      </w:r>
      <w:r w:rsidR="00F62A0B">
        <w:t xml:space="preserve"> and realise that the illustrations are there to “provide a heightened and intensi</w:t>
      </w:r>
      <w:r w:rsidR="00E03FFC">
        <w:t>fied experienc</w:t>
      </w:r>
      <w:r w:rsidR="00F62A0B">
        <w:t>e of reading”</w:t>
      </w:r>
      <w:r w:rsidR="001F2586">
        <w:t>.</w:t>
      </w:r>
      <w:r w:rsidR="00F62A0B">
        <w:rPr>
          <w:rStyle w:val="FootnoteReference"/>
        </w:rPr>
        <w:footnoteReference w:id="19"/>
      </w:r>
      <w:r w:rsidR="001F2586">
        <w:t xml:space="preserve"> As a modern reader this is made more difficult as we must be careful not to lay our own bias regarding religion or social standing, onto what we are seeing or reading.  Take for example the illustrations of everyday life, and farm work for which the Luttrell Psalter is famous.  </w:t>
      </w:r>
      <w:r w:rsidR="00A53A81">
        <w:t>Dyer notes that “the intensity of pre-mechanised harvest work has been recorded by nineteenth-century observers and the illustrator of the early fourteenth-century Luttrell Psalter, with his eye for the grotesque, has captured in the bent backs and strained faces of his figures some of the harsh toil involved”.</w:t>
      </w:r>
      <w:r w:rsidR="00A53A81">
        <w:rPr>
          <w:rStyle w:val="FootnoteReference"/>
        </w:rPr>
        <w:footnoteReference w:id="20"/>
      </w:r>
      <w:r w:rsidR="009A401D">
        <w:t xml:space="preserve">   As a resource for information on medieval rural life the Luttrell Psalter is rich with imagery </w:t>
      </w:r>
      <w:r w:rsidR="00605FB2">
        <w:t xml:space="preserve">particularly </w:t>
      </w:r>
      <w:r w:rsidR="009A401D">
        <w:t>given the lack of other contemporary source material available to the historian who is making a study of the</w:t>
      </w:r>
      <w:r w:rsidR="00605FB2">
        <w:t xml:space="preserve"> ordinary medieval man or woman.</w:t>
      </w:r>
      <w:r w:rsidR="0042280F">
        <w:t xml:space="preserve"> </w:t>
      </w:r>
      <w:r w:rsidR="00605FB2">
        <w:t>I</w:t>
      </w:r>
      <w:r w:rsidR="009A401D">
        <w:t>t is not unreasonable to agree that working the fields, for example, at this time was back breaki</w:t>
      </w:r>
      <w:r w:rsidR="00605FB2">
        <w:t xml:space="preserve">ng work and a tough way to live and so these images could just be taken at face value.  Backhouse in her </w:t>
      </w:r>
      <w:r w:rsidR="001F1143">
        <w:t>book</w:t>
      </w:r>
      <w:r w:rsidR="00605FB2">
        <w:t xml:space="preserve"> </w:t>
      </w:r>
      <w:r w:rsidR="00605FB2" w:rsidRPr="001F1143">
        <w:rPr>
          <w:i/>
        </w:rPr>
        <w:t>Medieval Rural Life in the Luttrell Psalter</w:t>
      </w:r>
      <w:r w:rsidR="00605FB2">
        <w:t xml:space="preserve"> even states in her introduction that she would be “..taking the marginal scenes…at their face value, as representations of episodes of daily life as it was lived in England early in the fourteenth century”.</w:t>
      </w:r>
      <w:r w:rsidR="00605FB2">
        <w:rPr>
          <w:rStyle w:val="FootnoteReference"/>
        </w:rPr>
        <w:footnoteReference w:id="21"/>
      </w:r>
      <w:r w:rsidR="00605FB2">
        <w:t xml:space="preserve"> However there </w:t>
      </w:r>
      <w:r w:rsidR="00A275B6">
        <w:t>is</w:t>
      </w:r>
      <w:r w:rsidR="00605FB2">
        <w:t xml:space="preserve"> more to these images than just a </w:t>
      </w:r>
      <w:r w:rsidR="00126EA1">
        <w:t xml:space="preserve">visual </w:t>
      </w:r>
      <w:r w:rsidR="00605FB2">
        <w:t>record of the workings for the Lu</w:t>
      </w:r>
      <w:r w:rsidR="006D786B">
        <w:t>ttrell family lands and estates.</w:t>
      </w:r>
    </w:p>
    <w:p w:rsidR="006D786B" w:rsidRDefault="006D786B" w:rsidP="001E44AB">
      <w:pPr>
        <w:spacing w:line="360" w:lineRule="auto"/>
      </w:pPr>
    </w:p>
    <w:p w:rsidR="007B7024" w:rsidRDefault="00EF3D96" w:rsidP="001E44AB">
      <w:pPr>
        <w:spacing w:line="360" w:lineRule="auto"/>
      </w:pPr>
      <w:r>
        <w:t xml:space="preserve">We have already seen that Sir Geoffrey has used his dedication miniature to emphasise his social standing and ties to royalty, and if we agree with Camille’s method of dating the manuscript by using the image of </w:t>
      </w:r>
      <w:r w:rsidR="001F1143">
        <w:t>Sir Geoffrey</w:t>
      </w:r>
      <w:r>
        <w:t xml:space="preserve"> at his feast</w:t>
      </w:r>
      <w:r w:rsidR="004723DB">
        <w:t>,</w:t>
      </w:r>
      <w:r>
        <w:t xml:space="preserve"> </w:t>
      </w:r>
      <w:r w:rsidR="001F1143">
        <w:t xml:space="preserve">then this suggests he was </w:t>
      </w:r>
      <w:r>
        <w:t xml:space="preserve">putting </w:t>
      </w:r>
      <w:r w:rsidR="009839F9">
        <w:t>significant</w:t>
      </w:r>
      <w:r>
        <w:t xml:space="preserve"> resources into producing this lavish manuscript </w:t>
      </w:r>
      <w:r w:rsidR="00E03FFC">
        <w:t xml:space="preserve">as an aid </w:t>
      </w:r>
      <w:r>
        <w:t>to a</w:t>
      </w:r>
      <w:r w:rsidR="009839F9">
        <w:t>dd legitimacy to his family and family name</w:t>
      </w:r>
      <w:r w:rsidR="00E03FFC">
        <w:t xml:space="preserve">. </w:t>
      </w:r>
      <w:r w:rsidR="006D786B">
        <w:t>This was a not a Psalter that was going to be used just for his own be</w:t>
      </w:r>
      <w:r w:rsidR="007B7024">
        <w:t>nefit, for personal quiet reflection. Th</w:t>
      </w:r>
      <w:r w:rsidR="00E03FFC">
        <w:t xml:space="preserve">is was to be a public document and was designed to be seen. </w:t>
      </w:r>
      <w:r w:rsidR="006D786B">
        <w:t>Sir Geoffrey was creating a narrative about his fami</w:t>
      </w:r>
      <w:r w:rsidR="007B7024">
        <w:t xml:space="preserve">ly, his wealth and connections and </w:t>
      </w:r>
      <w:r w:rsidR="00E03FFC">
        <w:t xml:space="preserve">the Psalter was </w:t>
      </w:r>
      <w:r w:rsidR="007B7024">
        <w:t xml:space="preserve">being specifically </w:t>
      </w:r>
      <w:r w:rsidR="006D786B">
        <w:t xml:space="preserve">designed </w:t>
      </w:r>
      <w:r w:rsidR="004723DB">
        <w:t xml:space="preserve">as a book </w:t>
      </w:r>
      <w:r w:rsidR="006D786B">
        <w:t>to be viewed by others</w:t>
      </w:r>
      <w:r w:rsidR="007B7024">
        <w:t>.</w:t>
      </w:r>
      <w:r w:rsidR="006D786B">
        <w:t xml:space="preserve"> </w:t>
      </w:r>
      <w:r w:rsidR="007B7024">
        <w:t xml:space="preserve">Backhouse </w:t>
      </w:r>
      <w:r w:rsidR="007B7024">
        <w:lastRenderedPageBreak/>
        <w:t>comments “the scale of both the script and decoration in the Luttrell Psalter suggests that it was intended to be seen by more than its owner along”</w:t>
      </w:r>
      <w:r w:rsidR="007B7024">
        <w:rPr>
          <w:rStyle w:val="FootnoteReference"/>
        </w:rPr>
        <w:footnoteReference w:id="22"/>
      </w:r>
      <w:r w:rsidR="007B7024">
        <w:t xml:space="preserve"> G</w:t>
      </w:r>
      <w:r w:rsidR="006D786B">
        <w:t xml:space="preserve">iven the expense of producing the manuscript no images would have been left to chance, the inclusion of the </w:t>
      </w:r>
      <w:r w:rsidR="007B7024">
        <w:t>farmworkers, musicians, entertainers and beggars must all have been to his personal taste, just as he had decided exactly how he wanted to appear in his dedication miniature.</w:t>
      </w:r>
      <w:r w:rsidR="007B7024">
        <w:rPr>
          <w:rStyle w:val="FootnoteReference"/>
        </w:rPr>
        <w:footnoteReference w:id="23"/>
      </w:r>
      <w:r w:rsidR="007B7024">
        <w:t xml:space="preserve"> </w:t>
      </w:r>
      <w:r w:rsidR="00E03FFC">
        <w:t xml:space="preserve"> </w:t>
      </w:r>
      <w:r w:rsidR="00100747">
        <w:t xml:space="preserve">The marginal imagery of the peasants and workers complimented the text and so when Sir Geoffrey was reading about the ‘Lord of all Earth’ or ‘Let the fields </w:t>
      </w:r>
      <w:proofErr w:type="spellStart"/>
      <w:r w:rsidR="00100747">
        <w:t>exault</w:t>
      </w:r>
      <w:proofErr w:type="spellEnd"/>
      <w:r w:rsidR="00100747">
        <w:t>’ the margins would be a visual reminder of the wealth</w:t>
      </w:r>
      <w:r w:rsidR="00E03863">
        <w:t xml:space="preserve"> being created on his own land.</w:t>
      </w:r>
      <w:r w:rsidR="00E03863">
        <w:rPr>
          <w:rStyle w:val="FootnoteReference"/>
        </w:rPr>
        <w:footnoteReference w:id="24"/>
      </w:r>
      <w:r w:rsidR="00E03863">
        <w:t xml:space="preserve"> </w:t>
      </w:r>
      <w:r w:rsidR="00E03FFC">
        <w:t xml:space="preserve"> </w:t>
      </w:r>
      <w:r w:rsidR="00E03863">
        <w:t>T</w:t>
      </w:r>
      <w:r w:rsidR="007B7024">
        <w:t xml:space="preserve">he decision to refer to his daughter’s scandal from 1309 must </w:t>
      </w:r>
      <w:r w:rsidR="00E03863">
        <w:t xml:space="preserve">also </w:t>
      </w:r>
      <w:r w:rsidR="007B7024">
        <w:t>have been his choice. An image of a young woman, with her hair unbound, and a jewel box at her side could be Sir Geoffrey’s daughter Elizabeth. She had been abducted by a young man in clerical orders, (a young man with a scruffy tonsure is also shown catching a bird in a net</w:t>
      </w:r>
      <w:r w:rsidR="003C1B34">
        <w:t xml:space="preserve"> on the same page</w:t>
      </w:r>
      <w:r w:rsidR="007B7024">
        <w:t>) and although Elizabeth was later restored to her family and married, clearly this would have been a scandal at the time.  She is pictured in the Psalter with her dress pooling around her like a mermaid’s tale, and since mermaids were the symbol of seduction this image was possibly added as a cautionary warning to younger members of the family who were expected to view the Psalter</w:t>
      </w:r>
      <w:r w:rsidR="00E03FFC">
        <w:t xml:space="preserve"> and learn from it</w:t>
      </w:r>
      <w:r w:rsidR="007B7024">
        <w:t>.</w:t>
      </w:r>
      <w:r w:rsidR="007B7024">
        <w:rPr>
          <w:rStyle w:val="FootnoteReference"/>
        </w:rPr>
        <w:footnoteReference w:id="25"/>
      </w:r>
      <w:r w:rsidR="007B7024">
        <w:t xml:space="preserve"> </w:t>
      </w:r>
    </w:p>
    <w:p w:rsidR="003535DF" w:rsidRDefault="003535DF" w:rsidP="001E44AB">
      <w:pPr>
        <w:spacing w:line="360" w:lineRule="auto"/>
      </w:pPr>
    </w:p>
    <w:p w:rsidR="002C6E77" w:rsidRDefault="00E03863" w:rsidP="001E44AB">
      <w:pPr>
        <w:spacing w:line="360" w:lineRule="auto"/>
      </w:pPr>
      <w:r>
        <w:t>W</w:t>
      </w:r>
      <w:r w:rsidR="00411BF3">
        <w:t xml:space="preserve">e have established that this Psalter was intended to be a status symbol, promoting the Luttrell family and Sir Geoffrey. With the inclusion of so many everyday images, and scenes from life, we could be forgiven for thinking that the Psalter had little value to Sir Geoffrey as a devotional object. </w:t>
      </w:r>
      <w:r w:rsidR="005F5298">
        <w:t>However</w:t>
      </w:r>
      <w:r w:rsidR="00E03FFC">
        <w:t>,</w:t>
      </w:r>
      <w:r w:rsidR="005F5298">
        <w:t xml:space="preserve"> </w:t>
      </w:r>
      <w:r w:rsidR="002C6E77">
        <w:t xml:space="preserve">there are images that suggest </w:t>
      </w:r>
      <w:r w:rsidR="0021339A">
        <w:t xml:space="preserve">he had </w:t>
      </w:r>
      <w:r w:rsidR="00E03FFC">
        <w:t>a concern for redemption for example s</w:t>
      </w:r>
      <w:r w:rsidR="002C6E77">
        <w:t>cenes of the Annunciation, the life of Christ and the Last Judgement.  It is also possible that Sir Geoffrey’s daughter Isabella is the nun pictured receiving absolution from her confessor.</w:t>
      </w:r>
      <w:r w:rsidR="002C6E77">
        <w:rPr>
          <w:rStyle w:val="FootnoteReference"/>
        </w:rPr>
        <w:footnoteReference w:id="26"/>
      </w:r>
      <w:r w:rsidR="00521C5E">
        <w:t xml:space="preserve"> </w:t>
      </w:r>
      <w:r>
        <w:t>O</w:t>
      </w:r>
      <w:r w:rsidR="00946BC2">
        <w:t xml:space="preserve">n their own </w:t>
      </w:r>
      <w:r>
        <w:t xml:space="preserve">however </w:t>
      </w:r>
      <w:r w:rsidR="00E03FFC">
        <w:t xml:space="preserve">they are </w:t>
      </w:r>
      <w:r w:rsidR="00946BC2">
        <w:t xml:space="preserve">not enough to suggest a particularly devout man. </w:t>
      </w:r>
    </w:p>
    <w:p w:rsidR="002C6E77" w:rsidRDefault="002C6E77" w:rsidP="001E44AB">
      <w:pPr>
        <w:spacing w:line="360" w:lineRule="auto"/>
      </w:pPr>
    </w:p>
    <w:p w:rsidR="00257C24" w:rsidRDefault="0021339A" w:rsidP="001E44AB">
      <w:pPr>
        <w:spacing w:line="360" w:lineRule="auto"/>
      </w:pPr>
      <w:r>
        <w:lastRenderedPageBreak/>
        <w:t>We</w:t>
      </w:r>
      <w:r w:rsidR="005F5298">
        <w:t xml:space="preserve"> </w:t>
      </w:r>
      <w:r>
        <w:t xml:space="preserve">must be cautious </w:t>
      </w:r>
      <w:r w:rsidR="005F5298">
        <w:t>when using</w:t>
      </w:r>
      <w:r>
        <w:t xml:space="preserve"> </w:t>
      </w:r>
      <w:r w:rsidR="00E03863">
        <w:t>contemporary primary sources</w:t>
      </w:r>
      <w:r w:rsidR="005F5298">
        <w:t xml:space="preserve"> and we must be careful not to use </w:t>
      </w:r>
      <w:r w:rsidR="00E03863">
        <w:t>a manuscript in insolation</w:t>
      </w:r>
      <w:r w:rsidR="00E03FFC">
        <w:t xml:space="preserve">. </w:t>
      </w:r>
      <w:r w:rsidR="00E03863">
        <w:t xml:space="preserve"> </w:t>
      </w:r>
      <w:r w:rsidR="00E03FFC">
        <w:t>We</w:t>
      </w:r>
      <w:r w:rsidR="00E03863">
        <w:t xml:space="preserve"> s</w:t>
      </w:r>
      <w:r w:rsidR="005F5298">
        <w:t xml:space="preserve">hould look for other evidence before </w:t>
      </w:r>
      <w:r>
        <w:t>making judgements as to the content and meaning</w:t>
      </w:r>
      <w:r w:rsidR="005F5298">
        <w:t xml:space="preserve">. </w:t>
      </w:r>
      <w:r w:rsidR="009550E2">
        <w:t xml:space="preserve">Sir Geoffrey’s </w:t>
      </w:r>
      <w:r w:rsidR="00E03863">
        <w:t xml:space="preserve">last </w:t>
      </w:r>
      <w:r w:rsidR="005302C0">
        <w:t>W</w:t>
      </w:r>
      <w:r w:rsidR="0092466F">
        <w:t xml:space="preserve">ill </w:t>
      </w:r>
      <w:r w:rsidR="005302C0">
        <w:t>and T</w:t>
      </w:r>
      <w:r w:rsidR="00E03863">
        <w:t xml:space="preserve">estament </w:t>
      </w:r>
      <w:r w:rsidR="0092466F">
        <w:t>(which survives and is recorded in Lincoln) was very detailed with lists of bequests to both family, members of his household and his neighbours. Some received not only money</w:t>
      </w:r>
      <w:r w:rsidR="00770D5E">
        <w:t>,</w:t>
      </w:r>
      <w:r w:rsidR="0092466F">
        <w:t xml:space="preserve"> but items linked to their positions so in the example of his cook John of </w:t>
      </w:r>
      <w:proofErr w:type="spellStart"/>
      <w:r w:rsidR="0092466F">
        <w:t>Bridgefood</w:t>
      </w:r>
      <w:proofErr w:type="spellEnd"/>
      <w:r w:rsidR="0092466F">
        <w:t xml:space="preserve">, he inherited items from the kitchen. Despite </w:t>
      </w:r>
      <w:r w:rsidR="00E03FFC">
        <w:t>all the</w:t>
      </w:r>
      <w:r>
        <w:t xml:space="preserve"> </w:t>
      </w:r>
      <w:r w:rsidR="0092466F">
        <w:t>detail</w:t>
      </w:r>
      <w:r w:rsidR="005302C0">
        <w:t xml:space="preserve"> in the W</w:t>
      </w:r>
      <w:r w:rsidR="0092466F">
        <w:t xml:space="preserve">ill the Psalter is not mentioned explicitly, however Sir Geoffrey did leave </w:t>
      </w:r>
      <w:r w:rsidR="000F2AE8">
        <w:t xml:space="preserve">40 shillings to the clerks who were to </w:t>
      </w:r>
      <w:r>
        <w:t xml:space="preserve">recite from the Psalter and it </w:t>
      </w:r>
      <w:r w:rsidR="000F2AE8">
        <w:t xml:space="preserve">may </w:t>
      </w:r>
      <w:r>
        <w:t xml:space="preserve">also </w:t>
      </w:r>
      <w:r w:rsidR="000F2AE8">
        <w:t>have been intended to be used by the twenty chaplains that were to recite masses for his soul.</w:t>
      </w:r>
      <w:r w:rsidR="000F2AE8">
        <w:rPr>
          <w:rStyle w:val="FootnoteReference"/>
        </w:rPr>
        <w:footnoteReference w:id="27"/>
      </w:r>
      <w:r w:rsidR="00770D5E">
        <w:t xml:space="preserve"> It is entirely possible that </w:t>
      </w:r>
      <w:r w:rsidR="005302C0">
        <w:t>the Psalter referred to in the W</w:t>
      </w:r>
      <w:r w:rsidR="00770D5E">
        <w:t xml:space="preserve">ill is what we now refer to as the Luttrell Psalter.  </w:t>
      </w:r>
      <w:r w:rsidR="005302C0">
        <w:t>The</w:t>
      </w:r>
      <w:r w:rsidR="002C6E77">
        <w:t xml:space="preserve"> </w:t>
      </w:r>
      <w:r w:rsidR="005302C0">
        <w:t>W</w:t>
      </w:r>
      <w:r w:rsidR="00770D5E">
        <w:t xml:space="preserve">ill demonstrates </w:t>
      </w:r>
      <w:r w:rsidR="005302C0">
        <w:t xml:space="preserve">Sir Geoffrey’s </w:t>
      </w:r>
      <w:r w:rsidR="002C6E77">
        <w:t>preoccupation with his own soul and salvation and Brown even comments that perhaps his funeral feast</w:t>
      </w:r>
      <w:r w:rsidR="005302C0">
        <w:t xml:space="preserve"> may have been represented</w:t>
      </w:r>
      <w:r w:rsidR="002C6E77">
        <w:t xml:space="preserve"> in the Psalter’s feast scene.</w:t>
      </w:r>
      <w:r w:rsidR="002C6E77">
        <w:rPr>
          <w:rStyle w:val="FootnoteReference"/>
        </w:rPr>
        <w:footnoteReference w:id="28"/>
      </w:r>
    </w:p>
    <w:p w:rsidR="005F5298" w:rsidRDefault="005F5298" w:rsidP="001E44AB">
      <w:pPr>
        <w:spacing w:line="360" w:lineRule="auto"/>
      </w:pPr>
    </w:p>
    <w:p w:rsidR="006C0653" w:rsidRDefault="0011426D" w:rsidP="001E44AB">
      <w:pPr>
        <w:spacing w:line="360" w:lineRule="auto"/>
      </w:pPr>
      <w:r>
        <w:t>This essay has</w:t>
      </w:r>
      <w:r w:rsidR="00567DE1">
        <w:t xml:space="preserve"> focused mainly on the images in the</w:t>
      </w:r>
      <w:r>
        <w:t xml:space="preserve"> Psalter central to its Patron. </w:t>
      </w:r>
      <w:r w:rsidR="00567DE1">
        <w:t>While the scenes of rural and village life were certainly placed deliberately at the request o</w:t>
      </w:r>
      <w:r>
        <w:t xml:space="preserve">f </w:t>
      </w:r>
      <w:r w:rsidR="00DC0BAA">
        <w:t xml:space="preserve">Sir Geoffrey, </w:t>
      </w:r>
      <w:r w:rsidR="00567DE1">
        <w:t xml:space="preserve">the images of Sir Geoffrey </w:t>
      </w:r>
      <w:r w:rsidR="005302C0">
        <w:t xml:space="preserve">are </w:t>
      </w:r>
      <w:r w:rsidR="00567DE1">
        <w:t xml:space="preserve">the ones that provide us with the best insight into </w:t>
      </w:r>
      <w:r w:rsidR="005302C0">
        <w:t xml:space="preserve">the man and </w:t>
      </w:r>
      <w:r w:rsidR="00567DE1">
        <w:t xml:space="preserve">why </w:t>
      </w:r>
      <w:r w:rsidR="00DC0BAA">
        <w:t xml:space="preserve">he may have had the </w:t>
      </w:r>
      <w:r w:rsidR="00567DE1">
        <w:t xml:space="preserve">Psalter </w:t>
      </w:r>
      <w:r w:rsidR="00DC0BAA">
        <w:t>created</w:t>
      </w:r>
      <w:r w:rsidR="005302C0">
        <w:t xml:space="preserve"> and chose to use the variety of images that he did</w:t>
      </w:r>
      <w:r w:rsidR="00DC0BAA">
        <w:t xml:space="preserve">.  </w:t>
      </w:r>
      <w:r w:rsidR="00776EAC">
        <w:t xml:space="preserve">The images </w:t>
      </w:r>
      <w:r w:rsidR="005302C0">
        <w:t xml:space="preserve">span the social scale and Sir Geoffrey clearly </w:t>
      </w:r>
      <w:r w:rsidR="00DC0BAA">
        <w:t>had a pre-occupation with his family and ensuring it</w:t>
      </w:r>
      <w:r w:rsidR="00FE11A1">
        <w:t xml:space="preserve">s status and legitimacy and </w:t>
      </w:r>
      <w:r w:rsidR="005302C0">
        <w:t xml:space="preserve">he </w:t>
      </w:r>
      <w:r w:rsidR="00FE11A1">
        <w:t>was in a position to fund a lavish and large illuminated manuscript</w:t>
      </w:r>
      <w:r w:rsidR="005302C0">
        <w:t>,</w:t>
      </w:r>
      <w:r w:rsidR="00776EAC">
        <w:t xml:space="preserve"> the function of which was to promote his family.</w:t>
      </w:r>
      <w:r w:rsidR="00FE11A1">
        <w:t xml:space="preserve"> </w:t>
      </w:r>
      <w:r w:rsidR="00DC0BAA">
        <w:t xml:space="preserve"> </w:t>
      </w:r>
      <w:r w:rsidR="00776EAC">
        <w:t xml:space="preserve">It is clear that as </w:t>
      </w:r>
      <w:r w:rsidR="006C0653">
        <w:t xml:space="preserve">Backhouse </w:t>
      </w:r>
      <w:r w:rsidR="00776EAC">
        <w:t xml:space="preserve">says in summing </w:t>
      </w:r>
      <w:r w:rsidR="006C0653">
        <w:t xml:space="preserve">up </w:t>
      </w:r>
      <w:r w:rsidR="00776EAC">
        <w:t xml:space="preserve">in </w:t>
      </w:r>
      <w:r w:rsidR="006C0653">
        <w:t xml:space="preserve">her commentary on the Luttrell Psalter “if Sir Geoffrey’s purpose in commission his grand Psalter was to provide a permanent memorial to the status enjoyed by his family in his lifetime he succeeded beyond his wildest dreams. The manuscript has outlived his own branch of the family…and become familiar to </w:t>
      </w:r>
      <w:proofErr w:type="gramStart"/>
      <w:r w:rsidR="006C0653">
        <w:t>thousands..</w:t>
      </w:r>
      <w:proofErr w:type="gramEnd"/>
      <w:r w:rsidR="006C0653">
        <w:t>”</w:t>
      </w:r>
      <w:r w:rsidR="006C0653">
        <w:rPr>
          <w:rStyle w:val="FootnoteReference"/>
        </w:rPr>
        <w:footnoteReference w:id="29"/>
      </w:r>
      <w:r w:rsidR="006869A1">
        <w:t xml:space="preserve"> </w:t>
      </w:r>
    </w:p>
    <w:p w:rsidR="00075AE9" w:rsidRDefault="00FE1A06" w:rsidP="001E44AB">
      <w:pPr>
        <w:spacing w:line="360" w:lineRule="auto"/>
      </w:pPr>
      <w:r>
        <w:t xml:space="preserve"> </w:t>
      </w:r>
    </w:p>
    <w:p w:rsidR="001E44AB" w:rsidRDefault="001E44AB">
      <w:r>
        <w:br w:type="page"/>
      </w:r>
    </w:p>
    <w:p w:rsidR="00F46CF4" w:rsidRDefault="00F46CF4" w:rsidP="001E44AB">
      <w:pPr>
        <w:spacing w:line="360" w:lineRule="auto"/>
      </w:pPr>
    </w:p>
    <w:p w:rsidR="001E44AB" w:rsidRPr="001E44AB" w:rsidRDefault="001E44AB" w:rsidP="001E44AB">
      <w:pPr>
        <w:rPr>
          <w:u w:val="single"/>
        </w:rPr>
      </w:pPr>
      <w:r w:rsidRPr="001E44AB">
        <w:rPr>
          <w:u w:val="single"/>
        </w:rPr>
        <w:t>Bibliography</w:t>
      </w:r>
    </w:p>
    <w:p w:rsidR="001E44AB" w:rsidRPr="00AD5A8A" w:rsidRDefault="001E44AB" w:rsidP="001E44AB"/>
    <w:p w:rsidR="001E44AB" w:rsidRPr="00AD5A8A" w:rsidRDefault="001E44AB" w:rsidP="001E44AB">
      <w:r w:rsidRPr="00AD5A8A">
        <w:t xml:space="preserve">Backhouse, J., </w:t>
      </w:r>
      <w:r w:rsidRPr="00AD5A8A">
        <w:rPr>
          <w:i/>
        </w:rPr>
        <w:t>Medieval Rural Life in the Luttrell Psalter</w:t>
      </w:r>
      <w:r w:rsidRPr="00AD5A8A">
        <w:t>, (London: The British Library, 2000).</w:t>
      </w:r>
    </w:p>
    <w:p w:rsidR="001E44AB" w:rsidRPr="00AD5A8A" w:rsidRDefault="001E44AB" w:rsidP="001E44AB"/>
    <w:p w:rsidR="001E44AB" w:rsidRPr="00AD5A8A" w:rsidRDefault="001E44AB" w:rsidP="001E44AB">
      <w:r w:rsidRPr="00AD5A8A">
        <w:t xml:space="preserve">Backhouse, J., </w:t>
      </w:r>
      <w:r w:rsidRPr="00AD5A8A">
        <w:rPr>
          <w:i/>
        </w:rPr>
        <w:t>The Luttrell Psalter</w:t>
      </w:r>
      <w:r w:rsidRPr="00AD5A8A">
        <w:t>, (London: The British Library, 1989).</w:t>
      </w:r>
    </w:p>
    <w:p w:rsidR="001E44AB" w:rsidRPr="00AD5A8A" w:rsidRDefault="001E44AB" w:rsidP="001E44AB"/>
    <w:p w:rsidR="001E44AB" w:rsidRPr="00AD5A8A" w:rsidRDefault="001E44AB" w:rsidP="001E44AB">
      <w:r w:rsidRPr="00AD5A8A">
        <w:t xml:space="preserve">Backhouse, J., ‘Devotions &amp; Delights, The illuminated books of Gothic England’, </w:t>
      </w:r>
      <w:r w:rsidRPr="00AD5A8A">
        <w:rPr>
          <w:i/>
        </w:rPr>
        <w:t>History Today</w:t>
      </w:r>
      <w:r w:rsidRPr="00AD5A8A">
        <w:t xml:space="preserve">, Vol 37 (1987), pp. 25-31. </w:t>
      </w:r>
    </w:p>
    <w:p w:rsidR="001E44AB" w:rsidRPr="00AD5A8A" w:rsidRDefault="001E44AB" w:rsidP="001E44AB"/>
    <w:p w:rsidR="001E44AB" w:rsidRPr="00AD5A8A" w:rsidRDefault="001E44AB" w:rsidP="001E44AB">
      <w:r w:rsidRPr="00AD5A8A">
        <w:t xml:space="preserve">Brown, M.P., </w:t>
      </w:r>
      <w:r w:rsidRPr="00AD5A8A">
        <w:rPr>
          <w:i/>
        </w:rPr>
        <w:t>The World of the Luttrell Psalter</w:t>
      </w:r>
      <w:r w:rsidRPr="00AD5A8A">
        <w:t>, (London: The British Library, 2006).</w:t>
      </w:r>
    </w:p>
    <w:p w:rsidR="001E44AB" w:rsidRPr="00AD5A8A" w:rsidRDefault="001E44AB" w:rsidP="001E44AB"/>
    <w:p w:rsidR="001E44AB" w:rsidRPr="00AD5A8A" w:rsidRDefault="001E44AB" w:rsidP="001E44AB">
      <w:r w:rsidRPr="00AD5A8A">
        <w:t xml:space="preserve">Camille, M., </w:t>
      </w:r>
      <w:r w:rsidRPr="00AD5A8A">
        <w:rPr>
          <w:i/>
        </w:rPr>
        <w:t>Images on the Edge. The Margins of Medieval Art</w:t>
      </w:r>
      <w:r w:rsidRPr="00AD5A8A">
        <w:t xml:space="preserve">, (London: </w:t>
      </w:r>
      <w:proofErr w:type="spellStart"/>
      <w:r w:rsidRPr="00AD5A8A">
        <w:t>Reaktion</w:t>
      </w:r>
      <w:proofErr w:type="spellEnd"/>
      <w:r w:rsidRPr="00AD5A8A">
        <w:t xml:space="preserve"> Books Ltd, 1992).</w:t>
      </w:r>
    </w:p>
    <w:p w:rsidR="001E44AB" w:rsidRPr="00AD5A8A" w:rsidRDefault="001E44AB" w:rsidP="001E44AB"/>
    <w:p w:rsidR="001E44AB" w:rsidRPr="00AD5A8A" w:rsidRDefault="001E44AB" w:rsidP="001E44AB">
      <w:r w:rsidRPr="00AD5A8A">
        <w:t xml:space="preserve">Camille, M., ‘Labouring for the Lord: The ploughman and the social order in the Luttrell Psalter’, </w:t>
      </w:r>
      <w:r w:rsidRPr="00AD5A8A">
        <w:rPr>
          <w:i/>
        </w:rPr>
        <w:t>Art History</w:t>
      </w:r>
      <w:r w:rsidRPr="00AD5A8A">
        <w:t>, Vol 10 No. 4 (1987), pp. 423-454.</w:t>
      </w:r>
    </w:p>
    <w:p w:rsidR="001E44AB" w:rsidRPr="00AD5A8A" w:rsidRDefault="001E44AB" w:rsidP="001E44AB"/>
    <w:p w:rsidR="001E44AB" w:rsidRPr="00AD5A8A" w:rsidRDefault="001E44AB" w:rsidP="001E44AB">
      <w:r w:rsidRPr="00AD5A8A">
        <w:t xml:space="preserve">Camille, M., </w:t>
      </w:r>
      <w:r w:rsidRPr="00AD5A8A">
        <w:rPr>
          <w:i/>
        </w:rPr>
        <w:t>Mirror in Parchment. The Luttrell Psalter and the Making of Medieval England</w:t>
      </w:r>
      <w:r w:rsidRPr="00AD5A8A">
        <w:t xml:space="preserve">, (London: </w:t>
      </w:r>
      <w:proofErr w:type="spellStart"/>
      <w:r w:rsidRPr="00AD5A8A">
        <w:t>Reaktion</w:t>
      </w:r>
      <w:proofErr w:type="spellEnd"/>
      <w:r w:rsidRPr="00AD5A8A">
        <w:t xml:space="preserve"> Books Ltd, 1998).</w:t>
      </w:r>
    </w:p>
    <w:p w:rsidR="001E44AB" w:rsidRPr="00AD5A8A" w:rsidRDefault="001E44AB" w:rsidP="001E44AB"/>
    <w:p w:rsidR="001E44AB" w:rsidRPr="00AD5A8A" w:rsidRDefault="001E44AB" w:rsidP="001E44AB">
      <w:r w:rsidRPr="00AD5A8A">
        <w:t xml:space="preserve">Caruthers, M., </w:t>
      </w:r>
      <w:r w:rsidRPr="00AD5A8A">
        <w:rPr>
          <w:i/>
        </w:rPr>
        <w:t>The Book of Memory. A Study of Memory in Medieval Culture</w:t>
      </w:r>
      <w:r w:rsidRPr="00AD5A8A">
        <w:t>, (Cambridge: Cambridge University Press, 2012).</w:t>
      </w:r>
    </w:p>
    <w:p w:rsidR="001E44AB" w:rsidRPr="00AD5A8A" w:rsidRDefault="001E44AB" w:rsidP="001E44AB"/>
    <w:p w:rsidR="001E44AB" w:rsidRPr="00AD5A8A" w:rsidRDefault="001E44AB" w:rsidP="001E44AB">
      <w:r w:rsidRPr="00AD5A8A">
        <w:t xml:space="preserve">Dyer, C., </w:t>
      </w:r>
      <w:r w:rsidRPr="00AD5A8A">
        <w:rPr>
          <w:i/>
        </w:rPr>
        <w:t>Everyday Life in Medieval England</w:t>
      </w:r>
      <w:r w:rsidRPr="00AD5A8A">
        <w:t xml:space="preserve">, (London: </w:t>
      </w:r>
      <w:proofErr w:type="spellStart"/>
      <w:r w:rsidRPr="00AD5A8A">
        <w:t>Hambledon</w:t>
      </w:r>
      <w:proofErr w:type="spellEnd"/>
      <w:r w:rsidRPr="00AD5A8A">
        <w:t xml:space="preserve"> &amp; London, 2000).</w:t>
      </w:r>
    </w:p>
    <w:p w:rsidR="001E44AB" w:rsidRPr="00AD5A8A" w:rsidRDefault="001E44AB" w:rsidP="001E44AB"/>
    <w:p w:rsidR="001E44AB" w:rsidRPr="00AD5A8A" w:rsidRDefault="001E44AB" w:rsidP="001E44AB">
      <w:r w:rsidRPr="00AD5A8A">
        <w:t xml:space="preserve">Freeman Sandler, L., ‘The Word in the text and the image in the Margin: The Case of the Luttrell Psalter’, </w:t>
      </w:r>
      <w:r w:rsidRPr="00AD5A8A">
        <w:rPr>
          <w:i/>
        </w:rPr>
        <w:t>The Journal of the Walters Art Gallery</w:t>
      </w:r>
      <w:r w:rsidRPr="00AD5A8A">
        <w:t xml:space="preserve">, Vol. 54, Essays in </w:t>
      </w:r>
      <w:proofErr w:type="spellStart"/>
      <w:r w:rsidRPr="00AD5A8A">
        <w:t>Honor</w:t>
      </w:r>
      <w:proofErr w:type="spellEnd"/>
      <w:r w:rsidRPr="00AD5A8A">
        <w:t xml:space="preserve"> of Lilian M. C. Randall (1996), pp. 87-99.</w:t>
      </w:r>
    </w:p>
    <w:p w:rsidR="001E44AB" w:rsidRPr="00AD5A8A" w:rsidRDefault="001E44AB" w:rsidP="001E44AB"/>
    <w:p w:rsidR="001E44AB" w:rsidRPr="00AD5A8A" w:rsidRDefault="001E44AB" w:rsidP="001E44AB">
      <w:r w:rsidRPr="00AD5A8A">
        <w:t xml:space="preserve">Smith, K.A., ‘A viewing community in Fourteenth-century England’ </w:t>
      </w:r>
      <w:r w:rsidRPr="00AD5A8A">
        <w:rPr>
          <w:i/>
        </w:rPr>
        <w:t>The Social Life of illumination. Manuscripts, Images and Communities in the late middle ages</w:t>
      </w:r>
      <w:r w:rsidRPr="00AD5A8A">
        <w:t xml:space="preserve">, Coleman, J., Cruse, M., and Smith, K.A. </w:t>
      </w:r>
      <w:proofErr w:type="spellStart"/>
      <w:r w:rsidRPr="00AD5A8A">
        <w:t>ed</w:t>
      </w:r>
      <w:proofErr w:type="spellEnd"/>
      <w:r w:rsidRPr="00AD5A8A">
        <w:t xml:space="preserve">, (Belgium: </w:t>
      </w:r>
      <w:proofErr w:type="spellStart"/>
      <w:r w:rsidRPr="00AD5A8A">
        <w:t>Brepols</w:t>
      </w:r>
      <w:proofErr w:type="spellEnd"/>
      <w:r w:rsidRPr="00AD5A8A">
        <w:t xml:space="preserve"> Publishers, 2013), pp. 121-176.</w:t>
      </w:r>
    </w:p>
    <w:p w:rsidR="001E44AB" w:rsidRPr="00AD5A8A" w:rsidRDefault="001E44AB" w:rsidP="001E44AB"/>
    <w:p w:rsidR="001E44AB" w:rsidRPr="00AD5A8A" w:rsidRDefault="001E44AB" w:rsidP="001E44AB"/>
    <w:p w:rsidR="001E44AB" w:rsidRDefault="001E44AB" w:rsidP="001E44AB">
      <w:pPr>
        <w:spacing w:line="360" w:lineRule="auto"/>
      </w:pPr>
    </w:p>
    <w:sectPr w:rsidR="001E44AB" w:rsidSect="0001683F">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22E3" w:rsidRDefault="003422E3" w:rsidP="00780DAE">
      <w:r>
        <w:separator/>
      </w:r>
    </w:p>
  </w:endnote>
  <w:endnote w:type="continuationSeparator" w:id="0">
    <w:p w:rsidR="003422E3" w:rsidRDefault="003422E3" w:rsidP="00780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22E3" w:rsidRDefault="003422E3" w:rsidP="00780DAE">
      <w:r>
        <w:separator/>
      </w:r>
    </w:p>
  </w:footnote>
  <w:footnote w:type="continuationSeparator" w:id="0">
    <w:p w:rsidR="003422E3" w:rsidRDefault="003422E3" w:rsidP="00780DAE">
      <w:r>
        <w:continuationSeparator/>
      </w:r>
    </w:p>
  </w:footnote>
  <w:footnote w:id="1">
    <w:p w:rsidR="00901F30" w:rsidRPr="00173516" w:rsidRDefault="00901F30" w:rsidP="00DA6D03">
      <w:pPr>
        <w:rPr>
          <w:sz w:val="20"/>
          <w:szCs w:val="20"/>
        </w:rPr>
      </w:pPr>
      <w:r w:rsidRPr="00173516">
        <w:rPr>
          <w:rStyle w:val="FootnoteReference"/>
          <w:sz w:val="20"/>
          <w:szCs w:val="20"/>
        </w:rPr>
        <w:footnoteRef/>
      </w:r>
      <w:r w:rsidRPr="00173516">
        <w:rPr>
          <w:sz w:val="20"/>
          <w:szCs w:val="20"/>
        </w:rPr>
        <w:t xml:space="preserve"> </w:t>
      </w:r>
      <w:r w:rsidR="00A85007" w:rsidRPr="00173516">
        <w:rPr>
          <w:sz w:val="20"/>
          <w:szCs w:val="20"/>
        </w:rPr>
        <w:t>M</w:t>
      </w:r>
      <w:r w:rsidR="00DA6D03" w:rsidRPr="00173516">
        <w:rPr>
          <w:sz w:val="20"/>
          <w:szCs w:val="20"/>
        </w:rPr>
        <w:t>. Camille</w:t>
      </w:r>
      <w:r w:rsidR="00A85007" w:rsidRPr="00173516">
        <w:rPr>
          <w:sz w:val="20"/>
          <w:szCs w:val="20"/>
        </w:rPr>
        <w:t xml:space="preserve">, </w:t>
      </w:r>
      <w:r w:rsidR="00A85007" w:rsidRPr="00173516">
        <w:rPr>
          <w:i/>
          <w:sz w:val="20"/>
          <w:szCs w:val="20"/>
        </w:rPr>
        <w:t>Mirror in Parchment. The Luttrell Psalter and the Making of Medieval England</w:t>
      </w:r>
      <w:r w:rsidR="00DA6D03" w:rsidRPr="00173516">
        <w:rPr>
          <w:sz w:val="20"/>
          <w:szCs w:val="20"/>
        </w:rPr>
        <w:t xml:space="preserve"> </w:t>
      </w:r>
      <w:r w:rsidR="00A85007" w:rsidRPr="00173516">
        <w:rPr>
          <w:sz w:val="20"/>
          <w:szCs w:val="20"/>
        </w:rPr>
        <w:t xml:space="preserve">(London: </w:t>
      </w:r>
      <w:proofErr w:type="spellStart"/>
      <w:r w:rsidR="00A85007" w:rsidRPr="00173516">
        <w:rPr>
          <w:sz w:val="20"/>
          <w:szCs w:val="20"/>
        </w:rPr>
        <w:t>Reaktion</w:t>
      </w:r>
      <w:proofErr w:type="spellEnd"/>
      <w:r w:rsidR="00A85007" w:rsidRPr="00173516">
        <w:rPr>
          <w:sz w:val="20"/>
          <w:szCs w:val="20"/>
        </w:rPr>
        <w:t xml:space="preserve"> Books Ltd, 1998).</w:t>
      </w:r>
      <w:r w:rsidR="00DA6D03" w:rsidRPr="00173516">
        <w:rPr>
          <w:sz w:val="20"/>
          <w:szCs w:val="20"/>
        </w:rPr>
        <w:t xml:space="preserve"> </w:t>
      </w:r>
      <w:r w:rsidR="00A70222" w:rsidRPr="00173516">
        <w:rPr>
          <w:sz w:val="20"/>
          <w:szCs w:val="20"/>
        </w:rPr>
        <w:t>p. 25</w:t>
      </w:r>
      <w:r w:rsidR="006804CB">
        <w:rPr>
          <w:sz w:val="20"/>
          <w:szCs w:val="20"/>
        </w:rPr>
        <w:t>.</w:t>
      </w:r>
    </w:p>
  </w:footnote>
  <w:footnote w:id="2">
    <w:p w:rsidR="00B74A5D" w:rsidRDefault="00B74A5D">
      <w:pPr>
        <w:pStyle w:val="FootnoteText"/>
      </w:pPr>
      <w:r>
        <w:rPr>
          <w:rStyle w:val="FootnoteReference"/>
        </w:rPr>
        <w:footnoteRef/>
      </w:r>
      <w:r>
        <w:t xml:space="preserve"> </w:t>
      </w:r>
      <w:r w:rsidR="007B76D0">
        <w:t>Ibid.,</w:t>
      </w:r>
      <w:r w:rsidR="00DA6D03">
        <w:t xml:space="preserve"> </w:t>
      </w:r>
      <w:r>
        <w:t>p. 16</w:t>
      </w:r>
      <w:r w:rsidR="006804CB">
        <w:t>.</w:t>
      </w:r>
    </w:p>
  </w:footnote>
  <w:footnote w:id="3">
    <w:p w:rsidR="00166139" w:rsidRPr="00173516" w:rsidRDefault="00166139" w:rsidP="007B76D0">
      <w:pPr>
        <w:rPr>
          <w:sz w:val="20"/>
          <w:szCs w:val="20"/>
        </w:rPr>
      </w:pPr>
      <w:r w:rsidRPr="00173516">
        <w:rPr>
          <w:rStyle w:val="FootnoteReference"/>
          <w:sz w:val="20"/>
          <w:szCs w:val="20"/>
        </w:rPr>
        <w:footnoteRef/>
      </w:r>
      <w:r w:rsidRPr="00173516">
        <w:rPr>
          <w:sz w:val="20"/>
          <w:szCs w:val="20"/>
        </w:rPr>
        <w:t xml:space="preserve"> </w:t>
      </w:r>
      <w:r w:rsidR="007B76D0" w:rsidRPr="00173516">
        <w:rPr>
          <w:sz w:val="20"/>
          <w:szCs w:val="20"/>
        </w:rPr>
        <w:t xml:space="preserve">M.P. Brown, </w:t>
      </w:r>
      <w:r w:rsidR="007B76D0" w:rsidRPr="00173516">
        <w:rPr>
          <w:i/>
          <w:sz w:val="20"/>
          <w:szCs w:val="20"/>
        </w:rPr>
        <w:t>The World of the Luttrell Psalter</w:t>
      </w:r>
      <w:r w:rsidR="007B76D0" w:rsidRPr="00173516">
        <w:rPr>
          <w:sz w:val="20"/>
          <w:szCs w:val="20"/>
        </w:rPr>
        <w:t xml:space="preserve"> (London: The British Library, 2006). </w:t>
      </w:r>
      <w:r w:rsidRPr="00173516">
        <w:rPr>
          <w:sz w:val="20"/>
          <w:szCs w:val="20"/>
        </w:rPr>
        <w:t>p. 33</w:t>
      </w:r>
      <w:r w:rsidR="006804CB">
        <w:rPr>
          <w:sz w:val="20"/>
          <w:szCs w:val="20"/>
        </w:rPr>
        <w:t>.</w:t>
      </w:r>
    </w:p>
  </w:footnote>
  <w:footnote w:id="4">
    <w:p w:rsidR="00D319EE" w:rsidRPr="00173516" w:rsidRDefault="00D319EE" w:rsidP="00173516">
      <w:pPr>
        <w:rPr>
          <w:sz w:val="20"/>
          <w:szCs w:val="20"/>
        </w:rPr>
      </w:pPr>
      <w:r w:rsidRPr="00173516">
        <w:rPr>
          <w:rStyle w:val="FootnoteReference"/>
          <w:sz w:val="20"/>
          <w:szCs w:val="20"/>
        </w:rPr>
        <w:footnoteRef/>
      </w:r>
      <w:r w:rsidRPr="00173516">
        <w:rPr>
          <w:sz w:val="20"/>
          <w:szCs w:val="20"/>
        </w:rPr>
        <w:t xml:space="preserve"> </w:t>
      </w:r>
      <w:r w:rsidR="00173516">
        <w:rPr>
          <w:sz w:val="20"/>
          <w:szCs w:val="20"/>
        </w:rPr>
        <w:t xml:space="preserve">J. </w:t>
      </w:r>
      <w:r w:rsidR="00173516" w:rsidRPr="00173516">
        <w:rPr>
          <w:sz w:val="20"/>
          <w:szCs w:val="20"/>
        </w:rPr>
        <w:t>Backhouse</w:t>
      </w:r>
      <w:r w:rsidR="00173516">
        <w:rPr>
          <w:sz w:val="20"/>
          <w:szCs w:val="20"/>
        </w:rPr>
        <w:t xml:space="preserve">, </w:t>
      </w:r>
      <w:r w:rsidR="00173516" w:rsidRPr="00173516">
        <w:rPr>
          <w:i/>
          <w:sz w:val="20"/>
          <w:szCs w:val="20"/>
        </w:rPr>
        <w:t>The Luttrell Psalter</w:t>
      </w:r>
      <w:r w:rsidR="00173516" w:rsidRPr="00173516">
        <w:rPr>
          <w:sz w:val="20"/>
          <w:szCs w:val="20"/>
        </w:rPr>
        <w:t xml:space="preserve"> (London: The British Library, 1989).</w:t>
      </w:r>
      <w:r w:rsidRPr="00173516">
        <w:rPr>
          <w:sz w:val="20"/>
          <w:szCs w:val="20"/>
        </w:rPr>
        <w:t xml:space="preserve"> p. 5</w:t>
      </w:r>
      <w:r w:rsidR="006804CB">
        <w:rPr>
          <w:sz w:val="20"/>
          <w:szCs w:val="20"/>
        </w:rPr>
        <w:t>.</w:t>
      </w:r>
    </w:p>
  </w:footnote>
  <w:footnote w:id="5">
    <w:p w:rsidR="00A7464B" w:rsidRDefault="00A7464B">
      <w:pPr>
        <w:pStyle w:val="FootnoteText"/>
      </w:pPr>
      <w:r>
        <w:rPr>
          <w:rStyle w:val="FootnoteReference"/>
        </w:rPr>
        <w:footnoteRef/>
      </w:r>
      <w:r>
        <w:t xml:space="preserve"> </w:t>
      </w:r>
      <w:r w:rsidR="00173516">
        <w:t>Ibid.</w:t>
      </w:r>
      <w:r>
        <w:t>, p. 5</w:t>
      </w:r>
      <w:r w:rsidR="006804CB">
        <w:t>.</w:t>
      </w:r>
    </w:p>
  </w:footnote>
  <w:footnote w:id="6">
    <w:p w:rsidR="009A7981" w:rsidRDefault="009A7981">
      <w:pPr>
        <w:pStyle w:val="FootnoteText"/>
      </w:pPr>
      <w:r>
        <w:rPr>
          <w:rStyle w:val="FootnoteReference"/>
        </w:rPr>
        <w:footnoteRef/>
      </w:r>
      <w:r>
        <w:t xml:space="preserve"> </w:t>
      </w:r>
      <w:r w:rsidR="00173516">
        <w:t>Ibid.,</w:t>
      </w:r>
      <w:r>
        <w:t xml:space="preserve"> p</w:t>
      </w:r>
      <w:r w:rsidR="00201919">
        <w:t>.</w:t>
      </w:r>
      <w:r>
        <w:t xml:space="preserve"> 57</w:t>
      </w:r>
      <w:r w:rsidR="006804CB">
        <w:t>.</w:t>
      </w:r>
    </w:p>
  </w:footnote>
  <w:footnote w:id="7">
    <w:p w:rsidR="00201919" w:rsidRDefault="00201919">
      <w:pPr>
        <w:pStyle w:val="FootnoteText"/>
      </w:pPr>
      <w:r>
        <w:rPr>
          <w:rStyle w:val="FootnoteReference"/>
        </w:rPr>
        <w:footnoteRef/>
      </w:r>
      <w:r>
        <w:t xml:space="preserve"> </w:t>
      </w:r>
      <w:r w:rsidR="00173516">
        <w:t>Ibid.,</w:t>
      </w:r>
      <w:r>
        <w:t xml:space="preserve"> p. 57</w:t>
      </w:r>
      <w:r w:rsidR="006804CB">
        <w:t>.</w:t>
      </w:r>
    </w:p>
  </w:footnote>
  <w:footnote w:id="8">
    <w:p w:rsidR="00F70656" w:rsidRDefault="00F70656">
      <w:pPr>
        <w:pStyle w:val="FootnoteText"/>
      </w:pPr>
      <w:r>
        <w:rPr>
          <w:rStyle w:val="FootnoteReference"/>
        </w:rPr>
        <w:footnoteRef/>
      </w:r>
      <w:r>
        <w:t xml:space="preserve"> Brown, </w:t>
      </w:r>
      <w:r w:rsidRPr="00173516">
        <w:rPr>
          <w:i/>
        </w:rPr>
        <w:t>The Wo</w:t>
      </w:r>
      <w:r w:rsidR="00D8756A" w:rsidRPr="00173516">
        <w:rPr>
          <w:i/>
        </w:rPr>
        <w:t>r</w:t>
      </w:r>
      <w:r w:rsidRPr="00173516">
        <w:rPr>
          <w:i/>
        </w:rPr>
        <w:t>ld of the Luttrell Psalter</w:t>
      </w:r>
      <w:r w:rsidR="00173516">
        <w:rPr>
          <w:i/>
        </w:rPr>
        <w:t>,</w:t>
      </w:r>
      <w:r>
        <w:t xml:space="preserve"> p. 37</w:t>
      </w:r>
      <w:r w:rsidR="006804CB">
        <w:t>.</w:t>
      </w:r>
    </w:p>
  </w:footnote>
  <w:footnote w:id="9">
    <w:p w:rsidR="008143AF" w:rsidRPr="00173516" w:rsidRDefault="008143AF" w:rsidP="00173516">
      <w:pPr>
        <w:rPr>
          <w:sz w:val="20"/>
          <w:szCs w:val="20"/>
        </w:rPr>
      </w:pPr>
      <w:r>
        <w:rPr>
          <w:rStyle w:val="FootnoteReference"/>
        </w:rPr>
        <w:footnoteRef/>
      </w:r>
      <w:r>
        <w:t xml:space="preserve"> </w:t>
      </w:r>
      <w:r w:rsidR="00173516" w:rsidRPr="00173516">
        <w:rPr>
          <w:sz w:val="20"/>
          <w:szCs w:val="20"/>
        </w:rPr>
        <w:t xml:space="preserve">J. Backhouse, ‘Devotions &amp; Delights, The illuminated books of Gothic England’, </w:t>
      </w:r>
      <w:r w:rsidR="00173516" w:rsidRPr="00173516">
        <w:rPr>
          <w:i/>
          <w:sz w:val="20"/>
          <w:szCs w:val="20"/>
        </w:rPr>
        <w:t>History Today</w:t>
      </w:r>
      <w:r w:rsidR="00173516" w:rsidRPr="00173516">
        <w:rPr>
          <w:sz w:val="20"/>
          <w:szCs w:val="20"/>
        </w:rPr>
        <w:t xml:space="preserve">, Vol 37 (1987), </w:t>
      </w:r>
      <w:r w:rsidR="00173516">
        <w:rPr>
          <w:sz w:val="20"/>
          <w:szCs w:val="20"/>
        </w:rPr>
        <w:t>25-31,</w:t>
      </w:r>
      <w:r w:rsidR="000A3734" w:rsidRPr="00173516">
        <w:rPr>
          <w:sz w:val="20"/>
          <w:szCs w:val="20"/>
        </w:rPr>
        <w:t xml:space="preserve"> p. 26</w:t>
      </w:r>
      <w:r w:rsidR="006804CB">
        <w:rPr>
          <w:sz w:val="20"/>
          <w:szCs w:val="20"/>
        </w:rPr>
        <w:t>.</w:t>
      </w:r>
    </w:p>
  </w:footnote>
  <w:footnote w:id="10">
    <w:p w:rsidR="00BE3D37" w:rsidRPr="002E39A4" w:rsidRDefault="00BE3D37" w:rsidP="002E39A4">
      <w:pPr>
        <w:rPr>
          <w:sz w:val="20"/>
          <w:szCs w:val="20"/>
        </w:rPr>
      </w:pPr>
      <w:r>
        <w:rPr>
          <w:rStyle w:val="FootnoteReference"/>
        </w:rPr>
        <w:footnoteRef/>
      </w:r>
      <w:r>
        <w:t xml:space="preserve"> </w:t>
      </w:r>
      <w:r w:rsidR="002E39A4">
        <w:rPr>
          <w:sz w:val="20"/>
          <w:szCs w:val="20"/>
        </w:rPr>
        <w:t>K.A. Smith</w:t>
      </w:r>
      <w:r w:rsidR="002E39A4" w:rsidRPr="00270F58">
        <w:rPr>
          <w:sz w:val="20"/>
          <w:szCs w:val="20"/>
        </w:rPr>
        <w:t xml:space="preserve">, ‘A viewing community in Fourteenth-century England’ </w:t>
      </w:r>
      <w:r w:rsidR="002E39A4" w:rsidRPr="00270F58">
        <w:rPr>
          <w:i/>
          <w:sz w:val="20"/>
          <w:szCs w:val="20"/>
        </w:rPr>
        <w:t>The Social Life of illumination. Manuscripts, Images and Communities in the late middle ages</w:t>
      </w:r>
      <w:r w:rsidR="002E39A4" w:rsidRPr="00270F58">
        <w:rPr>
          <w:sz w:val="20"/>
          <w:szCs w:val="20"/>
        </w:rPr>
        <w:t xml:space="preserve">, Coleman, J., Cruse, M., and Smith, K.A. </w:t>
      </w:r>
      <w:proofErr w:type="spellStart"/>
      <w:r w:rsidR="002E39A4" w:rsidRPr="00270F58">
        <w:rPr>
          <w:sz w:val="20"/>
          <w:szCs w:val="20"/>
        </w:rPr>
        <w:t>ed</w:t>
      </w:r>
      <w:proofErr w:type="spellEnd"/>
      <w:r w:rsidR="002E39A4" w:rsidRPr="00270F58">
        <w:rPr>
          <w:sz w:val="20"/>
          <w:szCs w:val="20"/>
        </w:rPr>
        <w:t xml:space="preserve">, (Belgium: </w:t>
      </w:r>
      <w:proofErr w:type="spellStart"/>
      <w:r w:rsidR="002E39A4" w:rsidRPr="00270F58">
        <w:rPr>
          <w:sz w:val="20"/>
          <w:szCs w:val="20"/>
        </w:rPr>
        <w:t>Brepols</w:t>
      </w:r>
      <w:proofErr w:type="spellEnd"/>
      <w:r w:rsidR="002E39A4" w:rsidRPr="00270F58">
        <w:rPr>
          <w:sz w:val="20"/>
          <w:szCs w:val="20"/>
        </w:rPr>
        <w:t xml:space="preserve"> Publishers, 2013), </w:t>
      </w:r>
      <w:r w:rsidR="00026257">
        <w:rPr>
          <w:sz w:val="20"/>
          <w:szCs w:val="20"/>
        </w:rPr>
        <w:t>121-176,</w:t>
      </w:r>
      <w:r w:rsidR="002E39A4">
        <w:rPr>
          <w:sz w:val="20"/>
          <w:szCs w:val="20"/>
        </w:rPr>
        <w:t xml:space="preserve"> </w:t>
      </w:r>
      <w:r w:rsidRPr="002E39A4">
        <w:rPr>
          <w:sz w:val="20"/>
          <w:szCs w:val="20"/>
        </w:rPr>
        <w:t>p. 123</w:t>
      </w:r>
      <w:r w:rsidR="006804CB">
        <w:rPr>
          <w:sz w:val="20"/>
          <w:szCs w:val="20"/>
        </w:rPr>
        <w:t>.</w:t>
      </w:r>
    </w:p>
  </w:footnote>
  <w:footnote w:id="11">
    <w:p w:rsidR="00BF2809" w:rsidRDefault="00BF2809">
      <w:pPr>
        <w:pStyle w:val="FootnoteText"/>
      </w:pPr>
      <w:r>
        <w:rPr>
          <w:rStyle w:val="FootnoteReference"/>
        </w:rPr>
        <w:footnoteRef/>
      </w:r>
      <w:r>
        <w:t xml:space="preserve"> </w:t>
      </w:r>
      <w:r w:rsidR="00026257">
        <w:t>M. Camille</w:t>
      </w:r>
      <w:r w:rsidR="00026257" w:rsidRPr="00270F58">
        <w:t xml:space="preserve">, ‘Labouring for the Lord: The ploughman and the social order in the Luttrell Psalter’, </w:t>
      </w:r>
      <w:r w:rsidR="00026257" w:rsidRPr="00270F58">
        <w:rPr>
          <w:i/>
        </w:rPr>
        <w:t>Art History</w:t>
      </w:r>
      <w:r w:rsidR="00026257" w:rsidRPr="00270F58">
        <w:t>, Vol 10 No. 4 (1987), 423-454</w:t>
      </w:r>
      <w:r w:rsidR="00026257">
        <w:t xml:space="preserve">, </w:t>
      </w:r>
      <w:r>
        <w:t>p. 440</w:t>
      </w:r>
      <w:r w:rsidR="006804CB">
        <w:t>.</w:t>
      </w:r>
    </w:p>
  </w:footnote>
  <w:footnote w:id="12">
    <w:p w:rsidR="00D70749" w:rsidRDefault="00D70749">
      <w:pPr>
        <w:pStyle w:val="FootnoteText"/>
      </w:pPr>
      <w:r>
        <w:rPr>
          <w:rStyle w:val="FootnoteReference"/>
        </w:rPr>
        <w:footnoteRef/>
      </w:r>
      <w:r>
        <w:t xml:space="preserve"> </w:t>
      </w:r>
      <w:r w:rsidR="00026257">
        <w:t>Ibid.</w:t>
      </w:r>
      <w:r>
        <w:t>, p. 441</w:t>
      </w:r>
      <w:r w:rsidR="006804CB">
        <w:t>.</w:t>
      </w:r>
    </w:p>
  </w:footnote>
  <w:footnote w:id="13">
    <w:p w:rsidR="00EA5C28" w:rsidRDefault="00EA5C28">
      <w:pPr>
        <w:pStyle w:val="FootnoteText"/>
      </w:pPr>
      <w:r>
        <w:rPr>
          <w:rStyle w:val="FootnoteReference"/>
        </w:rPr>
        <w:footnoteRef/>
      </w:r>
      <w:r>
        <w:t xml:space="preserve"> </w:t>
      </w:r>
      <w:r w:rsidR="00026257">
        <w:t>Ibid.</w:t>
      </w:r>
      <w:r>
        <w:t>, p. 441</w:t>
      </w:r>
      <w:r w:rsidR="006804CB">
        <w:t>.</w:t>
      </w:r>
    </w:p>
  </w:footnote>
  <w:footnote w:id="14">
    <w:p w:rsidR="00D8756A" w:rsidRDefault="00D8756A">
      <w:pPr>
        <w:pStyle w:val="FootnoteText"/>
      </w:pPr>
      <w:r>
        <w:rPr>
          <w:rStyle w:val="FootnoteReference"/>
        </w:rPr>
        <w:footnoteRef/>
      </w:r>
      <w:r>
        <w:t xml:space="preserve"> </w:t>
      </w:r>
      <w:r w:rsidR="00026257">
        <w:t>Ibid.</w:t>
      </w:r>
      <w:r>
        <w:t xml:space="preserve">, p. 440 and Brown, </w:t>
      </w:r>
      <w:r w:rsidRPr="00026257">
        <w:rPr>
          <w:i/>
        </w:rPr>
        <w:t>The World of the Luttrell Psalter</w:t>
      </w:r>
      <w:r>
        <w:t>, p. 44</w:t>
      </w:r>
      <w:r w:rsidR="006804CB">
        <w:t>.</w:t>
      </w:r>
    </w:p>
  </w:footnote>
  <w:footnote w:id="15">
    <w:p w:rsidR="00D8756A" w:rsidRDefault="00D8756A">
      <w:pPr>
        <w:pStyle w:val="FootnoteText"/>
      </w:pPr>
      <w:r>
        <w:rPr>
          <w:rStyle w:val="FootnoteReference"/>
        </w:rPr>
        <w:footnoteRef/>
      </w:r>
      <w:r>
        <w:t xml:space="preserve"> Brown, </w:t>
      </w:r>
      <w:r w:rsidRPr="00026257">
        <w:rPr>
          <w:i/>
        </w:rPr>
        <w:t>The World of the Luttrell Psalter</w:t>
      </w:r>
      <w:r>
        <w:t>, p. 44</w:t>
      </w:r>
      <w:r w:rsidR="006804CB">
        <w:t>.</w:t>
      </w:r>
    </w:p>
  </w:footnote>
  <w:footnote w:id="16">
    <w:p w:rsidR="00E16331" w:rsidRDefault="00E16331">
      <w:pPr>
        <w:pStyle w:val="FootnoteText"/>
      </w:pPr>
      <w:r>
        <w:rPr>
          <w:rStyle w:val="FootnoteReference"/>
        </w:rPr>
        <w:footnoteRef/>
      </w:r>
      <w:r>
        <w:t xml:space="preserve"> Camille, </w:t>
      </w:r>
      <w:r w:rsidRPr="00026257">
        <w:rPr>
          <w:i/>
        </w:rPr>
        <w:t>Labouring for the Lord</w:t>
      </w:r>
      <w:r>
        <w:t>, p. 440</w:t>
      </w:r>
      <w:r w:rsidR="006804CB">
        <w:t>.</w:t>
      </w:r>
    </w:p>
  </w:footnote>
  <w:footnote w:id="17">
    <w:p w:rsidR="00332247" w:rsidRPr="00026257" w:rsidRDefault="00332247" w:rsidP="00026257">
      <w:pPr>
        <w:rPr>
          <w:sz w:val="20"/>
          <w:szCs w:val="20"/>
        </w:rPr>
      </w:pPr>
      <w:r>
        <w:rPr>
          <w:rStyle w:val="FootnoteReference"/>
        </w:rPr>
        <w:footnoteRef/>
      </w:r>
      <w:r>
        <w:t xml:space="preserve"> </w:t>
      </w:r>
      <w:r w:rsidR="00026257">
        <w:rPr>
          <w:sz w:val="20"/>
          <w:szCs w:val="20"/>
        </w:rPr>
        <w:t>M. Caruthers,</w:t>
      </w:r>
      <w:r w:rsidR="00026257" w:rsidRPr="00270F58">
        <w:rPr>
          <w:sz w:val="20"/>
          <w:szCs w:val="20"/>
        </w:rPr>
        <w:t xml:space="preserve"> </w:t>
      </w:r>
      <w:r w:rsidR="00026257" w:rsidRPr="00270F58">
        <w:rPr>
          <w:i/>
          <w:sz w:val="20"/>
          <w:szCs w:val="20"/>
        </w:rPr>
        <w:t>The Book of Memory. A Study of Memory in Medieval Culture</w:t>
      </w:r>
      <w:r w:rsidR="00026257">
        <w:rPr>
          <w:sz w:val="20"/>
          <w:szCs w:val="20"/>
        </w:rPr>
        <w:t xml:space="preserve"> </w:t>
      </w:r>
      <w:r w:rsidR="00026257" w:rsidRPr="00270F58">
        <w:rPr>
          <w:sz w:val="20"/>
          <w:szCs w:val="20"/>
        </w:rPr>
        <w:t>(Cambridge: Cambridge University Press, 2012).</w:t>
      </w:r>
      <w:r w:rsidR="00026257">
        <w:rPr>
          <w:sz w:val="20"/>
          <w:szCs w:val="20"/>
        </w:rPr>
        <w:t xml:space="preserve"> p. 276</w:t>
      </w:r>
      <w:r w:rsidR="006804CB">
        <w:rPr>
          <w:sz w:val="20"/>
          <w:szCs w:val="20"/>
        </w:rPr>
        <w:t>.</w:t>
      </w:r>
    </w:p>
  </w:footnote>
  <w:footnote w:id="18">
    <w:p w:rsidR="002C1360" w:rsidRDefault="002C1360">
      <w:pPr>
        <w:pStyle w:val="FootnoteText"/>
      </w:pPr>
      <w:r>
        <w:rPr>
          <w:rStyle w:val="FootnoteReference"/>
        </w:rPr>
        <w:footnoteRef/>
      </w:r>
      <w:r>
        <w:t xml:space="preserve"> </w:t>
      </w:r>
      <w:r w:rsidR="00026257">
        <w:t>Ibid.,</w:t>
      </w:r>
      <w:r>
        <w:t xml:space="preserve"> p. 278</w:t>
      </w:r>
      <w:r w:rsidR="006804CB">
        <w:t>.</w:t>
      </w:r>
    </w:p>
  </w:footnote>
  <w:footnote w:id="19">
    <w:p w:rsidR="00F62A0B" w:rsidRPr="00026257" w:rsidRDefault="00F62A0B" w:rsidP="00026257">
      <w:pPr>
        <w:rPr>
          <w:sz w:val="20"/>
          <w:szCs w:val="20"/>
        </w:rPr>
      </w:pPr>
      <w:r>
        <w:rPr>
          <w:rStyle w:val="FootnoteReference"/>
        </w:rPr>
        <w:footnoteRef/>
      </w:r>
      <w:r>
        <w:t xml:space="preserve"> </w:t>
      </w:r>
      <w:r w:rsidR="00026257">
        <w:rPr>
          <w:sz w:val="20"/>
          <w:szCs w:val="20"/>
        </w:rPr>
        <w:t>L. Freeman Sandler,</w:t>
      </w:r>
      <w:r w:rsidR="00026257" w:rsidRPr="00270F58">
        <w:rPr>
          <w:sz w:val="20"/>
          <w:szCs w:val="20"/>
        </w:rPr>
        <w:t xml:space="preserve"> ‘The Word in the text and the image in the Margin: The Case of the Luttrell Psalter’, </w:t>
      </w:r>
      <w:r w:rsidR="00026257" w:rsidRPr="00270F58">
        <w:rPr>
          <w:i/>
          <w:sz w:val="20"/>
          <w:szCs w:val="20"/>
        </w:rPr>
        <w:t>The Journal of the Walters Art Gallery</w:t>
      </w:r>
      <w:r w:rsidR="00026257" w:rsidRPr="00270F58">
        <w:rPr>
          <w:sz w:val="20"/>
          <w:szCs w:val="20"/>
        </w:rPr>
        <w:t xml:space="preserve">, Vol. 54, Essays in </w:t>
      </w:r>
      <w:proofErr w:type="spellStart"/>
      <w:r w:rsidR="00026257" w:rsidRPr="00270F58">
        <w:rPr>
          <w:sz w:val="20"/>
          <w:szCs w:val="20"/>
        </w:rPr>
        <w:t>Honor</w:t>
      </w:r>
      <w:proofErr w:type="spellEnd"/>
      <w:r w:rsidR="00026257" w:rsidRPr="00270F58">
        <w:rPr>
          <w:sz w:val="20"/>
          <w:szCs w:val="20"/>
        </w:rPr>
        <w:t xml:space="preserve"> of </w:t>
      </w:r>
      <w:r w:rsidR="00026257">
        <w:rPr>
          <w:sz w:val="20"/>
          <w:szCs w:val="20"/>
        </w:rPr>
        <w:t>Lilian M. C. Randall (1996), 87-99, p. 97</w:t>
      </w:r>
      <w:r w:rsidR="006804CB">
        <w:rPr>
          <w:sz w:val="20"/>
          <w:szCs w:val="20"/>
        </w:rPr>
        <w:t>.</w:t>
      </w:r>
    </w:p>
  </w:footnote>
  <w:footnote w:id="20">
    <w:p w:rsidR="00A53A81" w:rsidRPr="006804CB" w:rsidRDefault="00A53A81" w:rsidP="006804CB">
      <w:pPr>
        <w:rPr>
          <w:sz w:val="20"/>
          <w:szCs w:val="20"/>
        </w:rPr>
      </w:pPr>
      <w:r>
        <w:rPr>
          <w:rStyle w:val="FootnoteReference"/>
        </w:rPr>
        <w:footnoteRef/>
      </w:r>
      <w:r>
        <w:t xml:space="preserve"> </w:t>
      </w:r>
      <w:r w:rsidR="00026257">
        <w:rPr>
          <w:sz w:val="20"/>
          <w:szCs w:val="20"/>
        </w:rPr>
        <w:t>C. Dyer,</w:t>
      </w:r>
      <w:r w:rsidR="00026257" w:rsidRPr="00270F58">
        <w:rPr>
          <w:sz w:val="20"/>
          <w:szCs w:val="20"/>
        </w:rPr>
        <w:t xml:space="preserve"> </w:t>
      </w:r>
      <w:r w:rsidR="00026257" w:rsidRPr="00270F58">
        <w:rPr>
          <w:i/>
          <w:sz w:val="20"/>
          <w:szCs w:val="20"/>
        </w:rPr>
        <w:t xml:space="preserve">Everyday Life in Medieval </w:t>
      </w:r>
      <w:proofErr w:type="gramStart"/>
      <w:r w:rsidR="00026257" w:rsidRPr="00270F58">
        <w:rPr>
          <w:i/>
          <w:sz w:val="20"/>
          <w:szCs w:val="20"/>
        </w:rPr>
        <w:t>England</w:t>
      </w:r>
      <w:r w:rsidR="006804CB">
        <w:rPr>
          <w:sz w:val="20"/>
          <w:szCs w:val="20"/>
        </w:rPr>
        <w:t>,</w:t>
      </w:r>
      <w:r w:rsidR="00026257" w:rsidRPr="00270F58">
        <w:rPr>
          <w:sz w:val="20"/>
          <w:szCs w:val="20"/>
        </w:rPr>
        <w:t>(</w:t>
      </w:r>
      <w:proofErr w:type="gramEnd"/>
      <w:r w:rsidR="00026257" w:rsidRPr="00270F58">
        <w:rPr>
          <w:sz w:val="20"/>
          <w:szCs w:val="20"/>
        </w:rPr>
        <w:t>Lo</w:t>
      </w:r>
      <w:r w:rsidR="00026257">
        <w:rPr>
          <w:sz w:val="20"/>
          <w:szCs w:val="20"/>
        </w:rPr>
        <w:t xml:space="preserve">ndon: </w:t>
      </w:r>
      <w:proofErr w:type="spellStart"/>
      <w:r w:rsidR="00026257">
        <w:rPr>
          <w:sz w:val="20"/>
          <w:szCs w:val="20"/>
        </w:rPr>
        <w:t>Hambledon</w:t>
      </w:r>
      <w:proofErr w:type="spellEnd"/>
      <w:r w:rsidR="00026257">
        <w:rPr>
          <w:sz w:val="20"/>
          <w:szCs w:val="20"/>
        </w:rPr>
        <w:t xml:space="preserve"> &amp; London, 2000), </w:t>
      </w:r>
      <w:r w:rsidR="006804CB">
        <w:rPr>
          <w:sz w:val="20"/>
          <w:szCs w:val="20"/>
        </w:rPr>
        <w:t>p. 78.</w:t>
      </w:r>
    </w:p>
  </w:footnote>
  <w:footnote w:id="21">
    <w:p w:rsidR="00605FB2" w:rsidRPr="006804CB" w:rsidRDefault="00605FB2" w:rsidP="006804CB">
      <w:pPr>
        <w:rPr>
          <w:sz w:val="20"/>
          <w:szCs w:val="20"/>
        </w:rPr>
      </w:pPr>
      <w:r>
        <w:rPr>
          <w:rStyle w:val="FootnoteReference"/>
        </w:rPr>
        <w:footnoteRef/>
      </w:r>
      <w:r>
        <w:t xml:space="preserve"> </w:t>
      </w:r>
      <w:r w:rsidR="006804CB">
        <w:rPr>
          <w:sz w:val="20"/>
          <w:szCs w:val="20"/>
        </w:rPr>
        <w:t>J. B</w:t>
      </w:r>
      <w:r w:rsidR="006804CB" w:rsidRPr="00270F58">
        <w:rPr>
          <w:sz w:val="20"/>
          <w:szCs w:val="20"/>
        </w:rPr>
        <w:t xml:space="preserve">ackhouse, </w:t>
      </w:r>
      <w:r w:rsidR="006804CB" w:rsidRPr="00270F58">
        <w:rPr>
          <w:i/>
          <w:sz w:val="20"/>
          <w:szCs w:val="20"/>
        </w:rPr>
        <w:t>Medieval Rural Life in the Luttrell Psalter</w:t>
      </w:r>
      <w:r w:rsidR="006804CB" w:rsidRPr="00270F58">
        <w:rPr>
          <w:sz w:val="20"/>
          <w:szCs w:val="20"/>
        </w:rPr>
        <w:t xml:space="preserve"> (Lon</w:t>
      </w:r>
      <w:r w:rsidR="006804CB">
        <w:rPr>
          <w:sz w:val="20"/>
          <w:szCs w:val="20"/>
        </w:rPr>
        <w:t>don: The British Library, 2000). p. 5.</w:t>
      </w:r>
    </w:p>
  </w:footnote>
  <w:footnote w:id="22">
    <w:p w:rsidR="007B7024" w:rsidRDefault="007B7024" w:rsidP="007B7024">
      <w:pPr>
        <w:pStyle w:val="FootnoteText"/>
      </w:pPr>
      <w:r>
        <w:rPr>
          <w:rStyle w:val="FootnoteReference"/>
        </w:rPr>
        <w:footnoteRef/>
      </w:r>
      <w:r>
        <w:t xml:space="preserve"> Backhouse, </w:t>
      </w:r>
      <w:r w:rsidRPr="006804CB">
        <w:rPr>
          <w:i/>
        </w:rPr>
        <w:t>The Luttrell Psalter</w:t>
      </w:r>
      <w:r>
        <w:t>, p.52</w:t>
      </w:r>
      <w:r w:rsidR="006804CB">
        <w:t>.</w:t>
      </w:r>
    </w:p>
  </w:footnote>
  <w:footnote w:id="23">
    <w:p w:rsidR="007B7024" w:rsidRDefault="007B7024" w:rsidP="007B7024">
      <w:pPr>
        <w:pStyle w:val="FootnoteText"/>
      </w:pPr>
      <w:r>
        <w:rPr>
          <w:rStyle w:val="FootnoteReference"/>
        </w:rPr>
        <w:footnoteRef/>
      </w:r>
      <w:r>
        <w:t xml:space="preserve"> </w:t>
      </w:r>
      <w:proofErr w:type="gramStart"/>
      <w:r w:rsidR="006804CB">
        <w:t>Ibid.,</w:t>
      </w:r>
      <w:r>
        <w:t>,</w:t>
      </w:r>
      <w:proofErr w:type="gramEnd"/>
      <w:r>
        <w:t xml:space="preserve"> p. 50</w:t>
      </w:r>
      <w:r w:rsidR="006804CB">
        <w:t>.</w:t>
      </w:r>
    </w:p>
  </w:footnote>
  <w:footnote w:id="24">
    <w:p w:rsidR="00E03863" w:rsidRPr="006804CB" w:rsidRDefault="00E03863" w:rsidP="006804CB">
      <w:pPr>
        <w:rPr>
          <w:sz w:val="20"/>
          <w:szCs w:val="20"/>
        </w:rPr>
      </w:pPr>
      <w:r>
        <w:rPr>
          <w:rStyle w:val="FootnoteReference"/>
        </w:rPr>
        <w:footnoteRef/>
      </w:r>
      <w:r>
        <w:t xml:space="preserve"> </w:t>
      </w:r>
      <w:r w:rsidR="006804CB">
        <w:rPr>
          <w:sz w:val="20"/>
          <w:szCs w:val="20"/>
        </w:rPr>
        <w:t>M. C</w:t>
      </w:r>
      <w:r w:rsidR="006804CB" w:rsidRPr="00270F58">
        <w:rPr>
          <w:sz w:val="20"/>
          <w:szCs w:val="20"/>
        </w:rPr>
        <w:t>amille,</w:t>
      </w:r>
      <w:r w:rsidR="006804CB">
        <w:rPr>
          <w:sz w:val="20"/>
          <w:szCs w:val="20"/>
        </w:rPr>
        <w:t xml:space="preserve"> </w:t>
      </w:r>
      <w:r w:rsidR="006804CB" w:rsidRPr="00270F58">
        <w:rPr>
          <w:i/>
          <w:sz w:val="20"/>
          <w:szCs w:val="20"/>
        </w:rPr>
        <w:t>Images on the Edge. The Margins of Medieval Art</w:t>
      </w:r>
      <w:r w:rsidR="006804CB">
        <w:rPr>
          <w:sz w:val="20"/>
          <w:szCs w:val="20"/>
        </w:rPr>
        <w:t xml:space="preserve"> </w:t>
      </w:r>
      <w:r w:rsidR="006804CB" w:rsidRPr="00270F58">
        <w:rPr>
          <w:sz w:val="20"/>
          <w:szCs w:val="20"/>
        </w:rPr>
        <w:t>(Lo</w:t>
      </w:r>
      <w:r w:rsidR="006804CB">
        <w:rPr>
          <w:sz w:val="20"/>
          <w:szCs w:val="20"/>
        </w:rPr>
        <w:t xml:space="preserve">ndon: </w:t>
      </w:r>
      <w:proofErr w:type="spellStart"/>
      <w:r w:rsidR="006804CB">
        <w:rPr>
          <w:sz w:val="20"/>
          <w:szCs w:val="20"/>
        </w:rPr>
        <w:t>Reaktion</w:t>
      </w:r>
      <w:proofErr w:type="spellEnd"/>
      <w:r w:rsidR="006804CB">
        <w:rPr>
          <w:sz w:val="20"/>
          <w:szCs w:val="20"/>
        </w:rPr>
        <w:t xml:space="preserve"> Books Ltd, 1992). p. 118.</w:t>
      </w:r>
    </w:p>
  </w:footnote>
  <w:footnote w:id="25">
    <w:p w:rsidR="007B7024" w:rsidRDefault="007B7024" w:rsidP="007B7024">
      <w:pPr>
        <w:pStyle w:val="FootnoteText"/>
      </w:pPr>
      <w:r>
        <w:rPr>
          <w:rStyle w:val="FootnoteReference"/>
        </w:rPr>
        <w:footnoteRef/>
      </w:r>
      <w:r>
        <w:t xml:space="preserve"> Brown, </w:t>
      </w:r>
      <w:r w:rsidRPr="00BE4DFD">
        <w:rPr>
          <w:i/>
        </w:rPr>
        <w:t>The world of the Luttrell Psalter</w:t>
      </w:r>
      <w:r>
        <w:t>, p. 46</w:t>
      </w:r>
      <w:r w:rsidR="00BE4DFD">
        <w:t>.</w:t>
      </w:r>
    </w:p>
  </w:footnote>
  <w:footnote w:id="26">
    <w:p w:rsidR="002C6E77" w:rsidRDefault="002C6E77">
      <w:pPr>
        <w:pStyle w:val="FootnoteText"/>
      </w:pPr>
      <w:r>
        <w:rPr>
          <w:rStyle w:val="FootnoteReference"/>
        </w:rPr>
        <w:footnoteRef/>
      </w:r>
      <w:r>
        <w:t xml:space="preserve"> </w:t>
      </w:r>
      <w:r w:rsidR="00BE4DFD">
        <w:t>Ibid.,</w:t>
      </w:r>
      <w:r>
        <w:t xml:space="preserve"> p. 12-13</w:t>
      </w:r>
      <w:r w:rsidR="00BE4DFD">
        <w:t>.</w:t>
      </w:r>
    </w:p>
  </w:footnote>
  <w:footnote w:id="27">
    <w:p w:rsidR="000F2AE8" w:rsidRDefault="000F2AE8">
      <w:pPr>
        <w:pStyle w:val="FootnoteText"/>
      </w:pPr>
      <w:r>
        <w:rPr>
          <w:rStyle w:val="FootnoteReference"/>
        </w:rPr>
        <w:footnoteRef/>
      </w:r>
      <w:r>
        <w:t xml:space="preserve"> </w:t>
      </w:r>
      <w:r w:rsidR="00BE4DFD">
        <w:t>Ibid.,</w:t>
      </w:r>
      <w:r>
        <w:t xml:space="preserve"> p. 24</w:t>
      </w:r>
      <w:r w:rsidR="00BE4DFD">
        <w:t>.</w:t>
      </w:r>
    </w:p>
  </w:footnote>
  <w:footnote w:id="28">
    <w:p w:rsidR="002C6E77" w:rsidRDefault="002C6E77">
      <w:pPr>
        <w:pStyle w:val="FootnoteText"/>
      </w:pPr>
      <w:r>
        <w:rPr>
          <w:rStyle w:val="FootnoteReference"/>
        </w:rPr>
        <w:footnoteRef/>
      </w:r>
      <w:r>
        <w:t xml:space="preserve"> </w:t>
      </w:r>
      <w:r w:rsidR="00BE4DFD">
        <w:t xml:space="preserve">Ibid., </w:t>
      </w:r>
      <w:r>
        <w:t>p. 24</w:t>
      </w:r>
      <w:r w:rsidR="00BE4DFD">
        <w:t>.</w:t>
      </w:r>
    </w:p>
  </w:footnote>
  <w:footnote w:id="29">
    <w:p w:rsidR="006C0653" w:rsidRDefault="006C0653">
      <w:pPr>
        <w:pStyle w:val="FootnoteText"/>
      </w:pPr>
      <w:r>
        <w:rPr>
          <w:rStyle w:val="FootnoteReference"/>
        </w:rPr>
        <w:footnoteRef/>
      </w:r>
      <w:r>
        <w:t xml:space="preserve"> Backhouse, </w:t>
      </w:r>
      <w:r w:rsidRPr="00BE4DFD">
        <w:rPr>
          <w:i/>
        </w:rPr>
        <w:t>The Luttrell Psalter</w:t>
      </w:r>
      <w:r w:rsidR="00BE4DFD">
        <w:t xml:space="preserve">, </w:t>
      </w:r>
      <w:r>
        <w:t>p. 61</w:t>
      </w:r>
      <w:r w:rsidR="00BE4DF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DAE" w:rsidRDefault="00780DAE">
    <w:pPr>
      <w:pStyle w:val="Header"/>
    </w:pPr>
    <w:r>
      <w:t>Karen Hunt</w:t>
    </w:r>
    <w:r>
      <w:ptab w:relativeTo="margin" w:alignment="center" w:leader="none"/>
    </w:r>
    <w:r w:rsidR="00172D5F">
      <w:t>AHHI</w:t>
    </w:r>
    <w:r w:rsidR="007E7B91">
      <w:t>7016</w:t>
    </w:r>
    <w:r>
      <w:ptab w:relativeTo="margin" w:alignment="right" w:leader="none"/>
    </w:r>
    <w:r w:rsidR="007E7B91">
      <w:t>Assignment 2</w:t>
    </w:r>
  </w:p>
  <w:p w:rsidR="00780DAE" w:rsidRDefault="00172D5F">
    <w:pPr>
      <w:pStyle w:val="Header"/>
    </w:pPr>
    <w:r>
      <w:t>1703957</w:t>
    </w:r>
    <w:r>
      <w:tab/>
    </w:r>
    <w:r w:rsidR="007E7B91">
      <w:t>Studying the Medieval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B91"/>
    <w:rsid w:val="0001683F"/>
    <w:rsid w:val="00026257"/>
    <w:rsid w:val="00075AE9"/>
    <w:rsid w:val="000A3734"/>
    <w:rsid w:val="000B2E5E"/>
    <w:rsid w:val="000C6567"/>
    <w:rsid w:val="000F2AE8"/>
    <w:rsid w:val="00100747"/>
    <w:rsid w:val="0011426D"/>
    <w:rsid w:val="00126EA1"/>
    <w:rsid w:val="00141519"/>
    <w:rsid w:val="001579B0"/>
    <w:rsid w:val="00160C19"/>
    <w:rsid w:val="00165DAE"/>
    <w:rsid w:val="00166139"/>
    <w:rsid w:val="00172D5F"/>
    <w:rsid w:val="00173516"/>
    <w:rsid w:val="001E44AB"/>
    <w:rsid w:val="001F1143"/>
    <w:rsid w:val="001F2586"/>
    <w:rsid w:val="001F4FBD"/>
    <w:rsid w:val="00201919"/>
    <w:rsid w:val="00210927"/>
    <w:rsid w:val="0021339A"/>
    <w:rsid w:val="00250B88"/>
    <w:rsid w:val="00257C24"/>
    <w:rsid w:val="00294805"/>
    <w:rsid w:val="002A3BE8"/>
    <w:rsid w:val="002C1360"/>
    <w:rsid w:val="002C6E77"/>
    <w:rsid w:val="002E39A4"/>
    <w:rsid w:val="002E7ADA"/>
    <w:rsid w:val="0032412A"/>
    <w:rsid w:val="00332247"/>
    <w:rsid w:val="003422E3"/>
    <w:rsid w:val="003535DF"/>
    <w:rsid w:val="00387AAB"/>
    <w:rsid w:val="003B258F"/>
    <w:rsid w:val="003C132A"/>
    <w:rsid w:val="003C1B34"/>
    <w:rsid w:val="003C3234"/>
    <w:rsid w:val="00400717"/>
    <w:rsid w:val="00411BF3"/>
    <w:rsid w:val="00417EF9"/>
    <w:rsid w:val="0042280F"/>
    <w:rsid w:val="00465D35"/>
    <w:rsid w:val="004723DB"/>
    <w:rsid w:val="00484A64"/>
    <w:rsid w:val="004B3C87"/>
    <w:rsid w:val="004B54B2"/>
    <w:rsid w:val="004F5470"/>
    <w:rsid w:val="00511B1C"/>
    <w:rsid w:val="00521C5E"/>
    <w:rsid w:val="005302C0"/>
    <w:rsid w:val="00532689"/>
    <w:rsid w:val="00560ED6"/>
    <w:rsid w:val="0056249A"/>
    <w:rsid w:val="00567DE1"/>
    <w:rsid w:val="005C03B4"/>
    <w:rsid w:val="005D3A9D"/>
    <w:rsid w:val="005F5298"/>
    <w:rsid w:val="00605FB2"/>
    <w:rsid w:val="00634F1D"/>
    <w:rsid w:val="00640AD8"/>
    <w:rsid w:val="006804CB"/>
    <w:rsid w:val="006869A1"/>
    <w:rsid w:val="006B20A0"/>
    <w:rsid w:val="006C0653"/>
    <w:rsid w:val="006C667C"/>
    <w:rsid w:val="006D4F6A"/>
    <w:rsid w:val="006D786B"/>
    <w:rsid w:val="00704398"/>
    <w:rsid w:val="007279B6"/>
    <w:rsid w:val="00730A7E"/>
    <w:rsid w:val="0073149D"/>
    <w:rsid w:val="00770D5E"/>
    <w:rsid w:val="00776EAC"/>
    <w:rsid w:val="00780DAE"/>
    <w:rsid w:val="007A759D"/>
    <w:rsid w:val="007B4C7D"/>
    <w:rsid w:val="007B7024"/>
    <w:rsid w:val="007B76D0"/>
    <w:rsid w:val="007C2FCD"/>
    <w:rsid w:val="007D1661"/>
    <w:rsid w:val="007E7B91"/>
    <w:rsid w:val="008143AF"/>
    <w:rsid w:val="0083465D"/>
    <w:rsid w:val="0086698E"/>
    <w:rsid w:val="00893137"/>
    <w:rsid w:val="008B77DD"/>
    <w:rsid w:val="008C487B"/>
    <w:rsid w:val="00901F30"/>
    <w:rsid w:val="0092466F"/>
    <w:rsid w:val="00946BC2"/>
    <w:rsid w:val="009550E2"/>
    <w:rsid w:val="00955335"/>
    <w:rsid w:val="00972650"/>
    <w:rsid w:val="00974605"/>
    <w:rsid w:val="009839F9"/>
    <w:rsid w:val="009A401D"/>
    <w:rsid w:val="009A7981"/>
    <w:rsid w:val="009C145A"/>
    <w:rsid w:val="009D5BAC"/>
    <w:rsid w:val="00A04114"/>
    <w:rsid w:val="00A05324"/>
    <w:rsid w:val="00A178E9"/>
    <w:rsid w:val="00A275B6"/>
    <w:rsid w:val="00A53A81"/>
    <w:rsid w:val="00A70222"/>
    <w:rsid w:val="00A71DC4"/>
    <w:rsid w:val="00A7464B"/>
    <w:rsid w:val="00A85007"/>
    <w:rsid w:val="00AD2CE8"/>
    <w:rsid w:val="00B661DF"/>
    <w:rsid w:val="00B74A5D"/>
    <w:rsid w:val="00B870C9"/>
    <w:rsid w:val="00BC6BBD"/>
    <w:rsid w:val="00BC7ED1"/>
    <w:rsid w:val="00BE3D37"/>
    <w:rsid w:val="00BE4DFD"/>
    <w:rsid w:val="00BF2809"/>
    <w:rsid w:val="00C376A8"/>
    <w:rsid w:val="00C4469E"/>
    <w:rsid w:val="00C9186C"/>
    <w:rsid w:val="00CE168D"/>
    <w:rsid w:val="00CF49BB"/>
    <w:rsid w:val="00D30FB9"/>
    <w:rsid w:val="00D319EE"/>
    <w:rsid w:val="00D34552"/>
    <w:rsid w:val="00D37BA1"/>
    <w:rsid w:val="00D70749"/>
    <w:rsid w:val="00D70DB5"/>
    <w:rsid w:val="00D8756A"/>
    <w:rsid w:val="00DA6D03"/>
    <w:rsid w:val="00DC0BAA"/>
    <w:rsid w:val="00DC1A39"/>
    <w:rsid w:val="00E0229F"/>
    <w:rsid w:val="00E03863"/>
    <w:rsid w:val="00E03FFC"/>
    <w:rsid w:val="00E150BD"/>
    <w:rsid w:val="00E16331"/>
    <w:rsid w:val="00E3736E"/>
    <w:rsid w:val="00E40461"/>
    <w:rsid w:val="00E70D3C"/>
    <w:rsid w:val="00E85B36"/>
    <w:rsid w:val="00E93B2E"/>
    <w:rsid w:val="00E96E80"/>
    <w:rsid w:val="00EA5C28"/>
    <w:rsid w:val="00EF3D96"/>
    <w:rsid w:val="00F46CF4"/>
    <w:rsid w:val="00F531E4"/>
    <w:rsid w:val="00F62A0B"/>
    <w:rsid w:val="00F67D73"/>
    <w:rsid w:val="00F70656"/>
    <w:rsid w:val="00F766BC"/>
    <w:rsid w:val="00FB2197"/>
    <w:rsid w:val="00FB478D"/>
    <w:rsid w:val="00FE11A1"/>
    <w:rsid w:val="00FE1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C5B79"/>
  <w14:defaultImageDpi w14:val="32767"/>
  <w15:chartTrackingRefBased/>
  <w15:docId w15:val="{ECD0E83C-BD56-1F49-AE9D-B14AC8453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link w:val="Heading3Char"/>
    <w:qFormat/>
    <w:rsid w:val="00417EF9"/>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0DAE"/>
    <w:pPr>
      <w:tabs>
        <w:tab w:val="center" w:pos="4513"/>
        <w:tab w:val="right" w:pos="9026"/>
      </w:tabs>
    </w:pPr>
  </w:style>
  <w:style w:type="character" w:customStyle="1" w:styleId="HeaderChar">
    <w:name w:val="Header Char"/>
    <w:basedOn w:val="DefaultParagraphFont"/>
    <w:link w:val="Header"/>
    <w:uiPriority w:val="99"/>
    <w:rsid w:val="00780DAE"/>
  </w:style>
  <w:style w:type="paragraph" w:styleId="Footer">
    <w:name w:val="footer"/>
    <w:basedOn w:val="Normal"/>
    <w:link w:val="FooterChar"/>
    <w:uiPriority w:val="99"/>
    <w:unhideWhenUsed/>
    <w:rsid w:val="00780DAE"/>
    <w:pPr>
      <w:tabs>
        <w:tab w:val="center" w:pos="4513"/>
        <w:tab w:val="right" w:pos="9026"/>
      </w:tabs>
    </w:pPr>
  </w:style>
  <w:style w:type="character" w:customStyle="1" w:styleId="FooterChar">
    <w:name w:val="Footer Char"/>
    <w:basedOn w:val="DefaultParagraphFont"/>
    <w:link w:val="Footer"/>
    <w:uiPriority w:val="99"/>
    <w:rsid w:val="00780DAE"/>
  </w:style>
  <w:style w:type="paragraph" w:styleId="FootnoteText">
    <w:name w:val="footnote text"/>
    <w:basedOn w:val="Normal"/>
    <w:link w:val="FootnoteTextChar"/>
    <w:uiPriority w:val="99"/>
    <w:semiHidden/>
    <w:unhideWhenUsed/>
    <w:rsid w:val="00901F30"/>
    <w:rPr>
      <w:sz w:val="20"/>
      <w:szCs w:val="20"/>
    </w:rPr>
  </w:style>
  <w:style w:type="character" w:customStyle="1" w:styleId="FootnoteTextChar">
    <w:name w:val="Footnote Text Char"/>
    <w:basedOn w:val="DefaultParagraphFont"/>
    <w:link w:val="FootnoteText"/>
    <w:uiPriority w:val="99"/>
    <w:semiHidden/>
    <w:rsid w:val="00901F30"/>
    <w:rPr>
      <w:sz w:val="20"/>
      <w:szCs w:val="20"/>
    </w:rPr>
  </w:style>
  <w:style w:type="character" w:styleId="FootnoteReference">
    <w:name w:val="footnote reference"/>
    <w:basedOn w:val="DefaultParagraphFont"/>
    <w:uiPriority w:val="99"/>
    <w:semiHidden/>
    <w:unhideWhenUsed/>
    <w:rsid w:val="00901F30"/>
    <w:rPr>
      <w:vertAlign w:val="superscript"/>
    </w:rPr>
  </w:style>
  <w:style w:type="character" w:customStyle="1" w:styleId="Heading3Char">
    <w:name w:val="Heading 3 Char"/>
    <w:basedOn w:val="DefaultParagraphFont"/>
    <w:link w:val="Heading3"/>
    <w:rsid w:val="00417EF9"/>
    <w:rPr>
      <w:rFonts w:ascii="Tahoma" w:eastAsia="SimSun" w:hAnsi="Tahoma" w:cs="Tahoma"/>
      <w:b/>
      <w:bCs/>
      <w:sz w:val="20"/>
      <w:szCs w:val="20"/>
      <w:lang w:eastAsia="zh-CN"/>
    </w:rPr>
  </w:style>
  <w:style w:type="paragraph" w:styleId="NormalWeb">
    <w:name w:val="Normal (Web)"/>
    <w:basedOn w:val="Normal"/>
    <w:rsid w:val="00417EF9"/>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karenhunt/Documents/MA%20Medieval%20Studies/Assig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B6F4E-6E8C-4541-9226-5CE9B160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Assigment template.dotx</Template>
  <TotalTime>160</TotalTime>
  <Pages>10</Pages>
  <Words>2719</Words>
  <Characters>15504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Hunt (1703957)</dc:creator>
  <cp:keywords/>
  <dc:description/>
  <cp:lastModifiedBy>Karen Hunt (1703957)</cp:lastModifiedBy>
  <cp:revision>25</cp:revision>
  <cp:lastPrinted>2018-08-27T16:19:00Z</cp:lastPrinted>
  <dcterms:created xsi:type="dcterms:W3CDTF">2018-08-26T20:39:00Z</dcterms:created>
  <dcterms:modified xsi:type="dcterms:W3CDTF">2018-08-27T17:18:00Z</dcterms:modified>
</cp:coreProperties>
</file>