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A33" w:rsidRPr="00607251" w:rsidRDefault="005A6A33">
      <w:pPr>
        <w:rPr>
          <w:sz w:val="24"/>
          <w:szCs w:val="24"/>
        </w:rPr>
      </w:pPr>
    </w:p>
    <w:p w:rsidR="0042244F" w:rsidRDefault="0042244F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42244F" w:rsidRPr="0042244F" w:rsidRDefault="0042244F" w:rsidP="0042244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42244F">
        <w:rPr>
          <w:rFonts w:cs="Times New Roman"/>
          <w:b/>
          <w:bCs/>
          <w:sz w:val="24"/>
          <w:szCs w:val="24"/>
        </w:rPr>
        <w:t xml:space="preserve">PRINCIPLES OF LANGUAGE LEARNING AND TEACHING, </w:t>
      </w:r>
      <w:r w:rsidRPr="0042244F">
        <w:rPr>
          <w:rFonts w:cs="Times New Roman"/>
          <w:sz w:val="24"/>
          <w:szCs w:val="24"/>
        </w:rPr>
        <w:t xml:space="preserve">2nd </w:t>
      </w:r>
      <w:proofErr w:type="gramStart"/>
      <w:r w:rsidRPr="0042244F">
        <w:rPr>
          <w:rFonts w:cs="Times New Roman"/>
          <w:sz w:val="24"/>
          <w:szCs w:val="24"/>
        </w:rPr>
        <w:t>ed</w:t>
      </w:r>
      <w:proofErr w:type="gramEnd"/>
      <w:r w:rsidRPr="0042244F">
        <w:rPr>
          <w:rFonts w:cs="Times New Roman"/>
          <w:sz w:val="24"/>
          <w:szCs w:val="24"/>
        </w:rPr>
        <w:t>.</w:t>
      </w:r>
    </w:p>
    <w:p w:rsidR="0042244F" w:rsidRPr="0042244F" w:rsidRDefault="0042244F" w:rsidP="0042244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42244F">
        <w:rPr>
          <w:rFonts w:cs="Times New Roman"/>
          <w:i/>
          <w:iCs/>
          <w:sz w:val="24"/>
          <w:szCs w:val="24"/>
        </w:rPr>
        <w:t xml:space="preserve">H. Douglas Brown. </w:t>
      </w:r>
      <w:r w:rsidRPr="0042244F">
        <w:rPr>
          <w:rFonts w:cs="Times New Roman"/>
          <w:sz w:val="24"/>
          <w:szCs w:val="24"/>
        </w:rPr>
        <w:t>Englewood Cliffs, NJ: Prentice-Hall, 1987. Pp. xvi + 285.</w:t>
      </w:r>
    </w:p>
    <w:p w:rsidR="00EE40B9" w:rsidRDefault="00EE40B9" w:rsidP="0042244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42244F" w:rsidRPr="0042244F" w:rsidRDefault="0042244F" w:rsidP="0042244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42244F">
        <w:rPr>
          <w:rFonts w:cs="Times New Roman"/>
          <w:sz w:val="24"/>
          <w:szCs w:val="24"/>
        </w:rPr>
        <w:t>Second language education has changed considerably since H. Douglas Brown first published</w:t>
      </w:r>
      <w:r>
        <w:rPr>
          <w:rFonts w:cs="Times New Roman"/>
          <w:sz w:val="24"/>
          <w:szCs w:val="24"/>
        </w:rPr>
        <w:t xml:space="preserve"> </w:t>
      </w:r>
      <w:r w:rsidRPr="0042244F">
        <w:rPr>
          <w:rFonts w:cs="Times New Roman"/>
          <w:i/>
          <w:iCs/>
          <w:sz w:val="24"/>
          <w:szCs w:val="24"/>
        </w:rPr>
        <w:t xml:space="preserve">Principles of Language Learning and Teaching </w:t>
      </w:r>
      <w:r w:rsidRPr="0042244F">
        <w:rPr>
          <w:rFonts w:cs="Times New Roman"/>
          <w:sz w:val="24"/>
          <w:szCs w:val="24"/>
        </w:rPr>
        <w:t>in 1980. Many language education studies have</w:t>
      </w:r>
      <w:r>
        <w:rPr>
          <w:rFonts w:cs="Times New Roman"/>
          <w:sz w:val="24"/>
          <w:szCs w:val="24"/>
        </w:rPr>
        <w:t xml:space="preserve"> </w:t>
      </w:r>
      <w:r w:rsidRPr="0042244F">
        <w:rPr>
          <w:rFonts w:cs="Times New Roman"/>
          <w:sz w:val="24"/>
          <w:szCs w:val="24"/>
        </w:rPr>
        <w:t>been added to the research base, and several excellent texts have helped to solidify practitioners'</w:t>
      </w:r>
      <w:r>
        <w:rPr>
          <w:rFonts w:cs="Times New Roman"/>
          <w:sz w:val="24"/>
          <w:szCs w:val="24"/>
        </w:rPr>
        <w:t xml:space="preserve"> </w:t>
      </w:r>
      <w:r w:rsidRPr="0042244F">
        <w:rPr>
          <w:rFonts w:cs="Times New Roman"/>
          <w:sz w:val="24"/>
          <w:szCs w:val="24"/>
        </w:rPr>
        <w:t xml:space="preserve">thinking about theoretical issues (e.g., H. H. Stern, </w:t>
      </w:r>
      <w:r w:rsidRPr="0042244F">
        <w:rPr>
          <w:rFonts w:cs="Times New Roman"/>
          <w:i/>
          <w:iCs/>
          <w:sz w:val="24"/>
          <w:szCs w:val="24"/>
        </w:rPr>
        <w:t>Fundamental Concepts of Language Teaching,</w:t>
      </w:r>
      <w:r w:rsidR="0077232D">
        <w:rPr>
          <w:rFonts w:cs="Times New Roman"/>
          <w:i/>
          <w:iCs/>
          <w:sz w:val="24"/>
          <w:szCs w:val="24"/>
        </w:rPr>
        <w:t xml:space="preserve"> </w:t>
      </w:r>
      <w:bookmarkStart w:id="0" w:name="_GoBack"/>
      <w:bookmarkEnd w:id="0"/>
      <w:r w:rsidRPr="0042244F">
        <w:rPr>
          <w:rFonts w:cs="Times New Roman"/>
          <w:sz w:val="24"/>
          <w:szCs w:val="24"/>
        </w:rPr>
        <w:t>1983, and</w:t>
      </w:r>
      <w:r>
        <w:rPr>
          <w:rFonts w:cs="Times New Roman"/>
          <w:sz w:val="24"/>
          <w:szCs w:val="24"/>
        </w:rPr>
        <w:t xml:space="preserve"> </w:t>
      </w:r>
      <w:r w:rsidRPr="0042244F">
        <w:rPr>
          <w:rFonts w:cs="Times New Roman"/>
          <w:sz w:val="24"/>
          <w:szCs w:val="24"/>
        </w:rPr>
        <w:t xml:space="preserve">R. Ellis, </w:t>
      </w:r>
      <w:r w:rsidRPr="0042244F">
        <w:rPr>
          <w:rFonts w:cs="Times New Roman"/>
          <w:i/>
          <w:iCs/>
          <w:sz w:val="24"/>
          <w:szCs w:val="24"/>
        </w:rPr>
        <w:t xml:space="preserve">Understanding Second Language Acquisition, </w:t>
      </w:r>
      <w:r w:rsidRPr="0042244F">
        <w:rPr>
          <w:rFonts w:cs="Times New Roman"/>
          <w:sz w:val="24"/>
          <w:szCs w:val="24"/>
        </w:rPr>
        <w:t>1986). Brown's text is</w:t>
      </w:r>
      <w:r>
        <w:rPr>
          <w:rFonts w:cs="Times New Roman"/>
          <w:sz w:val="24"/>
          <w:szCs w:val="24"/>
        </w:rPr>
        <w:t xml:space="preserve"> </w:t>
      </w:r>
      <w:r w:rsidRPr="0042244F">
        <w:rPr>
          <w:rFonts w:cs="Times New Roman"/>
          <w:sz w:val="24"/>
          <w:szCs w:val="24"/>
        </w:rPr>
        <w:t>written for the particular audience of practicing or future teachers who are developing their own</w:t>
      </w:r>
      <w:r>
        <w:rPr>
          <w:rFonts w:cs="Times New Roman"/>
          <w:sz w:val="24"/>
          <w:szCs w:val="24"/>
        </w:rPr>
        <w:t xml:space="preserve"> </w:t>
      </w:r>
      <w:r w:rsidRPr="0042244F">
        <w:rPr>
          <w:rFonts w:cs="Times New Roman"/>
          <w:sz w:val="24"/>
          <w:szCs w:val="24"/>
        </w:rPr>
        <w:t>theories of second language learning. By incorporating recent emphases on research and communication</w:t>
      </w:r>
      <w:r>
        <w:rPr>
          <w:rFonts w:cs="Times New Roman"/>
          <w:sz w:val="24"/>
          <w:szCs w:val="24"/>
        </w:rPr>
        <w:t xml:space="preserve"> </w:t>
      </w:r>
      <w:r w:rsidRPr="0042244F">
        <w:rPr>
          <w:rFonts w:cs="Times New Roman"/>
          <w:sz w:val="24"/>
          <w:szCs w:val="24"/>
        </w:rPr>
        <w:t>and extensively reorganizing the original volume, Brown offers the profession a useful</w:t>
      </w:r>
      <w:r>
        <w:rPr>
          <w:rFonts w:cs="Times New Roman"/>
          <w:sz w:val="24"/>
          <w:szCs w:val="24"/>
        </w:rPr>
        <w:t xml:space="preserve"> </w:t>
      </w:r>
      <w:r w:rsidRPr="0042244F">
        <w:rPr>
          <w:rFonts w:cs="Times New Roman"/>
          <w:sz w:val="24"/>
          <w:szCs w:val="24"/>
        </w:rPr>
        <w:t>text for introductory courses in second language pedagogy.</w:t>
      </w:r>
      <w:r>
        <w:rPr>
          <w:rFonts w:cs="Times New Roman"/>
          <w:sz w:val="24"/>
          <w:szCs w:val="24"/>
        </w:rPr>
        <w:t xml:space="preserve"> </w:t>
      </w:r>
      <w:r w:rsidRPr="0042244F">
        <w:rPr>
          <w:rFonts w:cs="Times New Roman"/>
          <w:sz w:val="24"/>
          <w:szCs w:val="24"/>
        </w:rPr>
        <w:t>Changes in chapter titles reflect the changes in the available knowledge base. "Error Analysis"</w:t>
      </w:r>
    </w:p>
    <w:p w:rsidR="0042244F" w:rsidRDefault="0042244F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607251" w:rsidRPr="00607251" w:rsidRDefault="00607251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607251">
        <w:rPr>
          <w:rFonts w:cs="Times New Roman"/>
          <w:sz w:val="24"/>
          <w:szCs w:val="24"/>
        </w:rPr>
        <w:t>In evaluating the volume chapter by chapter, only the chapter on human learning seems</w:t>
      </w:r>
    </w:p>
    <w:p w:rsidR="00607251" w:rsidRPr="00607251" w:rsidRDefault="00607251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607251">
        <w:rPr>
          <w:rFonts w:cs="Times New Roman"/>
          <w:sz w:val="24"/>
          <w:szCs w:val="24"/>
        </w:rPr>
        <w:t>vulnerable</w:t>
      </w:r>
      <w:proofErr w:type="gramEnd"/>
      <w:r w:rsidRPr="00607251">
        <w:rPr>
          <w:rFonts w:cs="Times New Roman"/>
          <w:sz w:val="24"/>
          <w:szCs w:val="24"/>
        </w:rPr>
        <w:t xml:space="preserve"> to criticism. (In general, content relating to the educational psychology knowledge</w:t>
      </w:r>
      <w:r w:rsidR="00604A3D">
        <w:rPr>
          <w:rFonts w:cs="Times New Roman"/>
          <w:sz w:val="24"/>
          <w:szCs w:val="24"/>
        </w:rPr>
        <w:t xml:space="preserve"> </w:t>
      </w:r>
      <w:r w:rsidRPr="00607251">
        <w:rPr>
          <w:rFonts w:cs="Times New Roman"/>
          <w:sz w:val="24"/>
          <w:szCs w:val="24"/>
        </w:rPr>
        <w:t>base does not seem as well handled as content emanating from a linguistics base.) Fortunately,</w:t>
      </w:r>
      <w:r w:rsidR="00604A3D">
        <w:rPr>
          <w:rFonts w:cs="Times New Roman"/>
          <w:sz w:val="24"/>
          <w:szCs w:val="24"/>
        </w:rPr>
        <w:t xml:space="preserve"> </w:t>
      </w:r>
      <w:r w:rsidRPr="00607251">
        <w:rPr>
          <w:rFonts w:cs="Times New Roman"/>
          <w:sz w:val="24"/>
          <w:szCs w:val="24"/>
        </w:rPr>
        <w:t>most teacher candidates acquire additional background in this area outside their language education</w:t>
      </w:r>
      <w:r w:rsidR="00604A3D">
        <w:rPr>
          <w:rFonts w:cs="Times New Roman"/>
          <w:sz w:val="24"/>
          <w:szCs w:val="24"/>
        </w:rPr>
        <w:t xml:space="preserve"> </w:t>
      </w:r>
      <w:r w:rsidRPr="00607251">
        <w:rPr>
          <w:rFonts w:cs="Times New Roman"/>
          <w:sz w:val="24"/>
          <w:szCs w:val="24"/>
        </w:rPr>
        <w:t>courses. The author chooses to give equal weight to four theories of learning: classical</w:t>
      </w:r>
      <w:r w:rsidR="00604A3D">
        <w:rPr>
          <w:rFonts w:cs="Times New Roman"/>
          <w:sz w:val="24"/>
          <w:szCs w:val="24"/>
        </w:rPr>
        <w:t xml:space="preserve"> </w:t>
      </w:r>
      <w:r w:rsidR="004A65E5" w:rsidRPr="00607251">
        <w:rPr>
          <w:rFonts w:cs="Times New Roman"/>
          <w:sz w:val="24"/>
          <w:szCs w:val="24"/>
        </w:rPr>
        <w:t>behaviourism</w:t>
      </w:r>
      <w:r w:rsidRPr="00607251">
        <w:rPr>
          <w:rFonts w:cs="Times New Roman"/>
          <w:sz w:val="24"/>
          <w:szCs w:val="24"/>
        </w:rPr>
        <w:t>, neobehaviorism, cognitive learning theory, and humanistic psychology. Many different</w:t>
      </w:r>
      <w:r w:rsidR="00604A3D">
        <w:rPr>
          <w:rFonts w:cs="Times New Roman"/>
          <w:sz w:val="24"/>
          <w:szCs w:val="24"/>
        </w:rPr>
        <w:t xml:space="preserve"> </w:t>
      </w:r>
      <w:r w:rsidRPr="00607251">
        <w:rPr>
          <w:rFonts w:cs="Times New Roman"/>
          <w:sz w:val="24"/>
          <w:szCs w:val="24"/>
        </w:rPr>
        <w:t>criteria might be used to select theories; however, the audience and purpose of this text</w:t>
      </w:r>
      <w:r w:rsidR="00604A3D">
        <w:rPr>
          <w:rFonts w:cs="Times New Roman"/>
          <w:sz w:val="24"/>
          <w:szCs w:val="24"/>
        </w:rPr>
        <w:t xml:space="preserve"> </w:t>
      </w:r>
      <w:r w:rsidRPr="00607251">
        <w:rPr>
          <w:rFonts w:cs="Times New Roman"/>
          <w:sz w:val="24"/>
          <w:szCs w:val="24"/>
        </w:rPr>
        <w:t>would seem to argue for a simplification of currently respected theories such as a division into</w:t>
      </w:r>
      <w:r w:rsidR="00604A3D">
        <w:rPr>
          <w:rFonts w:cs="Times New Roman"/>
          <w:sz w:val="24"/>
          <w:szCs w:val="24"/>
        </w:rPr>
        <w:t xml:space="preserve"> </w:t>
      </w:r>
      <w:r w:rsidRPr="00607251">
        <w:rPr>
          <w:rFonts w:cs="Times New Roman"/>
          <w:sz w:val="24"/>
          <w:szCs w:val="24"/>
        </w:rPr>
        <w:t>two main types: one that views learning as a result of environmental influences and the other</w:t>
      </w:r>
      <w:r w:rsidR="00604A3D">
        <w:rPr>
          <w:rFonts w:cs="Times New Roman"/>
          <w:sz w:val="24"/>
          <w:szCs w:val="24"/>
        </w:rPr>
        <w:t xml:space="preserve"> </w:t>
      </w:r>
      <w:r w:rsidRPr="00607251">
        <w:rPr>
          <w:rFonts w:cs="Times New Roman"/>
          <w:sz w:val="24"/>
          <w:szCs w:val="24"/>
        </w:rPr>
        <w:t>that sees learning primarily as a function of innate organizational abilities.</w:t>
      </w:r>
      <w:r w:rsidR="00604A3D">
        <w:rPr>
          <w:rFonts w:cs="Times New Roman"/>
          <w:sz w:val="24"/>
          <w:szCs w:val="24"/>
        </w:rPr>
        <w:t xml:space="preserve"> </w:t>
      </w:r>
      <w:r w:rsidRPr="00607251">
        <w:rPr>
          <w:rFonts w:cs="Times New Roman"/>
          <w:sz w:val="24"/>
          <w:szCs w:val="24"/>
        </w:rPr>
        <w:t>Organizational changes in other chapters enhance this edition. Chapter 5, for example,</w:t>
      </w:r>
    </w:p>
    <w:p w:rsidR="00607251" w:rsidRPr="00607251" w:rsidRDefault="00607251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607251" w:rsidRPr="00607251" w:rsidRDefault="00607251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607251">
        <w:rPr>
          <w:rFonts w:cs="Times New Roman"/>
          <w:sz w:val="24"/>
          <w:szCs w:val="24"/>
        </w:rPr>
        <w:t>Brown's instructions to teachers attempting to form their own theories of second language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607251">
        <w:rPr>
          <w:rFonts w:cs="Times New Roman"/>
          <w:sz w:val="24"/>
          <w:szCs w:val="24"/>
        </w:rPr>
        <w:t>learning</w:t>
      </w:r>
      <w:proofErr w:type="gramEnd"/>
      <w:r w:rsidRPr="00607251">
        <w:rPr>
          <w:rFonts w:cs="Times New Roman"/>
          <w:sz w:val="24"/>
          <w:szCs w:val="24"/>
        </w:rPr>
        <w:t xml:space="preserve"> are explicit and sound. He advises them to look for insights into language, human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607251">
        <w:rPr>
          <w:rFonts w:cs="Times New Roman"/>
          <w:sz w:val="24"/>
          <w:szCs w:val="24"/>
        </w:rPr>
        <w:t>behavior</w:t>
      </w:r>
      <w:proofErr w:type="gramEnd"/>
      <w:r w:rsidRPr="00607251">
        <w:rPr>
          <w:rFonts w:cs="Times New Roman"/>
          <w:sz w:val="24"/>
          <w:szCs w:val="24"/>
        </w:rPr>
        <w:t>, and pedagogy; to consult research; to consider the affective domain; and to focus on</w:t>
      </w:r>
      <w:r w:rsidR="00607251">
        <w:rPr>
          <w:rFonts w:cs="Times New Roman"/>
          <w:sz w:val="24"/>
          <w:szCs w:val="24"/>
        </w:rPr>
        <w:t xml:space="preserve"> </w:t>
      </w:r>
      <w:r w:rsidRPr="00607251">
        <w:rPr>
          <w:rFonts w:cs="Times New Roman"/>
          <w:sz w:val="24"/>
          <w:szCs w:val="24"/>
        </w:rPr>
        <w:t>communication. With this mindset, they can form personal theories of learning that will determine</w:t>
      </w:r>
      <w:r w:rsidR="00607251">
        <w:rPr>
          <w:rFonts w:cs="Times New Roman"/>
          <w:sz w:val="24"/>
          <w:szCs w:val="24"/>
        </w:rPr>
        <w:t xml:space="preserve"> </w:t>
      </w:r>
      <w:r w:rsidRPr="00607251">
        <w:rPr>
          <w:rFonts w:cs="Times New Roman"/>
          <w:sz w:val="24"/>
          <w:szCs w:val="24"/>
        </w:rPr>
        <w:t>their approaches to teaching, the design of their teaching, and the procedures they will use.</w:t>
      </w:r>
    </w:p>
    <w:p w:rsidR="00607251" w:rsidRDefault="00607251" w:rsidP="0060725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607251">
        <w:rPr>
          <w:rFonts w:cs="Arial"/>
          <w:b/>
          <w:bCs/>
          <w:sz w:val="24"/>
          <w:szCs w:val="24"/>
        </w:rPr>
        <w:t>402 Reviews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607251">
        <w:rPr>
          <w:rFonts w:cs="Times New Roman"/>
          <w:sz w:val="24"/>
          <w:szCs w:val="24"/>
        </w:rPr>
        <w:t xml:space="preserve">Brown's revision of </w:t>
      </w:r>
      <w:r w:rsidRPr="00607251">
        <w:rPr>
          <w:rFonts w:cs="Times New Roman"/>
          <w:i/>
          <w:iCs/>
          <w:sz w:val="24"/>
          <w:szCs w:val="24"/>
        </w:rPr>
        <w:t xml:space="preserve">Principles of Language Learning and Teaching </w:t>
      </w:r>
      <w:r w:rsidRPr="00607251">
        <w:rPr>
          <w:rFonts w:cs="Times New Roman"/>
          <w:sz w:val="24"/>
          <w:szCs w:val="24"/>
        </w:rPr>
        <w:t>improves upon the first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607251">
        <w:rPr>
          <w:rFonts w:cs="Times New Roman"/>
          <w:sz w:val="24"/>
          <w:szCs w:val="24"/>
        </w:rPr>
        <w:t>edition</w:t>
      </w:r>
      <w:proofErr w:type="gramEnd"/>
      <w:r w:rsidRPr="00607251">
        <w:rPr>
          <w:rFonts w:cs="Times New Roman"/>
          <w:sz w:val="24"/>
          <w:szCs w:val="24"/>
        </w:rPr>
        <w:t>. It provides a brief but broad treatment of the knowledge base in second language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607251">
        <w:rPr>
          <w:rFonts w:cs="Times New Roman"/>
          <w:sz w:val="24"/>
          <w:szCs w:val="24"/>
        </w:rPr>
        <w:t>education</w:t>
      </w:r>
      <w:proofErr w:type="gramEnd"/>
      <w:r w:rsidRPr="00607251">
        <w:rPr>
          <w:rFonts w:cs="Times New Roman"/>
          <w:sz w:val="24"/>
          <w:szCs w:val="24"/>
        </w:rPr>
        <w:t>. One must acknowledge, however, that any volume intended to be comprehensive yet</w:t>
      </w:r>
      <w:r w:rsidR="00607251">
        <w:rPr>
          <w:rFonts w:cs="Times New Roman"/>
          <w:sz w:val="24"/>
          <w:szCs w:val="24"/>
        </w:rPr>
        <w:t xml:space="preserve"> </w:t>
      </w:r>
      <w:r w:rsidRPr="00607251">
        <w:rPr>
          <w:rFonts w:cs="Times New Roman"/>
          <w:sz w:val="24"/>
          <w:szCs w:val="24"/>
        </w:rPr>
        <w:t>brief, risks being superficial. Nevertheless, the effort to update knowledge and the selection of</w:t>
      </w:r>
      <w:r w:rsidR="00607251">
        <w:rPr>
          <w:rFonts w:cs="Times New Roman"/>
          <w:sz w:val="24"/>
          <w:szCs w:val="24"/>
        </w:rPr>
        <w:t xml:space="preserve"> </w:t>
      </w:r>
      <w:r w:rsidRPr="00607251">
        <w:rPr>
          <w:rFonts w:cs="Times New Roman"/>
          <w:sz w:val="24"/>
          <w:szCs w:val="24"/>
        </w:rPr>
        <w:t>generally relevant content make this volume a worthwhile addition to our literature.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bCs/>
          <w:sz w:val="24"/>
          <w:szCs w:val="24"/>
        </w:rPr>
      </w:pPr>
      <w:r w:rsidRPr="00607251">
        <w:rPr>
          <w:rFonts w:cs="Times New Roman"/>
          <w:i/>
          <w:iCs/>
          <w:sz w:val="24"/>
          <w:szCs w:val="24"/>
        </w:rPr>
        <w:t xml:space="preserve">(Received 7 August 1987) </w:t>
      </w:r>
      <w:r w:rsidRPr="00607251">
        <w:rPr>
          <w:rFonts w:cs="Times New Roman"/>
          <w:b/>
          <w:bCs/>
          <w:sz w:val="24"/>
          <w:szCs w:val="24"/>
        </w:rPr>
        <w:t>Gilbert A. Jarvis and Ann Masters Salomone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607251">
        <w:rPr>
          <w:rFonts w:cs="Times New Roman"/>
          <w:sz w:val="24"/>
          <w:szCs w:val="24"/>
        </w:rPr>
        <w:lastRenderedPageBreak/>
        <w:t xml:space="preserve">77ie </w:t>
      </w:r>
      <w:r w:rsidRPr="00607251">
        <w:rPr>
          <w:rFonts w:cs="Times New Roman"/>
          <w:i/>
          <w:iCs/>
          <w:sz w:val="24"/>
          <w:szCs w:val="24"/>
        </w:rPr>
        <w:t>Ohio State University</w:t>
      </w:r>
    </w:p>
    <w:p w:rsidR="00607251" w:rsidRDefault="00607251" w:rsidP="0060725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bCs/>
          <w:sz w:val="24"/>
          <w:szCs w:val="24"/>
        </w:rPr>
      </w:pPr>
      <w:r w:rsidRPr="00607251">
        <w:rPr>
          <w:rFonts w:cs="Arial"/>
          <w:b/>
          <w:bCs/>
          <w:sz w:val="24"/>
          <w:szCs w:val="24"/>
        </w:rPr>
        <w:t>REFERENCES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607251">
        <w:rPr>
          <w:rFonts w:cs="Times New Roman"/>
          <w:sz w:val="24"/>
          <w:szCs w:val="24"/>
        </w:rPr>
        <w:t xml:space="preserve">Bachman, L. F. (1987). </w:t>
      </w:r>
      <w:r w:rsidRPr="00607251">
        <w:rPr>
          <w:rFonts w:cs="Times New Roman"/>
          <w:i/>
          <w:iCs/>
          <w:sz w:val="24"/>
          <w:szCs w:val="24"/>
        </w:rPr>
        <w:t xml:space="preserve">Fundamental considerations in language testing. </w:t>
      </w:r>
      <w:r w:rsidRPr="00607251">
        <w:rPr>
          <w:rFonts w:cs="Times New Roman"/>
          <w:sz w:val="24"/>
          <w:szCs w:val="24"/>
        </w:rPr>
        <w:t>Reading, MA: Addison-Wesley.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607251">
        <w:rPr>
          <w:rFonts w:cs="Times New Roman"/>
          <w:sz w:val="24"/>
          <w:szCs w:val="24"/>
        </w:rPr>
        <w:t xml:space="preserve">Bialystok, E. (1978). A theoretical model of second language learning. </w:t>
      </w:r>
      <w:r w:rsidRPr="00607251">
        <w:rPr>
          <w:rFonts w:cs="Times New Roman"/>
          <w:i/>
          <w:iCs/>
          <w:sz w:val="24"/>
          <w:szCs w:val="24"/>
        </w:rPr>
        <w:t xml:space="preserve">Language Learning, 28, </w:t>
      </w:r>
      <w:r w:rsidRPr="00607251">
        <w:rPr>
          <w:rFonts w:cs="Times New Roman"/>
          <w:sz w:val="24"/>
          <w:szCs w:val="24"/>
        </w:rPr>
        <w:t>69—83.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607251">
        <w:rPr>
          <w:rFonts w:cs="Times New Roman"/>
          <w:sz w:val="24"/>
          <w:szCs w:val="24"/>
        </w:rPr>
        <w:t xml:space="preserve">Bialystok, E. (1983). Inferencing: Testing the "hypothesis testing" hypothesis. In H. W. </w:t>
      </w:r>
      <w:proofErr w:type="spellStart"/>
      <w:r w:rsidRPr="00607251">
        <w:rPr>
          <w:rFonts w:cs="Times New Roman"/>
          <w:sz w:val="24"/>
          <w:szCs w:val="24"/>
        </w:rPr>
        <w:t>Seliger</w:t>
      </w:r>
      <w:proofErr w:type="spellEnd"/>
      <w:r w:rsidRPr="00607251">
        <w:rPr>
          <w:rFonts w:cs="Times New Roman"/>
          <w:sz w:val="24"/>
          <w:szCs w:val="24"/>
        </w:rPr>
        <w:t xml:space="preserve"> and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607251">
        <w:rPr>
          <w:rFonts w:cs="Times New Roman"/>
          <w:sz w:val="24"/>
          <w:szCs w:val="24"/>
        </w:rPr>
        <w:t xml:space="preserve">M. H. Long (Eds.), </w:t>
      </w:r>
      <w:r w:rsidRPr="00607251">
        <w:rPr>
          <w:rFonts w:cs="Times New Roman"/>
          <w:i/>
          <w:iCs/>
          <w:sz w:val="24"/>
          <w:szCs w:val="24"/>
        </w:rPr>
        <w:t xml:space="preserve">Classroom oriented research in second language acquisition </w:t>
      </w:r>
      <w:r w:rsidRPr="00607251">
        <w:rPr>
          <w:rFonts w:cs="Times New Roman"/>
          <w:sz w:val="24"/>
          <w:szCs w:val="24"/>
        </w:rPr>
        <w:t>(pp. 104-123).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607251">
        <w:rPr>
          <w:rFonts w:cs="Times New Roman"/>
          <w:sz w:val="24"/>
          <w:szCs w:val="24"/>
        </w:rPr>
        <w:t>Rowley, MA: Newbury House.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607251">
        <w:rPr>
          <w:rFonts w:cs="Times New Roman"/>
          <w:sz w:val="24"/>
          <w:szCs w:val="24"/>
        </w:rPr>
        <w:t xml:space="preserve">Corder, S. P. (1973). </w:t>
      </w:r>
      <w:r w:rsidRPr="00607251">
        <w:rPr>
          <w:rFonts w:cs="Times New Roman"/>
          <w:i/>
          <w:iCs/>
          <w:sz w:val="24"/>
          <w:szCs w:val="24"/>
        </w:rPr>
        <w:t xml:space="preserve">Introducing applied linguistics. </w:t>
      </w:r>
      <w:r w:rsidRPr="00607251">
        <w:rPr>
          <w:rFonts w:cs="Times New Roman"/>
          <w:sz w:val="24"/>
          <w:szCs w:val="24"/>
        </w:rPr>
        <w:t>Harmondsworth, UK: Penguin Books.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607251">
        <w:rPr>
          <w:rFonts w:cs="Times New Roman"/>
          <w:sz w:val="24"/>
          <w:szCs w:val="24"/>
        </w:rPr>
        <w:t>Cummins, J. (1979). Cognitive/academic language proficiency, linguistic interdependence, the optimal age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607251">
        <w:rPr>
          <w:rFonts w:cs="Times New Roman"/>
          <w:sz w:val="24"/>
          <w:szCs w:val="24"/>
        </w:rPr>
        <w:t>question</w:t>
      </w:r>
      <w:proofErr w:type="gramEnd"/>
      <w:r w:rsidRPr="00607251">
        <w:rPr>
          <w:rFonts w:cs="Times New Roman"/>
          <w:sz w:val="24"/>
          <w:szCs w:val="24"/>
        </w:rPr>
        <w:t xml:space="preserve"> and some other matters. </w:t>
      </w:r>
      <w:r w:rsidRPr="00607251">
        <w:rPr>
          <w:rFonts w:cs="Times New Roman"/>
          <w:i/>
          <w:iCs/>
          <w:sz w:val="24"/>
          <w:szCs w:val="24"/>
        </w:rPr>
        <w:t xml:space="preserve">Wording Papers on Bilingualism, 19, </w:t>
      </w:r>
      <w:r w:rsidRPr="00607251">
        <w:rPr>
          <w:rFonts w:cs="Times New Roman"/>
          <w:sz w:val="24"/>
          <w:szCs w:val="24"/>
        </w:rPr>
        <w:t>197—205.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607251">
        <w:rPr>
          <w:rFonts w:cs="Times New Roman"/>
          <w:sz w:val="24"/>
          <w:szCs w:val="24"/>
        </w:rPr>
        <w:t>Cummins, J. (1980). The cross-lingual dimensions of language proficiency: Implications for bilingual education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proofErr w:type="gramStart"/>
      <w:r w:rsidRPr="00607251">
        <w:rPr>
          <w:rFonts w:cs="Times New Roman"/>
          <w:sz w:val="24"/>
          <w:szCs w:val="24"/>
        </w:rPr>
        <w:t>and</w:t>
      </w:r>
      <w:proofErr w:type="gramEnd"/>
      <w:r w:rsidRPr="00607251">
        <w:rPr>
          <w:rFonts w:cs="Times New Roman"/>
          <w:sz w:val="24"/>
          <w:szCs w:val="24"/>
        </w:rPr>
        <w:t xml:space="preserve"> the optimal age issue. </w:t>
      </w:r>
      <w:r w:rsidRPr="00607251">
        <w:rPr>
          <w:rFonts w:cs="Times New Roman"/>
          <w:i/>
          <w:iCs/>
          <w:sz w:val="24"/>
          <w:szCs w:val="24"/>
        </w:rPr>
        <w:t xml:space="preserve">TESOL Quarterly, 14, </w:t>
      </w:r>
      <w:r w:rsidRPr="00607251">
        <w:rPr>
          <w:rFonts w:cs="Times New Roman"/>
          <w:sz w:val="24"/>
          <w:szCs w:val="24"/>
        </w:rPr>
        <w:t>175-187.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607251">
        <w:rPr>
          <w:rFonts w:cs="Times New Roman"/>
          <w:sz w:val="24"/>
          <w:szCs w:val="24"/>
        </w:rPr>
        <w:t xml:space="preserve">Ellis, R. (1986). </w:t>
      </w:r>
      <w:r w:rsidRPr="00607251">
        <w:rPr>
          <w:rFonts w:cs="Times New Roman"/>
          <w:i/>
          <w:iCs/>
          <w:sz w:val="24"/>
          <w:szCs w:val="24"/>
        </w:rPr>
        <w:t xml:space="preserve">Understanding second language acquisition. </w:t>
      </w:r>
      <w:r w:rsidRPr="00607251">
        <w:rPr>
          <w:rFonts w:cs="Times New Roman"/>
          <w:sz w:val="24"/>
          <w:szCs w:val="24"/>
        </w:rPr>
        <w:t>Oxford: Oxford University Press.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607251">
        <w:rPr>
          <w:rFonts w:cs="Times New Roman"/>
          <w:sz w:val="24"/>
          <w:szCs w:val="24"/>
        </w:rPr>
        <w:t>Lightbown, P. M. (1985). Great expectations: Second language acquisition research and classroom teaching.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607251">
        <w:rPr>
          <w:rFonts w:cs="Times New Roman"/>
          <w:i/>
          <w:iCs/>
          <w:sz w:val="24"/>
          <w:szCs w:val="24"/>
        </w:rPr>
        <w:t xml:space="preserve">Applied Linguistics, 61, </w:t>
      </w:r>
      <w:r w:rsidRPr="00607251">
        <w:rPr>
          <w:rFonts w:cs="Times New Roman"/>
          <w:sz w:val="24"/>
          <w:szCs w:val="24"/>
        </w:rPr>
        <w:t>173-189.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607251">
        <w:rPr>
          <w:rFonts w:cs="Times New Roman"/>
          <w:sz w:val="24"/>
          <w:szCs w:val="24"/>
        </w:rPr>
        <w:t xml:space="preserve">McLaughlin, B. (1978). The monitor model: Some methodological considerations. </w:t>
      </w:r>
      <w:r w:rsidRPr="00607251">
        <w:rPr>
          <w:rFonts w:cs="Times New Roman"/>
          <w:i/>
          <w:iCs/>
          <w:sz w:val="24"/>
          <w:szCs w:val="24"/>
        </w:rPr>
        <w:t>Language Learning,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607251">
        <w:rPr>
          <w:rFonts w:cs="Times New Roman"/>
          <w:i/>
          <w:iCs/>
          <w:sz w:val="24"/>
          <w:szCs w:val="24"/>
        </w:rPr>
        <w:t xml:space="preserve">28, </w:t>
      </w:r>
      <w:r w:rsidRPr="00607251">
        <w:rPr>
          <w:rFonts w:cs="Times New Roman"/>
          <w:sz w:val="24"/>
          <w:szCs w:val="24"/>
        </w:rPr>
        <w:t>309-322.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607251">
        <w:rPr>
          <w:rFonts w:cs="Times New Roman"/>
          <w:sz w:val="24"/>
          <w:szCs w:val="24"/>
        </w:rPr>
        <w:t xml:space="preserve">Stern, H. H. (1983). </w:t>
      </w:r>
      <w:r w:rsidRPr="00607251">
        <w:rPr>
          <w:rFonts w:cs="Times New Roman"/>
          <w:i/>
          <w:iCs/>
          <w:sz w:val="24"/>
          <w:szCs w:val="24"/>
        </w:rPr>
        <w:t xml:space="preserve">Fundamental concepts of language teaching. </w:t>
      </w:r>
      <w:r w:rsidRPr="00607251">
        <w:rPr>
          <w:rFonts w:cs="Times New Roman"/>
          <w:sz w:val="24"/>
          <w:szCs w:val="24"/>
        </w:rPr>
        <w:t>Oxford: Oxford University Press.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r w:rsidRPr="00607251">
        <w:rPr>
          <w:rFonts w:cs="Times New Roman"/>
          <w:sz w:val="24"/>
          <w:szCs w:val="24"/>
        </w:rPr>
        <w:t xml:space="preserve">Van </w:t>
      </w:r>
      <w:proofErr w:type="spellStart"/>
      <w:r w:rsidRPr="00607251">
        <w:rPr>
          <w:rFonts w:cs="Times New Roman"/>
          <w:sz w:val="24"/>
          <w:szCs w:val="24"/>
        </w:rPr>
        <w:t>Ek</w:t>
      </w:r>
      <w:proofErr w:type="spellEnd"/>
      <w:r w:rsidRPr="00607251">
        <w:rPr>
          <w:rFonts w:cs="Times New Roman"/>
          <w:sz w:val="24"/>
          <w:szCs w:val="24"/>
        </w:rPr>
        <w:t xml:space="preserve">, J. A., &amp; Alexander, L. G. (1975). </w:t>
      </w:r>
      <w:r w:rsidRPr="00607251">
        <w:rPr>
          <w:rFonts w:cs="Times New Roman"/>
          <w:i/>
          <w:iCs/>
          <w:sz w:val="24"/>
          <w:szCs w:val="24"/>
        </w:rPr>
        <w:t xml:space="preserve">Threshold level English. </w:t>
      </w:r>
      <w:r w:rsidRPr="00607251">
        <w:rPr>
          <w:rFonts w:cs="Times New Roman"/>
          <w:sz w:val="24"/>
          <w:szCs w:val="24"/>
        </w:rPr>
        <w:t xml:space="preserve">Oxford: </w:t>
      </w:r>
      <w:proofErr w:type="spellStart"/>
      <w:r w:rsidRPr="00607251">
        <w:rPr>
          <w:rFonts w:cs="Times New Roman"/>
          <w:sz w:val="24"/>
          <w:szCs w:val="24"/>
        </w:rPr>
        <w:t>Pergamon</w:t>
      </w:r>
      <w:proofErr w:type="spellEnd"/>
      <w:r w:rsidRPr="00607251">
        <w:rPr>
          <w:rFonts w:cs="Times New Roman"/>
          <w:sz w:val="24"/>
          <w:szCs w:val="24"/>
        </w:rPr>
        <w:t xml:space="preserve"> Press.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4"/>
          <w:szCs w:val="24"/>
        </w:rPr>
      </w:pPr>
      <w:proofErr w:type="spellStart"/>
      <w:r w:rsidRPr="00607251">
        <w:rPr>
          <w:rFonts w:cs="Times New Roman"/>
          <w:sz w:val="24"/>
          <w:szCs w:val="24"/>
        </w:rPr>
        <w:t>Yono</w:t>
      </w:r>
      <w:proofErr w:type="spellEnd"/>
      <w:r w:rsidRPr="00607251">
        <w:rPr>
          <w:rFonts w:cs="Times New Roman"/>
          <w:sz w:val="24"/>
          <w:szCs w:val="24"/>
        </w:rPr>
        <w:t>, C. (1976). Discussion of "explaining sequence and variation in second language acquisition."</w:t>
      </w:r>
    </w:p>
    <w:p w:rsidR="00E66B67" w:rsidRPr="00607251" w:rsidRDefault="00E66B67" w:rsidP="0060725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i/>
          <w:iCs/>
          <w:sz w:val="24"/>
          <w:szCs w:val="24"/>
        </w:rPr>
      </w:pPr>
      <w:r w:rsidRPr="00607251">
        <w:rPr>
          <w:rFonts w:cs="Times New Roman"/>
          <w:i/>
          <w:iCs/>
          <w:sz w:val="24"/>
          <w:szCs w:val="24"/>
        </w:rPr>
        <w:t>Language Learning, Special Issue Number 4, 59-63.</w:t>
      </w:r>
    </w:p>
    <w:p w:rsidR="00E66B67" w:rsidRPr="00607251" w:rsidRDefault="00E66B67" w:rsidP="00607251">
      <w:pPr>
        <w:pBdr>
          <w:bottom w:val="single" w:sz="12" w:space="1" w:color="auto"/>
        </w:pBdr>
        <w:jc w:val="both"/>
        <w:rPr>
          <w:rFonts w:cs="Times New Roman"/>
          <w:sz w:val="24"/>
          <w:szCs w:val="24"/>
        </w:rPr>
      </w:pPr>
      <w:r w:rsidRPr="00607251">
        <w:rPr>
          <w:rFonts w:cs="Times New Roman"/>
          <w:sz w:val="24"/>
          <w:szCs w:val="24"/>
        </w:rPr>
        <w:t xml:space="preserve">SECOND LANGUAGE ACQUISITION. </w:t>
      </w:r>
      <w:r w:rsidRPr="00607251">
        <w:rPr>
          <w:rFonts w:cs="Times New Roman"/>
          <w:i/>
          <w:iCs/>
          <w:sz w:val="24"/>
          <w:szCs w:val="24"/>
        </w:rPr>
        <w:t xml:space="preserve">Wolfgang Klein. </w:t>
      </w:r>
      <w:r w:rsidRPr="00607251">
        <w:rPr>
          <w:rFonts w:cs="Times New Roman"/>
          <w:sz w:val="24"/>
          <w:szCs w:val="24"/>
        </w:rPr>
        <w:t>Cambridge: Cam</w:t>
      </w:r>
    </w:p>
    <w:p w:rsidR="008E0D75" w:rsidRDefault="008E0D75" w:rsidP="00E66B67"/>
    <w:p w:rsidR="00E82601" w:rsidRDefault="00CD47CD" w:rsidP="00E66B67">
      <w:r>
        <w:rPr>
          <w:noProof/>
          <w:lang w:eastAsia="en-GB"/>
        </w:rPr>
        <w:drawing>
          <wp:inline distT="0" distB="0" distL="0" distR="0">
            <wp:extent cx="5731510" cy="8899508"/>
            <wp:effectExtent l="1905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899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82601">
        <w:rPr>
          <w:noProof/>
          <w:lang w:eastAsia="en-GB"/>
        </w:rPr>
        <w:drawing>
          <wp:inline distT="0" distB="0" distL="0" distR="0">
            <wp:extent cx="5731510" cy="5112206"/>
            <wp:effectExtent l="1905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11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2601" w:rsidRDefault="00E82601" w:rsidP="00E66B67"/>
    <w:p w:rsidR="00E82601" w:rsidRDefault="00E82601" w:rsidP="00E66B67"/>
    <w:p w:rsidR="00D31794" w:rsidRDefault="0064220C" w:rsidP="00E66B67">
      <w:r>
        <w:rPr>
          <w:noProof/>
          <w:lang w:eastAsia="en-GB"/>
        </w:rPr>
        <w:drawing>
          <wp:inline distT="0" distB="0" distL="0" distR="0">
            <wp:extent cx="5731510" cy="5592590"/>
            <wp:effectExtent l="1905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592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1794">
        <w:rPr>
          <w:noProof/>
          <w:lang w:eastAsia="en-GB"/>
        </w:rPr>
        <w:drawing>
          <wp:inline distT="0" distB="0" distL="0" distR="0">
            <wp:extent cx="5731510" cy="4962452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962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1794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66B67"/>
    <w:rsid w:val="0042244F"/>
    <w:rsid w:val="004547A6"/>
    <w:rsid w:val="0049450E"/>
    <w:rsid w:val="004A65E5"/>
    <w:rsid w:val="005365B2"/>
    <w:rsid w:val="005A6A33"/>
    <w:rsid w:val="00601463"/>
    <w:rsid w:val="00604A3D"/>
    <w:rsid w:val="00607251"/>
    <w:rsid w:val="0064220C"/>
    <w:rsid w:val="00672E4E"/>
    <w:rsid w:val="0077232D"/>
    <w:rsid w:val="008E0D75"/>
    <w:rsid w:val="00A701BA"/>
    <w:rsid w:val="00BA644C"/>
    <w:rsid w:val="00C7583A"/>
    <w:rsid w:val="00CD47CD"/>
    <w:rsid w:val="00D31794"/>
    <w:rsid w:val="00DF55B1"/>
    <w:rsid w:val="00E66B67"/>
    <w:rsid w:val="00E82601"/>
    <w:rsid w:val="00EE40B9"/>
    <w:rsid w:val="00F2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CBD33C-2FBD-49C2-B946-DDBF7B86F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3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17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702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4696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David Charles Williams (International Centre)</cp:lastModifiedBy>
  <cp:revision>3</cp:revision>
  <cp:lastPrinted>2013-03-13T11:55:00Z</cp:lastPrinted>
  <dcterms:created xsi:type="dcterms:W3CDTF">2013-03-13T16:28:00Z</dcterms:created>
  <dcterms:modified xsi:type="dcterms:W3CDTF">2017-03-15T11:11:00Z</dcterms:modified>
</cp:coreProperties>
</file>