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jpeg"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8E2089" w14:textId="77777777" w:rsidR="006B3A17" w:rsidRDefault="005C32BE">
      <w:pPr>
        <w:spacing w:after="240"/>
        <w:jc w:val="center"/>
      </w:pPr>
      <w:r>
        <w:rPr>
          <w:b/>
          <w:sz w:val="32"/>
        </w:rPr>
        <w:t>Evaluating Sustainability &amp; Green Marketing Strategy Claims: The Case of Primark</w:t>
      </w:r>
    </w:p>
    <w:p w14:paraId="2383085B" w14:textId="77777777" w:rsidR="006B3A17" w:rsidRDefault="005C32BE">
      <w:pPr>
        <w:spacing w:after="360"/>
        <w:jc w:val="center"/>
      </w:pPr>
      <w:r>
        <w:rPr>
          <w:i/>
          <w:sz w:val="20"/>
        </w:rPr>
        <w:t>Author: Md Faisal Miah | Student ID: 2430612 | MBA International Business | LCMB7035 Dissertation</w:t>
      </w:r>
    </w:p>
    <w:p w14:paraId="74E443C7" w14:textId="77777777" w:rsidR="006B3A17" w:rsidRDefault="005C32BE">
      <w:r>
        <w:br w:type="page"/>
      </w:r>
    </w:p>
    <w:p w14:paraId="74091663" w14:textId="77777777" w:rsidR="006B3A17" w:rsidRDefault="005C32BE">
      <w:pPr>
        <w:pStyle w:val="Heading1"/>
      </w:pPr>
      <w:r>
        <w:rPr>
          <w:rFonts w:ascii="Arial" w:eastAsia="Arial" w:hAnsi="Arial"/>
        </w:rPr>
        <w:t>Research Context and Problem</w:t>
      </w:r>
    </w:p>
    <w:p w14:paraId="1BACBFCA" w14:textId="77777777" w:rsidR="006B3A17" w:rsidRDefault="005C32BE">
      <w:pPr>
        <w:jc w:val="both"/>
      </w:pPr>
      <w:r>
        <w:t>Environmental language is now embedded in the marketing of consumer-facing businesses. Claims about recycled content, carbon, circularity, renewable materials, ethical sourcing, and future targets can help consumers understand a brand's environmental positioning. Yet these claims can be difficult to assess when they are broad, dependent on conditions, or expressed more widely than the accompanying evidence supports. This does not mean that a business has acted unlawfully. It means that the relationship betw</w:t>
      </w:r>
      <w:r>
        <w:t>een marketing claims, disclosed evidence, and regulatory expectations deserves careful examination.</w:t>
      </w:r>
    </w:p>
    <w:p w14:paraId="4D466A8B" w14:textId="77777777" w:rsidR="006B3A17" w:rsidRDefault="005C32BE">
      <w:pPr>
        <w:jc w:val="both"/>
      </w:pPr>
      <w:r>
        <w:t xml:space="preserve">In the UK, the Competition and Markets Authority's (CMA) Green Claims Code provides a useful benchmark. It states that environmental claims should be truthful and accurate, clear and unambiguous, should not omit material information, should make fair and meaningful comparisons, should consider the full lifecycle of the product or service, and should be substantiated (CMA, 2021). The CAP Code adds a marketing-communications perspective: the basis of an environmental claim should be clear, unqualified claims </w:t>
      </w:r>
      <w:r>
        <w:t>may mislead by omission, absolute claims require a high standard of substantiation, and lifecycle boundaries should be made clear (ASA, n.d.). These are practical principles for evaluating compliance risk, but they are not a substitute for a regulator's formal decision. Accordingly, this study will not accuse Primark of greenwashing or non-compliance. It will identify claim features that may indicate stronger or weaker alignment with the relevant principles.</w:t>
      </w:r>
    </w:p>
    <w:p w14:paraId="21723F3F" w14:textId="77777777" w:rsidR="006B3A17" w:rsidRDefault="005C32BE">
      <w:pPr>
        <w:jc w:val="both"/>
      </w:pPr>
      <w:r>
        <w:t xml:space="preserve">Primark is an appropriate single case because its public reporting pages, sustainability materials and consumer-facing communications provide a substantial documentary trail across materials, products, circularity, climate, sourcing and future commitments (Primark, 2025). This range allows the study to examine sustainability and green marketing strategy claims within one organisational and sectoral context. A single-case design also makes it possible to apply consistent selection rules and manual coding in </w:t>
      </w:r>
      <w:r>
        <w:t>sufficient depth without attempting to measure consumer attitudes or actual corporate environmental performance.</w:t>
      </w:r>
    </w:p>
    <w:p w14:paraId="36F12B2E" w14:textId="77777777" w:rsidR="006B3A17" w:rsidRDefault="005C32BE">
      <w:pPr>
        <w:jc w:val="both"/>
      </w:pPr>
      <w:r>
        <w:t>The research problem is therefore not whether Primark is "green". Rather, it is how Primark's sustainability and green marketing strategy claims are communicated and supported in public materials, and what potential green-claims compliance-risk indicators arise when those claims are assessed against established UK principles. This focus is feasible through public secondary data, produces a clear management contribution, and avoids unsupported legal or reputational allegations.</w:t>
      </w:r>
    </w:p>
    <w:p w14:paraId="5D124EA3" w14:textId="77777777" w:rsidR="006B3A17" w:rsidRDefault="005C32BE">
      <w:pPr>
        <w:pStyle w:val="Heading1"/>
      </w:pPr>
      <w:r>
        <w:rPr>
          <w:rFonts w:ascii="Arial" w:eastAsia="Arial" w:hAnsi="Arial"/>
        </w:rPr>
        <w:t>Aim, Objectives and Research Questions</w:t>
      </w:r>
    </w:p>
    <w:p w14:paraId="225FB5A2" w14:textId="77777777" w:rsidR="006B3A17" w:rsidRDefault="005C32BE">
      <w:pPr>
        <w:pStyle w:val="Heading2"/>
      </w:pPr>
      <w:r>
        <w:rPr>
          <w:rFonts w:ascii="Arial" w:eastAsia="Arial" w:hAnsi="Arial"/>
        </w:rPr>
        <w:t>Aim</w:t>
      </w:r>
    </w:p>
    <w:p w14:paraId="4CC7C957" w14:textId="77777777" w:rsidR="006B3A17" w:rsidRDefault="005C32BE">
      <w:pPr>
        <w:jc w:val="both"/>
      </w:pPr>
      <w:r>
        <w:t>To evaluate how Primark communicates and substantiates sustainability and green marketing strategy claims, and to assess potential green-claims compliance risk through a secondary qualitative thematic analysis of public documentary evidence.</w:t>
      </w:r>
    </w:p>
    <w:p w14:paraId="2783DF01" w14:textId="77777777" w:rsidR="006B3A17" w:rsidRDefault="005C32BE">
      <w:pPr>
        <w:pStyle w:val="Heading2"/>
      </w:pPr>
      <w:r>
        <w:rPr>
          <w:rFonts w:ascii="Arial" w:eastAsia="Arial" w:hAnsi="Arial"/>
        </w:rPr>
        <w:t>Objectives and Research Questions</w:t>
      </w:r>
    </w:p>
    <w:tbl>
      <w:tblPr>
        <w:tblStyle w:val="TableGrid"/>
        <w:tblW w:w="9360" w:type="dxa"/>
        <w:tblInd w:w="120" w:type="dxa"/>
        <w:tblBorders>
          <w:top w:val="single" w:sz="4" w:space="0" w:color="B7B7B7"/>
          <w:left w:val="single" w:sz="4" w:space="0" w:color="B7B7B7"/>
          <w:bottom w:val="single" w:sz="4" w:space="0" w:color="B7B7B7"/>
          <w:right w:val="single" w:sz="4" w:space="0" w:color="B7B7B7"/>
          <w:insideH w:val="single" w:sz="4" w:space="0" w:color="B7B7B7"/>
          <w:insideV w:val="single" w:sz="4" w:space="0" w:color="B7B7B7"/>
        </w:tblBorders>
        <w:tblLayout w:type="fixed"/>
        <w:tblLook w:val="04A0" w:firstRow="1" w:lastRow="0" w:firstColumn="1" w:lastColumn="0" w:noHBand="0" w:noVBand="1"/>
      </w:tblPr>
      <w:tblGrid>
        <w:gridCol w:w="4320"/>
        <w:gridCol w:w="5040"/>
      </w:tblGrid>
      <w:tr w:rsidR="006B3A17" w14:paraId="77C05C46" w14:textId="77777777">
        <w:tc>
          <w:tcPr>
            <w:tcW w:w="4320" w:type="dxa"/>
            <w:tcMar>
              <w:top w:w="80" w:type="dxa"/>
              <w:left w:w="120" w:type="dxa"/>
              <w:bottom w:w="80" w:type="dxa"/>
              <w:right w:w="120" w:type="dxa"/>
            </w:tcMar>
          </w:tcPr>
          <w:p w14:paraId="090EFF62" w14:textId="77777777" w:rsidR="006B3A17" w:rsidRDefault="005C32BE">
            <w:pPr>
              <w:spacing w:after="80" w:line="240" w:lineRule="auto"/>
            </w:pPr>
            <w:r>
              <w:rPr>
                <w:b/>
                <w:sz w:val="18"/>
              </w:rPr>
              <w:t>Objective</w:t>
            </w:r>
          </w:p>
        </w:tc>
        <w:tc>
          <w:tcPr>
            <w:tcW w:w="5040" w:type="dxa"/>
            <w:tcMar>
              <w:top w:w="80" w:type="dxa"/>
              <w:left w:w="120" w:type="dxa"/>
              <w:bottom w:w="80" w:type="dxa"/>
              <w:right w:w="120" w:type="dxa"/>
            </w:tcMar>
          </w:tcPr>
          <w:p w14:paraId="1F681A29" w14:textId="77777777" w:rsidR="006B3A17" w:rsidRDefault="005C32BE">
            <w:pPr>
              <w:spacing w:after="80" w:line="240" w:lineRule="auto"/>
            </w:pPr>
            <w:r>
              <w:rPr>
                <w:b/>
                <w:sz w:val="18"/>
              </w:rPr>
              <w:t>Matching research question</w:t>
            </w:r>
          </w:p>
        </w:tc>
      </w:tr>
      <w:tr w:rsidR="006B3A17" w14:paraId="3B97A7CA" w14:textId="77777777">
        <w:tc>
          <w:tcPr>
            <w:tcW w:w="4320" w:type="dxa"/>
          </w:tcPr>
          <w:p w14:paraId="29A0F147" w14:textId="77777777" w:rsidR="006B3A17" w:rsidRDefault="005C32BE">
            <w:pPr>
              <w:spacing w:after="80" w:line="240" w:lineRule="auto"/>
            </w:pPr>
            <w:r>
              <w:rPr>
                <w:sz w:val="18"/>
              </w:rPr>
              <w:t>1. To identify and categorise sustainability and green marketing strategy claims made by Primark in selected public communications.</w:t>
            </w:r>
          </w:p>
        </w:tc>
        <w:tc>
          <w:tcPr>
            <w:tcW w:w="5040" w:type="dxa"/>
          </w:tcPr>
          <w:p w14:paraId="1E54F069" w14:textId="77777777" w:rsidR="006B3A17" w:rsidRDefault="005C32BE">
            <w:pPr>
              <w:spacing w:after="80" w:line="240" w:lineRule="auto"/>
            </w:pPr>
            <w:r>
              <w:rPr>
                <w:sz w:val="18"/>
              </w:rPr>
              <w:t>RQ1. What types of sustainability and green marketing strategy claims does Primark make in selected public communications?</w:t>
            </w:r>
          </w:p>
        </w:tc>
      </w:tr>
      <w:tr w:rsidR="006B3A17" w14:paraId="6062B7CE" w14:textId="77777777">
        <w:tc>
          <w:tcPr>
            <w:tcW w:w="4320" w:type="dxa"/>
          </w:tcPr>
          <w:p w14:paraId="440CBA56" w14:textId="77777777" w:rsidR="006B3A17" w:rsidRDefault="005C32BE">
            <w:pPr>
              <w:spacing w:after="80" w:line="240" w:lineRule="auto"/>
            </w:pPr>
            <w:r>
              <w:rPr>
                <w:sz w:val="18"/>
              </w:rPr>
              <w:t>2. To examine how Primark's claims are framed, qualified, scoped, and supported by documentary evidence.</w:t>
            </w:r>
          </w:p>
        </w:tc>
        <w:tc>
          <w:tcPr>
            <w:tcW w:w="5040" w:type="dxa"/>
          </w:tcPr>
          <w:p w14:paraId="375559CC" w14:textId="77777777" w:rsidR="006B3A17" w:rsidRDefault="005C32BE">
            <w:pPr>
              <w:spacing w:after="80" w:line="240" w:lineRule="auto"/>
            </w:pPr>
            <w:r>
              <w:rPr>
                <w:sz w:val="18"/>
              </w:rPr>
              <w:t>RQ2. How are Primark's claims framed, qualified, scoped, and supported by documentary evidence?</w:t>
            </w:r>
          </w:p>
        </w:tc>
      </w:tr>
      <w:tr w:rsidR="006B3A17" w14:paraId="38C39F9C" w14:textId="77777777">
        <w:tc>
          <w:tcPr>
            <w:tcW w:w="4320" w:type="dxa"/>
          </w:tcPr>
          <w:p w14:paraId="46324BBA" w14:textId="77777777" w:rsidR="006B3A17" w:rsidRDefault="005C32BE">
            <w:pPr>
              <w:spacing w:after="80" w:line="240" w:lineRule="auto"/>
            </w:pPr>
            <w:r>
              <w:rPr>
                <w:sz w:val="18"/>
              </w:rPr>
              <w:t>3. To assess Primark's claims against a green-claims compliance-risk framework informed by the CMA Green Claims Code and CAP environmental-claims rules.</w:t>
            </w:r>
          </w:p>
        </w:tc>
        <w:tc>
          <w:tcPr>
            <w:tcW w:w="5040" w:type="dxa"/>
          </w:tcPr>
          <w:p w14:paraId="128FFC02" w14:textId="77777777" w:rsidR="006B3A17" w:rsidRDefault="005C32BE">
            <w:pPr>
              <w:spacing w:after="80" w:line="240" w:lineRule="auto"/>
            </w:pPr>
            <w:r>
              <w:rPr>
                <w:sz w:val="18"/>
              </w:rPr>
              <w:t>RQ3. What potential alignment and compliance-risk indicators emerge when Primark's claims are assessed against the CMA Green Claims Code and CAP environmental-claims rules?</w:t>
            </w:r>
          </w:p>
        </w:tc>
      </w:tr>
      <w:tr w:rsidR="006B3A17" w14:paraId="0C98BD23" w14:textId="77777777">
        <w:tc>
          <w:tcPr>
            <w:tcW w:w="4320" w:type="dxa"/>
          </w:tcPr>
          <w:p w14:paraId="43CEF711" w14:textId="77777777" w:rsidR="006B3A17" w:rsidRDefault="005C32BE">
            <w:pPr>
              <w:spacing w:after="80" w:line="240" w:lineRule="auto"/>
            </w:pPr>
            <w:r>
              <w:rPr>
                <w:sz w:val="18"/>
              </w:rPr>
              <w:t>4. To develop practical implications for clearer and better-evidenced sustainability marketing communication.</w:t>
            </w:r>
          </w:p>
        </w:tc>
        <w:tc>
          <w:tcPr>
            <w:tcW w:w="5040" w:type="dxa"/>
          </w:tcPr>
          <w:p w14:paraId="75E92761" w14:textId="77777777" w:rsidR="006B3A17" w:rsidRDefault="005C32BE">
            <w:pPr>
              <w:spacing w:after="80" w:line="240" w:lineRule="auto"/>
            </w:pPr>
            <w:r>
              <w:rPr>
                <w:sz w:val="18"/>
              </w:rPr>
              <w:t>RQ4. What practical implications arise for the design and substantiation of Primark's sustainability marketing communications?</w:t>
            </w:r>
          </w:p>
        </w:tc>
      </w:tr>
    </w:tbl>
    <w:p w14:paraId="5A9C95CB" w14:textId="77777777" w:rsidR="006B3A17" w:rsidRDefault="006B3A17"/>
    <w:p w14:paraId="442B81C9" w14:textId="77777777" w:rsidR="006B3A17" w:rsidRDefault="005C32BE">
      <w:pPr>
        <w:jc w:val="both"/>
      </w:pPr>
      <w:r>
        <w:t>The objectives are deliberately restricted to Primark's public claims, their documentary support, and a transparent regulatory-risk framework. They do not require consumer surveys, interviews, confidential data, laboratory testing, or a legal finding. Each objective can therefore be addressed with an auditable corpus of publicly available documents.</w:t>
      </w:r>
    </w:p>
    <w:p w14:paraId="541ECB38" w14:textId="77777777" w:rsidR="006B3A17" w:rsidRDefault="005C32BE">
      <w:r>
        <w:br w:type="page"/>
      </w:r>
    </w:p>
    <w:p w14:paraId="3C66FCF5" w14:textId="77777777" w:rsidR="006B3A17" w:rsidRDefault="005C32BE">
      <w:pPr>
        <w:pStyle w:val="Heading1"/>
      </w:pPr>
      <w:r>
        <w:rPr>
          <w:rFonts w:ascii="Arial" w:eastAsia="Arial" w:hAnsi="Arial"/>
        </w:rPr>
        <w:t>Literature-Led Analytical Position</w:t>
      </w:r>
    </w:p>
    <w:p w14:paraId="56032622" w14:textId="77777777" w:rsidR="006B3A17" w:rsidRDefault="005C32BE">
      <w:pPr>
        <w:pStyle w:val="Heading2"/>
      </w:pPr>
      <w:r>
        <w:rPr>
          <w:rFonts w:ascii="Arial" w:eastAsia="Arial" w:hAnsi="Arial"/>
        </w:rPr>
        <w:t>Sustainability claims, greenwashing, and evidential discipline</w:t>
      </w:r>
    </w:p>
    <w:p w14:paraId="51DACC1A" w14:textId="77777777" w:rsidR="006B3A17" w:rsidRDefault="005C32BE">
      <w:pPr>
        <w:jc w:val="both"/>
      </w:pPr>
      <w:r>
        <w:t>The literature treats greenwashing as a contested and heterogeneous phenomenon rather than a simple synonym for any sustainability claim. Delmas and Burbano (2011) identify market, institutional, organisational, and individual factors that can create incentives for misleading environmental communication. Lyon and Montgomery (2015) similarly call for greater precision in identifying and measuring different forms of greenwash. In a systematic review, de Freitas Netto et al. (2020) distinguish firm-level and p</w:t>
      </w:r>
      <w:r>
        <w:t>roduct-level forms, as well as claim- and execution-level forms. This diversity matters because an academically responsible study should not apply a broad accusation merely because a claim is aspirational, brand-owned, or incomplete.</w:t>
      </w:r>
    </w:p>
    <w:p w14:paraId="51D4F4E9" w14:textId="77777777" w:rsidR="006B3A17" w:rsidRDefault="005C32BE">
      <w:pPr>
        <w:jc w:val="both"/>
      </w:pPr>
      <w:r>
        <w:t>The present study will consequently use the term green-claims compliance risk rather than treating greenwashing as an outcome. A compliance-risk indicator is a documented feature of a claim that may require closer scrutiny under the Code or CAP rules: for example, broad language without a stated basis, a future target presented beside current performance, a comparison without a stated benchmark, or a benefit whose lifecycle boundary is unclear. This approach is supported by scholarship that distinguishes co</w:t>
      </w:r>
      <w:r>
        <w:t>mmunication effects and accusations from verified corporate conduct (Seele and Gatti, 2017). It also recognises that Primark-controlled sustainability material is a form of communication data, not independent evidence that the underlying environmental outcome has occurred.</w:t>
      </w:r>
    </w:p>
    <w:p w14:paraId="71C464F6" w14:textId="77777777" w:rsidR="006B3A17" w:rsidRDefault="005C32BE">
      <w:pPr>
        <w:jc w:val="both"/>
      </w:pPr>
      <w:r>
        <w:t>Research on perceived greenwashing reinforces the importance of examining the relationship between advertising and evidence, even though the present research will not measure consumer response. Nyilasy, Gangadharbatla and Paladino (2014) show that green advertising can interact with perceived corporate environmental performance in shaping reactions. The implication for this proposal is methodological rather than behavioural: claims should be read with attention to what is stated, what is qualified, what evi</w:t>
      </w:r>
      <w:r>
        <w:t>dence is offered, and what remains outside the claim's stated scope.</w:t>
      </w:r>
    </w:p>
    <w:p w14:paraId="166214CD" w14:textId="77777777" w:rsidR="006B3A17" w:rsidRDefault="005C32BE">
      <w:pPr>
        <w:pStyle w:val="Heading2"/>
      </w:pPr>
      <w:r>
        <w:rPr>
          <w:rFonts w:ascii="Arial" w:eastAsia="Arial" w:hAnsi="Arial"/>
        </w:rPr>
        <w:t>Regulation as an analytical lens</w:t>
      </w:r>
    </w:p>
    <w:p w14:paraId="4BC4B172" w14:textId="77777777" w:rsidR="006B3A17" w:rsidRDefault="005C32BE">
      <w:pPr>
        <w:jc w:val="both"/>
      </w:pPr>
      <w:r>
        <w:t>The CMA and ASA provide the study with an externally defined framework that is more precise than an unstructured judgement of whether a message seems credible. The CMA's six principles permit systematic questions: Is the claim precise? Is the material scope visible? Is a comparison meaningful? Does the evidence supplied support the wording? The CAP Code complements this by emphasising the clear basis of claims, the high substantiation expected for absolute claims, and the importance of lifecycle context (CM</w:t>
      </w:r>
      <w:r>
        <w:t>A, 2021; ASA, n.d.).</w:t>
      </w:r>
    </w:p>
    <w:p w14:paraId="53D84C5D" w14:textId="77777777" w:rsidR="006B3A17" w:rsidRDefault="005C32BE">
      <w:pPr>
        <w:jc w:val="both"/>
      </w:pPr>
      <w:r>
        <w:t xml:space="preserve">Using regulation as an analytical lens does not turn this dissertation into legal analysis. It will not determine whether an advertisement breaches the CAP Code or consumer law, because such findings depend on a regulator's jurisdiction, evidence, and procedural assessment. Instead, it makes the qualitative assessment more disciplined. The study will use the terms apparent alignment, qualification, evidence signal, and potential risk indicator to distinguish an interpretive thematic assessment from a legal </w:t>
      </w:r>
      <w:r>
        <w:t>conclusion.</w:t>
      </w:r>
    </w:p>
    <w:p w14:paraId="2BF65F7B" w14:textId="77777777" w:rsidR="006B3A17" w:rsidRDefault="005C32BE">
      <w:pPr>
        <w:pStyle w:val="Heading2"/>
      </w:pPr>
      <w:r>
        <w:rPr>
          <w:rFonts w:ascii="Arial" w:eastAsia="Arial" w:hAnsi="Arial"/>
        </w:rPr>
        <w:t>Gap and contribution</w:t>
      </w:r>
    </w:p>
    <w:p w14:paraId="25B9C767" w14:textId="77777777" w:rsidR="006B3A17" w:rsidRDefault="005C32BE">
      <w:pPr>
        <w:jc w:val="both"/>
      </w:pPr>
      <w:r>
        <w:t>Existing research often examines greenwashing at an aggregate level, focuses on consumer trust or purchase intention, or evaluates corporate reporting rather than public-facing marketing claims. This study addresses the more bounded question of how one major fashion retailer communicates sustainability and green marketing strategy claims across its public materials. It treats Primark's materials as claim data and applies a transparent claim-evidence-regulation framework rather than evaluating consumer behav</w:t>
      </w:r>
      <w:r>
        <w:t>iour, ESG reporting quality, brand equity, or audited environmental performance.</w:t>
      </w:r>
    </w:p>
    <w:p w14:paraId="63238C76" w14:textId="77777777" w:rsidR="006B3A17" w:rsidRDefault="005C32BE">
      <w:pPr>
        <w:jc w:val="both"/>
      </w:pPr>
      <w:r>
        <w:t>The proposed contribution is therefore a practical analytical model for managers: sustainability communication should be checked not only for positive environmental language, but also for scope, qualification, evidence, comparison, lifecycle framing, and the difference between present performance and future ambition. It contributes academically by showing how documentary thematic analysis can connect marketing claims with regulatory principles without making unverified accusations.</w:t>
      </w:r>
    </w:p>
    <w:p w14:paraId="65D08719" w14:textId="77777777" w:rsidR="006B3A17" w:rsidRDefault="005C32BE">
      <w:r>
        <w:br w:type="page"/>
      </w:r>
    </w:p>
    <w:p w14:paraId="0BDBAA12" w14:textId="77777777" w:rsidR="006B3A17" w:rsidRDefault="005C32BE">
      <w:pPr>
        <w:pStyle w:val="Heading1"/>
      </w:pPr>
      <w:r>
        <w:rPr>
          <w:rFonts w:ascii="Arial" w:eastAsia="Arial" w:hAnsi="Arial"/>
        </w:rPr>
        <w:t>Method and Evidence Plan</w:t>
      </w:r>
    </w:p>
    <w:p w14:paraId="05181BCE" w14:textId="77777777" w:rsidR="006B3A17" w:rsidRDefault="005C32BE">
      <w:pPr>
        <w:pStyle w:val="Heading2"/>
      </w:pPr>
      <w:r>
        <w:rPr>
          <w:rFonts w:ascii="Arial" w:eastAsia="Arial" w:hAnsi="Arial"/>
        </w:rPr>
        <w:t>Research design</w:t>
      </w:r>
    </w:p>
    <w:p w14:paraId="08EF6835" w14:textId="77777777" w:rsidR="006B3A17" w:rsidRDefault="005C32BE">
      <w:pPr>
        <w:jc w:val="both"/>
      </w:pPr>
      <w:r>
        <w:t>The study will adopt a qualitative single-case design using public secondary documents. A critical-realist-informed position is appropriate: sustainability claims are communicative constructions that need interpretation, yet their wording and disclosed evidence can be assessed against external regulatory principles. The study is abductive. Initial codes will be informed deductively by the CMA and CAP criteria, while additional patterns in claim framing and evidence will be developed inductively from the mat</w:t>
      </w:r>
      <w:r>
        <w:t>erial.</w:t>
      </w:r>
    </w:p>
    <w:p w14:paraId="637D7FD6" w14:textId="77777777" w:rsidR="006B3A17" w:rsidRDefault="005C32BE">
      <w:pPr>
        <w:jc w:val="both"/>
      </w:pPr>
      <w:r>
        <w:t>Document analysis is suitable because the evidence consists of public records created independently of the researcher. Bowen (2009) notes that documents can be used as qualitative data when their provenance, context, and limitations are considered explicitly. The analysis will examine what Primark communicates; it will not claim to verify Primark's environmental performance beyond what reliable external evidence expressly supports.</w:t>
      </w:r>
    </w:p>
    <w:p w14:paraId="609E12A0" w14:textId="77777777" w:rsidR="006B3A17" w:rsidRDefault="005C32BE">
      <w:pPr>
        <w:pStyle w:val="Heading2"/>
      </w:pPr>
      <w:r>
        <w:rPr>
          <w:rFonts w:ascii="Arial" w:eastAsia="Arial" w:hAnsi="Arial"/>
        </w:rPr>
        <w:t>Documentary corpus and sampling</w:t>
      </w:r>
    </w:p>
    <w:p w14:paraId="2B3D74D2" w14:textId="77777777" w:rsidR="006B3A17" w:rsidRDefault="005C32BE">
      <w:pPr>
        <w:jc w:val="both"/>
      </w:pPr>
      <w:r>
        <w:t>The proposed corpus will contain approximately 20 to 30 recent, publicly accessible documents. It will comprise approximately 12 to 16 claim-bearing Primark documents, four to six regulatory documents, and four to eight independent contextual sources. Academic literature will inform the conceptual and methodological framework but will not be coded as Primark claim data.</w:t>
      </w:r>
    </w:p>
    <w:p w14:paraId="6FB756F5" w14:textId="77777777" w:rsidR="006B3A17" w:rsidRDefault="005C32BE">
      <w:pPr>
        <w:jc w:val="both"/>
      </w:pPr>
      <w:r>
        <w:t>Eligible case documents will include sustainability or ESG reports, reporting-basis documents, dedicated sustainability webpages, packaging or product pages, climate or circularity pages, FAQs where they substantively explain a claim, and relevant public campaign material. Regulatory data will include the CMA Green Claims Code, relevant CMA sector guidance, CAP Code Section 11, and ASA guidance or rulings only where directly relevant. Independent contextual material will be limited to credible media, indust</w:t>
      </w:r>
      <w:r>
        <w:t>ry, NGO, or watchdog sources that identify the provenance and date of a claim. Documents will be excluded where they are undated and cannot be contextualised, are purely promotional without a sustainability claim, duplicate another item, concern internal confidential data, or make a legal allegation without a primary source.</w:t>
      </w:r>
    </w:p>
    <w:p w14:paraId="678FD775" w14:textId="77777777" w:rsidR="006B3A17" w:rsidRDefault="005C32BE">
      <w:pPr>
        <w:jc w:val="both"/>
      </w:pPr>
      <w:r>
        <w:t>The source matrix will record provenance, claim context, relevant section, and limitation. Primark-owned material will be labelled as claim data: it shows what was communicated, not independent proof of environmental effect.</w:t>
      </w:r>
    </w:p>
    <w:p w14:paraId="14499745" w14:textId="77777777" w:rsidR="006B3A17" w:rsidRDefault="005C32BE">
      <w:pPr>
        <w:pStyle w:val="Heading2"/>
      </w:pPr>
      <w:r>
        <w:rPr>
          <w:rFonts w:ascii="Arial" w:eastAsia="Arial" w:hAnsi="Arial"/>
        </w:rPr>
        <w:t>Analysis procedure</w:t>
      </w:r>
    </w:p>
    <w:p w14:paraId="663CFDE4" w14:textId="77777777" w:rsidR="006B3A17" w:rsidRDefault="005C32BE">
      <w:pPr>
        <w:jc w:val="both"/>
      </w:pPr>
      <w:r>
        <w:t>Manual thematic analysis will follow the structured logic described by Braun and Clarke (2006): familiarisation with the corpus; initial coding; generation of candidate themes; review of themes; definition and naming of themes; and evidence-led reporting. A codebook will be maintained before and during analysis. It will include a deductive regulatory component and an inductive claim-framing component.</w:t>
      </w:r>
    </w:p>
    <w:tbl>
      <w:tblPr>
        <w:tblStyle w:val="TableGrid"/>
        <w:tblW w:w="9360" w:type="dxa"/>
        <w:tblInd w:w="120" w:type="dxa"/>
        <w:tblBorders>
          <w:top w:val="single" w:sz="4" w:space="0" w:color="B7B7B7"/>
          <w:left w:val="single" w:sz="4" w:space="0" w:color="B7B7B7"/>
          <w:bottom w:val="single" w:sz="4" w:space="0" w:color="B7B7B7"/>
          <w:right w:val="single" w:sz="4" w:space="0" w:color="B7B7B7"/>
          <w:insideH w:val="single" w:sz="4" w:space="0" w:color="B7B7B7"/>
          <w:insideV w:val="single" w:sz="4" w:space="0" w:color="B7B7B7"/>
        </w:tblBorders>
        <w:tblLayout w:type="fixed"/>
        <w:tblLook w:val="04A0" w:firstRow="1" w:lastRow="0" w:firstColumn="1" w:lastColumn="0" w:noHBand="0" w:noVBand="1"/>
      </w:tblPr>
      <w:tblGrid>
        <w:gridCol w:w="2088"/>
        <w:gridCol w:w="3960"/>
        <w:gridCol w:w="3312"/>
      </w:tblGrid>
      <w:tr w:rsidR="006B3A17" w14:paraId="01780D1B" w14:textId="77777777">
        <w:tc>
          <w:tcPr>
            <w:tcW w:w="2088" w:type="dxa"/>
            <w:tcMar>
              <w:top w:w="80" w:type="dxa"/>
              <w:left w:w="120" w:type="dxa"/>
              <w:bottom w:w="80" w:type="dxa"/>
              <w:right w:w="120" w:type="dxa"/>
            </w:tcMar>
          </w:tcPr>
          <w:p w14:paraId="4CE50D23" w14:textId="77777777" w:rsidR="006B3A17" w:rsidRDefault="005C32BE">
            <w:pPr>
              <w:spacing w:after="80" w:line="240" w:lineRule="auto"/>
            </w:pPr>
            <w:r>
              <w:rPr>
                <w:b/>
                <w:sz w:val="18"/>
              </w:rPr>
              <w:t>Coding family</w:t>
            </w:r>
          </w:p>
        </w:tc>
        <w:tc>
          <w:tcPr>
            <w:tcW w:w="3960" w:type="dxa"/>
            <w:tcMar>
              <w:top w:w="80" w:type="dxa"/>
              <w:left w:w="120" w:type="dxa"/>
              <w:bottom w:w="80" w:type="dxa"/>
              <w:right w:w="120" w:type="dxa"/>
            </w:tcMar>
          </w:tcPr>
          <w:p w14:paraId="0A35D47B" w14:textId="77777777" w:rsidR="006B3A17" w:rsidRDefault="005C32BE">
            <w:pPr>
              <w:spacing w:after="80" w:line="240" w:lineRule="auto"/>
            </w:pPr>
            <w:r>
              <w:rPr>
                <w:b/>
                <w:sz w:val="18"/>
              </w:rPr>
              <w:t>Illustrative indicators</w:t>
            </w:r>
          </w:p>
        </w:tc>
        <w:tc>
          <w:tcPr>
            <w:tcW w:w="3312" w:type="dxa"/>
            <w:tcMar>
              <w:top w:w="80" w:type="dxa"/>
              <w:left w:w="120" w:type="dxa"/>
              <w:bottom w:w="80" w:type="dxa"/>
              <w:right w:w="120" w:type="dxa"/>
            </w:tcMar>
          </w:tcPr>
          <w:p w14:paraId="4E252137" w14:textId="77777777" w:rsidR="006B3A17" w:rsidRDefault="005C32BE">
            <w:pPr>
              <w:spacing w:after="80" w:line="240" w:lineRule="auto"/>
            </w:pPr>
            <w:r>
              <w:rPr>
                <w:b/>
                <w:sz w:val="18"/>
              </w:rPr>
              <w:t>Analytical purpose</w:t>
            </w:r>
          </w:p>
        </w:tc>
      </w:tr>
      <w:tr w:rsidR="006B3A17" w14:paraId="2E01D139" w14:textId="77777777">
        <w:tc>
          <w:tcPr>
            <w:tcW w:w="2088" w:type="dxa"/>
          </w:tcPr>
          <w:p w14:paraId="759B7B47" w14:textId="77777777" w:rsidR="006B3A17" w:rsidRDefault="005C32BE">
            <w:pPr>
              <w:spacing w:after="80" w:line="240" w:lineRule="auto"/>
            </w:pPr>
            <w:r>
              <w:rPr>
                <w:sz w:val="18"/>
              </w:rPr>
              <w:t>Claim type</w:t>
            </w:r>
          </w:p>
        </w:tc>
        <w:tc>
          <w:tcPr>
            <w:tcW w:w="3960" w:type="dxa"/>
          </w:tcPr>
          <w:p w14:paraId="68D55504" w14:textId="77777777" w:rsidR="006B3A17" w:rsidRDefault="005C32BE">
            <w:pPr>
              <w:spacing w:after="80" w:line="240" w:lineRule="auto"/>
            </w:pPr>
            <w:r>
              <w:rPr>
                <w:sz w:val="18"/>
              </w:rPr>
              <w:t>material, packaging, circularity, climate, sourcing, target</w:t>
            </w:r>
          </w:p>
        </w:tc>
        <w:tc>
          <w:tcPr>
            <w:tcW w:w="3312" w:type="dxa"/>
          </w:tcPr>
          <w:p w14:paraId="5B2B7A5B" w14:textId="77777777" w:rsidR="006B3A17" w:rsidRDefault="005C32BE">
            <w:pPr>
              <w:spacing w:after="80" w:line="240" w:lineRule="auto"/>
            </w:pPr>
            <w:r>
              <w:rPr>
                <w:sz w:val="18"/>
              </w:rPr>
              <w:t>Addresses RQ1 by mapping the claim repertoire.</w:t>
            </w:r>
          </w:p>
        </w:tc>
      </w:tr>
      <w:tr w:rsidR="006B3A17" w14:paraId="1746D6EA" w14:textId="77777777">
        <w:tc>
          <w:tcPr>
            <w:tcW w:w="2088" w:type="dxa"/>
          </w:tcPr>
          <w:p w14:paraId="16C43B38" w14:textId="77777777" w:rsidR="006B3A17" w:rsidRDefault="005C32BE">
            <w:pPr>
              <w:spacing w:after="80" w:line="240" w:lineRule="auto"/>
            </w:pPr>
            <w:r>
              <w:rPr>
                <w:sz w:val="18"/>
              </w:rPr>
              <w:t>Claim framing</w:t>
            </w:r>
          </w:p>
        </w:tc>
        <w:tc>
          <w:tcPr>
            <w:tcW w:w="3960" w:type="dxa"/>
          </w:tcPr>
          <w:p w14:paraId="0120A013" w14:textId="77777777" w:rsidR="006B3A17" w:rsidRDefault="005C32BE">
            <w:pPr>
              <w:spacing w:after="80" w:line="240" w:lineRule="auto"/>
            </w:pPr>
            <w:r>
              <w:rPr>
                <w:sz w:val="18"/>
              </w:rPr>
              <w:t>broad or specific language, imagery, future orientation, moral or natural cues</w:t>
            </w:r>
          </w:p>
        </w:tc>
        <w:tc>
          <w:tcPr>
            <w:tcW w:w="3312" w:type="dxa"/>
          </w:tcPr>
          <w:p w14:paraId="5BA9AC60" w14:textId="77777777" w:rsidR="006B3A17" w:rsidRDefault="005C32BE">
            <w:pPr>
              <w:spacing w:after="80" w:line="240" w:lineRule="auto"/>
            </w:pPr>
            <w:r>
              <w:rPr>
                <w:sz w:val="18"/>
              </w:rPr>
              <w:t>Addresses RQ2 by examining how the claim is presented.</w:t>
            </w:r>
          </w:p>
        </w:tc>
      </w:tr>
      <w:tr w:rsidR="006B3A17" w14:paraId="1791B5D5" w14:textId="77777777">
        <w:tc>
          <w:tcPr>
            <w:tcW w:w="2088" w:type="dxa"/>
          </w:tcPr>
          <w:p w14:paraId="13AF8D80" w14:textId="77777777" w:rsidR="006B3A17" w:rsidRDefault="005C32BE">
            <w:pPr>
              <w:spacing w:after="80" w:line="240" w:lineRule="auto"/>
            </w:pPr>
            <w:r>
              <w:rPr>
                <w:sz w:val="18"/>
              </w:rPr>
              <w:t>Evidence and qualification</w:t>
            </w:r>
          </w:p>
        </w:tc>
        <w:tc>
          <w:tcPr>
            <w:tcW w:w="3960" w:type="dxa"/>
          </w:tcPr>
          <w:p w14:paraId="50D42DB5" w14:textId="77777777" w:rsidR="006B3A17" w:rsidRDefault="005C32BE">
            <w:pPr>
              <w:spacing w:after="80" w:line="240" w:lineRule="auto"/>
            </w:pPr>
            <w:r>
              <w:rPr>
                <w:sz w:val="18"/>
              </w:rPr>
              <w:t>metrics, methodology, certifications, caveats, scope statements, reporting basis</w:t>
            </w:r>
          </w:p>
        </w:tc>
        <w:tc>
          <w:tcPr>
            <w:tcW w:w="3312" w:type="dxa"/>
          </w:tcPr>
          <w:p w14:paraId="76EA5A28" w14:textId="77777777" w:rsidR="006B3A17" w:rsidRDefault="005C32BE">
            <w:pPr>
              <w:spacing w:after="80" w:line="240" w:lineRule="auto"/>
            </w:pPr>
            <w:r>
              <w:rPr>
                <w:sz w:val="18"/>
              </w:rPr>
              <w:t>Addresses RQ2 by identifying substantiation signals and limits.</w:t>
            </w:r>
          </w:p>
        </w:tc>
      </w:tr>
      <w:tr w:rsidR="006B3A17" w14:paraId="57E6C17A" w14:textId="77777777">
        <w:tc>
          <w:tcPr>
            <w:tcW w:w="2088" w:type="dxa"/>
          </w:tcPr>
          <w:p w14:paraId="4BF96540" w14:textId="77777777" w:rsidR="006B3A17" w:rsidRDefault="005C32BE">
            <w:pPr>
              <w:spacing w:after="80" w:line="240" w:lineRule="auto"/>
            </w:pPr>
            <w:r>
              <w:rPr>
                <w:sz w:val="18"/>
              </w:rPr>
              <w:t>Regulatory-risk lens</w:t>
            </w:r>
          </w:p>
        </w:tc>
        <w:tc>
          <w:tcPr>
            <w:tcW w:w="3960" w:type="dxa"/>
          </w:tcPr>
          <w:p w14:paraId="39AE1CEB" w14:textId="77777777" w:rsidR="006B3A17" w:rsidRDefault="005C32BE">
            <w:pPr>
              <w:spacing w:after="80" w:line="240" w:lineRule="auto"/>
            </w:pPr>
            <w:r>
              <w:rPr>
                <w:sz w:val="18"/>
              </w:rPr>
              <w:t>clarity, accuracy, omitted information, comparison, lifecycle, substantiation</w:t>
            </w:r>
          </w:p>
        </w:tc>
        <w:tc>
          <w:tcPr>
            <w:tcW w:w="3312" w:type="dxa"/>
          </w:tcPr>
          <w:p w14:paraId="679846F3" w14:textId="77777777" w:rsidR="006B3A17" w:rsidRDefault="005C32BE">
            <w:pPr>
              <w:spacing w:after="80" w:line="240" w:lineRule="auto"/>
            </w:pPr>
            <w:r>
              <w:rPr>
                <w:sz w:val="18"/>
              </w:rPr>
              <w:t>Addresses RQ3 without making a legal determination.</w:t>
            </w:r>
          </w:p>
        </w:tc>
      </w:tr>
      <w:tr w:rsidR="006B3A17" w14:paraId="26E241E9" w14:textId="77777777">
        <w:tc>
          <w:tcPr>
            <w:tcW w:w="2088" w:type="dxa"/>
          </w:tcPr>
          <w:p w14:paraId="4A99400F" w14:textId="77777777" w:rsidR="006B3A17" w:rsidRDefault="005C32BE">
            <w:pPr>
              <w:spacing w:after="80" w:line="240" w:lineRule="auto"/>
            </w:pPr>
            <w:r>
              <w:rPr>
                <w:sz w:val="18"/>
              </w:rPr>
              <w:t>Strategic implication</w:t>
            </w:r>
          </w:p>
        </w:tc>
        <w:tc>
          <w:tcPr>
            <w:tcW w:w="3960" w:type="dxa"/>
          </w:tcPr>
          <w:p w14:paraId="743B5803" w14:textId="77777777" w:rsidR="006B3A17" w:rsidRDefault="005C32BE">
            <w:pPr>
              <w:spacing w:after="80" w:line="240" w:lineRule="auto"/>
            </w:pPr>
            <w:r>
              <w:rPr>
                <w:sz w:val="18"/>
              </w:rPr>
              <w:t>recurring communication pattern, evidence gap, qualification, practical implication</w:t>
            </w:r>
          </w:p>
        </w:tc>
        <w:tc>
          <w:tcPr>
            <w:tcW w:w="3312" w:type="dxa"/>
          </w:tcPr>
          <w:p w14:paraId="23AC5FC1" w14:textId="77777777" w:rsidR="006B3A17" w:rsidRDefault="005C32BE">
            <w:pPr>
              <w:spacing w:after="80" w:line="240" w:lineRule="auto"/>
            </w:pPr>
            <w:r>
              <w:rPr>
                <w:sz w:val="18"/>
              </w:rPr>
              <w:t>Addresses RQ4.</w:t>
            </w:r>
          </w:p>
        </w:tc>
      </w:tr>
    </w:tbl>
    <w:p w14:paraId="51075678" w14:textId="77777777" w:rsidR="006B3A17" w:rsidRDefault="006B3A17"/>
    <w:p w14:paraId="218D16BB" w14:textId="77777777" w:rsidR="006B3A17" w:rsidRDefault="005C32BE">
      <w:pPr>
        <w:jc w:val="both"/>
      </w:pPr>
      <w:r>
        <w:t>The final analysis will examine recurring themes within the Primark case rather than rank companies as better or worse. Quality will be supported through a saved audit trail, transparent sampling, a claim ledger linking each important observation to evidence, and explicit separation of source statement, regulatory criterion, and researcher interpretation. The researcher will keep reflexive notes about assumptions, particularly when reading broad terms such as "sustainable", "green", or "responsible".</w:t>
      </w:r>
    </w:p>
    <w:p w14:paraId="3CADD54E" w14:textId="77777777" w:rsidR="006B3A17" w:rsidRDefault="005C32BE">
      <w:pPr>
        <w:pStyle w:val="Heading2"/>
      </w:pPr>
      <w:r>
        <w:rPr>
          <w:rFonts w:ascii="Arial" w:eastAsia="Arial" w:hAnsi="Arial"/>
        </w:rPr>
        <w:t>Limitations</w:t>
      </w:r>
    </w:p>
    <w:p w14:paraId="73DCF536" w14:textId="77777777" w:rsidR="006B3A17" w:rsidRDefault="005C32BE">
      <w:pPr>
        <w:jc w:val="both"/>
      </w:pPr>
      <w:r>
        <w:t>The study analyses communication rather than audited environmental performance and cannot statistically generalise. It will retain webpage extracts and use regulatory guidance only as a potential-risk framework, not evidence of a breach. These limits support transparent, non-accusatory interpretation.</w:t>
      </w:r>
    </w:p>
    <w:p w14:paraId="7EB81DB0" w14:textId="77777777" w:rsidR="006B3A17" w:rsidRDefault="005C32BE">
      <w:pPr>
        <w:pStyle w:val="Heading1"/>
      </w:pPr>
      <w:r>
        <w:rPr>
          <w:rFonts w:ascii="Arial" w:eastAsia="Arial" w:hAnsi="Arial"/>
        </w:rPr>
        <w:t>Ethics, Timetable and Expected Contribution</w:t>
      </w:r>
    </w:p>
    <w:p w14:paraId="7857D98D" w14:textId="77777777" w:rsidR="006B3A17" w:rsidRDefault="005C32BE">
      <w:pPr>
        <w:jc w:val="both"/>
      </w:pPr>
      <w:r>
        <w:t xml:space="preserve">The project is low-risk secondary research. It will use publicly available corporate, regulatory, academic, and independent documents, and will not recruit participants, collect personal data, access confidential information, conduct interviews, or use deception. Its main ethical consideration is reputational and interpretive accuracy. The study will avoid accusatory language, preserve source context, distinguish claims from verified facts, and present compliance risk as an analytical indicator rather than </w:t>
      </w:r>
      <w:r>
        <w:t>a legal conclusion. Documents and coding records will be stored in password-protected university-approved cloud storage and an encrypted device, with access limited to the researcher and supervisor. The ethics application follows the same title, aim, objectives, questions, data sources, manual analysis, and low-risk classification.</w:t>
      </w:r>
    </w:p>
    <w:tbl>
      <w:tblPr>
        <w:tblStyle w:val="TableGrid"/>
        <w:tblW w:w="9360" w:type="dxa"/>
        <w:tblInd w:w="120" w:type="dxa"/>
        <w:tblBorders>
          <w:top w:val="single" w:sz="4" w:space="0" w:color="B7B7B7"/>
          <w:left w:val="single" w:sz="4" w:space="0" w:color="B7B7B7"/>
          <w:bottom w:val="single" w:sz="4" w:space="0" w:color="B7B7B7"/>
          <w:right w:val="single" w:sz="4" w:space="0" w:color="B7B7B7"/>
          <w:insideH w:val="single" w:sz="4" w:space="0" w:color="B7B7B7"/>
          <w:insideV w:val="single" w:sz="4" w:space="0" w:color="B7B7B7"/>
        </w:tblBorders>
        <w:tblLayout w:type="fixed"/>
        <w:tblLook w:val="04A0" w:firstRow="1" w:lastRow="0" w:firstColumn="1" w:lastColumn="0" w:noHBand="0" w:noVBand="1"/>
      </w:tblPr>
      <w:tblGrid>
        <w:gridCol w:w="2088"/>
        <w:gridCol w:w="3960"/>
        <w:gridCol w:w="3312"/>
      </w:tblGrid>
      <w:tr w:rsidR="006B3A17" w14:paraId="644ADE6E" w14:textId="77777777">
        <w:tc>
          <w:tcPr>
            <w:tcW w:w="2088" w:type="dxa"/>
            <w:tcMar>
              <w:top w:w="80" w:type="dxa"/>
              <w:left w:w="120" w:type="dxa"/>
              <w:bottom w:w="80" w:type="dxa"/>
              <w:right w:w="120" w:type="dxa"/>
            </w:tcMar>
          </w:tcPr>
          <w:p w14:paraId="5D41F6B9" w14:textId="77777777" w:rsidR="006B3A17" w:rsidRDefault="005C32BE">
            <w:pPr>
              <w:spacing w:after="80" w:line="240" w:lineRule="auto"/>
            </w:pPr>
            <w:r>
              <w:rPr>
                <w:b/>
                <w:sz w:val="18"/>
              </w:rPr>
              <w:t>Project phase</w:t>
            </w:r>
          </w:p>
        </w:tc>
        <w:tc>
          <w:tcPr>
            <w:tcW w:w="3960" w:type="dxa"/>
            <w:tcMar>
              <w:top w:w="80" w:type="dxa"/>
              <w:left w:w="120" w:type="dxa"/>
              <w:bottom w:w="80" w:type="dxa"/>
              <w:right w:w="120" w:type="dxa"/>
            </w:tcMar>
          </w:tcPr>
          <w:p w14:paraId="46A304D4" w14:textId="77777777" w:rsidR="006B3A17" w:rsidRDefault="005C32BE">
            <w:pPr>
              <w:spacing w:after="80" w:line="240" w:lineRule="auto"/>
            </w:pPr>
            <w:r>
              <w:rPr>
                <w:b/>
                <w:sz w:val="18"/>
              </w:rPr>
              <w:t>Project sequence</w:t>
            </w:r>
          </w:p>
        </w:tc>
        <w:tc>
          <w:tcPr>
            <w:tcW w:w="3312" w:type="dxa"/>
            <w:tcMar>
              <w:top w:w="80" w:type="dxa"/>
              <w:left w:w="120" w:type="dxa"/>
              <w:bottom w:w="80" w:type="dxa"/>
              <w:right w:w="120" w:type="dxa"/>
            </w:tcMar>
          </w:tcPr>
          <w:p w14:paraId="76FD08E3" w14:textId="77777777" w:rsidR="006B3A17" w:rsidRDefault="005C32BE">
            <w:pPr>
              <w:spacing w:after="80" w:line="240" w:lineRule="auto"/>
            </w:pPr>
            <w:r>
              <w:rPr>
                <w:b/>
                <w:sz w:val="18"/>
              </w:rPr>
              <w:t>Output</w:t>
            </w:r>
          </w:p>
        </w:tc>
      </w:tr>
      <w:tr w:rsidR="006B3A17" w14:paraId="3184CB79" w14:textId="77777777">
        <w:tc>
          <w:tcPr>
            <w:tcW w:w="2088" w:type="dxa"/>
          </w:tcPr>
          <w:p w14:paraId="27440671" w14:textId="77777777" w:rsidR="006B3A17" w:rsidRDefault="005C32BE">
            <w:pPr>
              <w:spacing w:after="80" w:line="240" w:lineRule="auto"/>
            </w:pPr>
            <w:r>
              <w:rPr>
                <w:sz w:val="18"/>
              </w:rPr>
              <w:t>Finalise protocol and corpus criteria</w:t>
            </w:r>
          </w:p>
        </w:tc>
        <w:tc>
          <w:tcPr>
            <w:tcW w:w="3960" w:type="dxa"/>
          </w:tcPr>
          <w:p w14:paraId="77B7E6C7" w14:textId="77777777" w:rsidR="006B3A17" w:rsidRDefault="005C32BE">
            <w:pPr>
              <w:spacing w:after="80" w:line="240" w:lineRule="auto"/>
            </w:pPr>
            <w:r>
              <w:rPr>
                <w:sz w:val="18"/>
              </w:rPr>
              <w:t>First</w:t>
            </w:r>
          </w:p>
        </w:tc>
        <w:tc>
          <w:tcPr>
            <w:tcW w:w="3312" w:type="dxa"/>
          </w:tcPr>
          <w:p w14:paraId="651D564E" w14:textId="77777777" w:rsidR="006B3A17" w:rsidRDefault="005C32BE">
            <w:pPr>
              <w:spacing w:after="80" w:line="240" w:lineRule="auto"/>
            </w:pPr>
            <w:r>
              <w:rPr>
                <w:sz w:val="18"/>
              </w:rPr>
              <w:t>Registered source plan and sampling log</w:t>
            </w:r>
          </w:p>
        </w:tc>
      </w:tr>
      <w:tr w:rsidR="006B3A17" w14:paraId="720ADAAB" w14:textId="77777777">
        <w:tc>
          <w:tcPr>
            <w:tcW w:w="2088" w:type="dxa"/>
          </w:tcPr>
          <w:p w14:paraId="4E7EB254" w14:textId="77777777" w:rsidR="006B3A17" w:rsidRDefault="005C32BE">
            <w:pPr>
              <w:spacing w:after="80" w:line="240" w:lineRule="auto"/>
            </w:pPr>
            <w:r>
              <w:rPr>
                <w:sz w:val="18"/>
              </w:rPr>
              <w:t>Collect and verify documents</w:t>
            </w:r>
          </w:p>
        </w:tc>
        <w:tc>
          <w:tcPr>
            <w:tcW w:w="3960" w:type="dxa"/>
          </w:tcPr>
          <w:p w14:paraId="6D8C2465" w14:textId="77777777" w:rsidR="006B3A17" w:rsidRDefault="005C32BE">
            <w:pPr>
              <w:spacing w:after="80" w:line="240" w:lineRule="auto"/>
            </w:pPr>
            <w:r>
              <w:rPr>
                <w:sz w:val="18"/>
              </w:rPr>
              <w:t>Next</w:t>
            </w:r>
          </w:p>
        </w:tc>
        <w:tc>
          <w:tcPr>
            <w:tcW w:w="3312" w:type="dxa"/>
          </w:tcPr>
          <w:p w14:paraId="345D1567" w14:textId="77777777" w:rsidR="006B3A17" w:rsidRDefault="005C32BE">
            <w:pPr>
              <w:spacing w:after="80" w:line="240" w:lineRule="auto"/>
            </w:pPr>
            <w:r>
              <w:rPr>
                <w:sz w:val="18"/>
              </w:rPr>
              <w:t>Source matrix and evidence bank</w:t>
            </w:r>
          </w:p>
        </w:tc>
      </w:tr>
      <w:tr w:rsidR="006B3A17" w14:paraId="560F1FD4" w14:textId="77777777">
        <w:tc>
          <w:tcPr>
            <w:tcW w:w="2088" w:type="dxa"/>
          </w:tcPr>
          <w:p w14:paraId="2573D28D" w14:textId="77777777" w:rsidR="006B3A17" w:rsidRDefault="005C32BE">
            <w:pPr>
              <w:spacing w:after="80" w:line="240" w:lineRule="auto"/>
            </w:pPr>
            <w:r>
              <w:rPr>
                <w:sz w:val="18"/>
              </w:rPr>
              <w:t>Manual coding and theme development</w:t>
            </w:r>
          </w:p>
        </w:tc>
        <w:tc>
          <w:tcPr>
            <w:tcW w:w="3960" w:type="dxa"/>
          </w:tcPr>
          <w:p w14:paraId="67612B6F" w14:textId="77777777" w:rsidR="006B3A17" w:rsidRDefault="005C32BE">
            <w:pPr>
              <w:spacing w:after="80" w:line="240" w:lineRule="auto"/>
            </w:pPr>
            <w:r>
              <w:rPr>
                <w:sz w:val="18"/>
              </w:rPr>
              <w:t>Then</w:t>
            </w:r>
          </w:p>
        </w:tc>
        <w:tc>
          <w:tcPr>
            <w:tcW w:w="3312" w:type="dxa"/>
          </w:tcPr>
          <w:p w14:paraId="15CC34B7" w14:textId="77777777" w:rsidR="006B3A17" w:rsidRDefault="005C32BE">
            <w:pPr>
              <w:spacing w:after="80" w:line="240" w:lineRule="auto"/>
            </w:pPr>
            <w:r>
              <w:rPr>
                <w:sz w:val="18"/>
              </w:rPr>
              <w:t>Codebook, theme map, reflexive notes</w:t>
            </w:r>
          </w:p>
        </w:tc>
      </w:tr>
      <w:tr w:rsidR="006B3A17" w14:paraId="000711FD" w14:textId="77777777">
        <w:tc>
          <w:tcPr>
            <w:tcW w:w="2088" w:type="dxa"/>
          </w:tcPr>
          <w:p w14:paraId="1D44EF92" w14:textId="77777777" w:rsidR="006B3A17" w:rsidRDefault="005C32BE">
            <w:pPr>
              <w:spacing w:after="80" w:line="240" w:lineRule="auto"/>
            </w:pPr>
            <w:r>
              <w:rPr>
                <w:sz w:val="18"/>
              </w:rPr>
              <w:t>Findings and discussion</w:t>
            </w:r>
          </w:p>
        </w:tc>
        <w:tc>
          <w:tcPr>
            <w:tcW w:w="3960" w:type="dxa"/>
          </w:tcPr>
          <w:p w14:paraId="78A76890" w14:textId="77777777" w:rsidR="006B3A17" w:rsidRDefault="005C32BE">
            <w:pPr>
              <w:spacing w:after="80" w:line="240" w:lineRule="auto"/>
            </w:pPr>
            <w:r>
              <w:rPr>
                <w:sz w:val="18"/>
              </w:rPr>
              <w:t>After coding</w:t>
            </w:r>
          </w:p>
        </w:tc>
        <w:tc>
          <w:tcPr>
            <w:tcW w:w="3312" w:type="dxa"/>
          </w:tcPr>
          <w:p w14:paraId="496342D0" w14:textId="77777777" w:rsidR="006B3A17" w:rsidRDefault="005C32BE">
            <w:pPr>
              <w:spacing w:after="80" w:line="240" w:lineRule="auto"/>
            </w:pPr>
            <w:r>
              <w:rPr>
                <w:sz w:val="18"/>
              </w:rPr>
              <w:t>Findings matrix and objective-response map</w:t>
            </w:r>
          </w:p>
        </w:tc>
      </w:tr>
      <w:tr w:rsidR="006B3A17" w14:paraId="2D090EC3" w14:textId="77777777">
        <w:tc>
          <w:tcPr>
            <w:tcW w:w="2088" w:type="dxa"/>
          </w:tcPr>
          <w:p w14:paraId="2A49C405" w14:textId="77777777" w:rsidR="006B3A17" w:rsidRDefault="005C32BE">
            <w:pPr>
              <w:spacing w:after="80" w:line="240" w:lineRule="auto"/>
            </w:pPr>
            <w:r>
              <w:rPr>
                <w:sz w:val="18"/>
              </w:rPr>
              <w:t>Write, review, and revise dissertation chapters</w:t>
            </w:r>
          </w:p>
        </w:tc>
        <w:tc>
          <w:tcPr>
            <w:tcW w:w="3960" w:type="dxa"/>
          </w:tcPr>
          <w:p w14:paraId="6AF1B4A1" w14:textId="77777777" w:rsidR="006B3A17" w:rsidRDefault="005C32BE">
            <w:pPr>
              <w:spacing w:after="80" w:line="240" w:lineRule="auto"/>
            </w:pPr>
            <w:r>
              <w:rPr>
                <w:sz w:val="18"/>
              </w:rPr>
              <w:t>Final stage</w:t>
            </w:r>
          </w:p>
        </w:tc>
        <w:tc>
          <w:tcPr>
            <w:tcW w:w="3312" w:type="dxa"/>
          </w:tcPr>
          <w:p w14:paraId="55AB7089" w14:textId="77777777" w:rsidR="006B3A17" w:rsidRDefault="005C32BE">
            <w:pPr>
              <w:spacing w:after="80" w:line="240" w:lineRule="auto"/>
            </w:pPr>
            <w:r>
              <w:rPr>
                <w:sz w:val="18"/>
              </w:rPr>
              <w:t>Referenced chapters and audit trail</w:t>
            </w:r>
          </w:p>
        </w:tc>
      </w:tr>
    </w:tbl>
    <w:p w14:paraId="4F882442" w14:textId="77777777" w:rsidR="006B3A17" w:rsidRDefault="006B3A17"/>
    <w:p w14:paraId="34E3D484" w14:textId="77777777" w:rsidR="006B3A17" w:rsidRDefault="005C32BE">
      <w:pPr>
        <w:jc w:val="both"/>
      </w:pPr>
      <w:r>
        <w:t>The expected contribution is a usable management framework that links sustainability marketing language to the evidence and qualifications needed to communicate more responsibly. For scholars, the research provides a bounded single-company example of how public documents can be analysed thematically through a claim-evidence-regulation lens. For practitioners, it highlights the practical value of making the basis, scope, timeframe, and substantiation of environmental claims visible to consumers.</w:t>
      </w:r>
    </w:p>
    <w:p w14:paraId="235C8BF2" w14:textId="77777777" w:rsidR="006B3A17" w:rsidRDefault="005C32BE">
      <w:r>
        <w:br w:type="page"/>
      </w:r>
    </w:p>
    <w:p w14:paraId="30717B09" w14:textId="77777777" w:rsidR="006B3A17" w:rsidRDefault="005C32BE">
      <w:pPr>
        <w:pStyle w:val="Heading1"/>
      </w:pPr>
      <w:r>
        <w:rPr>
          <w:rFonts w:ascii="Arial" w:eastAsia="Arial" w:hAnsi="Arial"/>
        </w:rPr>
        <w:t>References</w:t>
      </w:r>
    </w:p>
    <w:p w14:paraId="0C89E3FC" w14:textId="77777777" w:rsidR="006B3A17" w:rsidRDefault="005C32BE">
      <w:pPr>
        <w:jc w:val="both"/>
      </w:pPr>
      <w:r>
        <w:t>Advertising Standards Authority (ASA) (n.d.) Environmental claims: CAP Code Section 11. Available at: https://www.asa.org.uk/type/non_broadcast/code_section/11.html (Accessed: 10 July 2026).</w:t>
      </w:r>
    </w:p>
    <w:p w14:paraId="20FBFA9D" w14:textId="77777777" w:rsidR="006B3A17" w:rsidRDefault="005C32BE">
      <w:pPr>
        <w:jc w:val="both"/>
      </w:pPr>
      <w:r>
        <w:t>Braun, V. and Clarke, V. (2006) 'Using thematic analysis in psychology', Qualitative Research in Psychology, 3(2), pp. 77-101. Available at: https://doi.org/10.1191/1478088706qp063oa.</w:t>
      </w:r>
    </w:p>
    <w:p w14:paraId="7DCA181F" w14:textId="77777777" w:rsidR="006B3A17" w:rsidRDefault="005C32BE">
      <w:pPr>
        <w:jc w:val="both"/>
      </w:pPr>
      <w:r>
        <w:t>Bowen, G.A. (2009) 'Document analysis as a qualitative research method', Qualitative Research Journal, 9(2), pp. 27-40. Available at: https://doi.org/10.3316/QRJ0902027.</w:t>
      </w:r>
    </w:p>
    <w:p w14:paraId="4D0C5B37" w14:textId="77777777" w:rsidR="006B3A17" w:rsidRDefault="005C32BE">
      <w:pPr>
        <w:jc w:val="both"/>
      </w:pPr>
      <w:r>
        <w:t>Competition and Markets Authority (CMA) (2021) Green Claims Code: making environmental claims. Available at: https://www.gov.uk/government/publications/green-claims-code-making-environmental-claims (Accessed: 10 July 2026).</w:t>
      </w:r>
    </w:p>
    <w:p w14:paraId="6E1433DB" w14:textId="77777777" w:rsidR="006B3A17" w:rsidRDefault="005C32BE">
      <w:pPr>
        <w:jc w:val="both"/>
      </w:pPr>
      <w:r>
        <w:t>de Freitas Netto, S.V., Sobral, M.F.F., Ribeiro, A.R.B. and Soares, G.R. da L. (2020) 'Concepts and forms of greenwashing: a systematic review', Environmental Sciences Europe, 32, article 19. Available at: https://doi.org/10.1186/s12302-020-0300-3.</w:t>
      </w:r>
    </w:p>
    <w:p w14:paraId="18164176" w14:textId="77777777" w:rsidR="006B3A17" w:rsidRDefault="005C32BE">
      <w:pPr>
        <w:jc w:val="both"/>
      </w:pPr>
      <w:r>
        <w:t>Delmas, M.A. and Burbano, V.C. (2011) 'The drivers of greenwashing', California Management Review, 54(1), pp. 64-87. Available at: https://doi.org/10.1525/cmr.2011.54.1.64.</w:t>
      </w:r>
    </w:p>
    <w:p w14:paraId="28DA0ABC" w14:textId="77777777" w:rsidR="006B3A17" w:rsidRDefault="005C32BE">
      <w:pPr>
        <w:jc w:val="both"/>
      </w:pPr>
      <w:r>
        <w:t>Lyon, T.P. and Montgomery, A.W. (2015) 'The means and end of greenwash', Organization and Environment, 28(2), pp. 223-249. Available at: https://doi.org/10.1177/1086026615575332.</w:t>
      </w:r>
    </w:p>
    <w:p w14:paraId="4FDA90FB" w14:textId="77777777" w:rsidR="006B3A17" w:rsidRDefault="005C32BE">
      <w:pPr>
        <w:jc w:val="both"/>
      </w:pPr>
      <w:r>
        <w:t>Nyilasy, G., Gangadharbatla, H. and Paladino, A. (2014) 'Perceived greenwashing: the interactive effects of green advertising and corporate environmental performance on consumer reactions', Journal of Business Ethics, 125(4), pp. 693-707. Available at: https://doi.org/10.1007/s10551-013-1944-3.</w:t>
      </w:r>
    </w:p>
    <w:p w14:paraId="0EF8E05A" w14:textId="77777777" w:rsidR="006B3A17" w:rsidRDefault="005C32BE">
      <w:pPr>
        <w:jc w:val="both"/>
      </w:pPr>
      <w:r>
        <w:t>Primark (2025) Reports. Available at: https://corporate.primark.com/en-gb/policies-and-reports/reports (Accessed: 10 July 2026).</w:t>
      </w:r>
    </w:p>
    <w:p w14:paraId="7CC39723" w14:textId="77777777" w:rsidR="006B3A17" w:rsidRDefault="005C32BE">
      <w:pPr>
        <w:jc w:val="both"/>
      </w:pPr>
      <w:r>
        <w:t>Seele, P. and Gatti, L. (2017) 'Greenwashing revisited: in search of a typology and accusation-based definition incorporating legitimacy strategies', Business Strategy and the Environment, 26(2), pp. 239-252. Available at: https://doi.org/10.1002/bse.1912.</w:t>
      </w:r>
    </w:p>
    <w:sectPr w:rsidR="006B3A17" w:rsidSect="00034616">
      <w:pgSz w:w="12240" w:h="15840"/>
      <w:pgMar w:top="1080" w:right="1152" w:bottom="1080"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618686247">
    <w:abstractNumId w:val="8"/>
  </w:num>
  <w:num w:numId="2" w16cid:durableId="994333793">
    <w:abstractNumId w:val="6"/>
  </w:num>
  <w:num w:numId="3" w16cid:durableId="552810746">
    <w:abstractNumId w:val="5"/>
  </w:num>
  <w:num w:numId="4" w16cid:durableId="353894600">
    <w:abstractNumId w:val="4"/>
  </w:num>
  <w:num w:numId="5" w16cid:durableId="2011325361">
    <w:abstractNumId w:val="7"/>
  </w:num>
  <w:num w:numId="6" w16cid:durableId="635335596">
    <w:abstractNumId w:val="3"/>
  </w:num>
  <w:num w:numId="7" w16cid:durableId="2024431595">
    <w:abstractNumId w:val="2"/>
  </w:num>
  <w:num w:numId="8" w16cid:durableId="981076213">
    <w:abstractNumId w:val="1"/>
  </w:num>
  <w:num w:numId="9" w16cid:durableId="6432389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5C32BE"/>
    <w:rsid w:val="006B3A17"/>
    <w:rsid w:val="00AA1D8D"/>
    <w:rsid w:val="00B47730"/>
    <w:rsid w:val="00CB0664"/>
    <w:rsid w:val="00D0154A"/>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5318124"/>
  <w14:defaultImageDpi w14:val="300"/>
  <w15:docId w15:val="{489CFA79-07CC-234A-9211-9805E01E4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360" w:lineRule="auto"/>
    </w:pPr>
    <w:rPr>
      <w:rFonts w:ascii="Arial" w:eastAsia="Arial" w:hAnsi="Arial"/>
      <w:sz w:val="24"/>
    </w:rPr>
  </w:style>
  <w:style w:type="paragraph" w:styleId="Heading1">
    <w:name w:val="heading 1"/>
    <w:basedOn w:val="Normal"/>
    <w:next w:val="Normal"/>
    <w:link w:val="Heading1Char"/>
    <w:uiPriority w:val="9"/>
    <w:qFormat/>
    <w:rsid w:val="00FC693F"/>
    <w:pPr>
      <w:keepNext/>
      <w:keepLines/>
      <w:spacing w:before="360" w:after="20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40"/>
      <w:outlineLvl w:val="1"/>
    </w:pPr>
    <w:rPr>
      <w:rFonts w:asciiTheme="majorHAnsi" w:eastAsiaTheme="majorEastAsia" w:hAnsiTheme="majorHAnsi" w:cstheme="majorBidi"/>
      <w:b/>
      <w:bCs/>
      <w:color w:val="4F81BD" w:themeColor="accent1"/>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 /><Relationship Id="rId7"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ntTable" Target="fontTable.xml" /><Relationship Id="rId5" Type="http://schemas.openxmlformats.org/officeDocument/2006/relationships/webSettings" Target="webSettings.xml" /><Relationship Id="rId4"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2601</Words>
  <Characters>14830</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17397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Evaluating Sustainability &amp; Green Marketing Strategy Claims: The Case of Primark</dc:title>
  <dc:subject>LCMB7035 Dissertation Research Proposal</dc:subject>
  <dc:creator>Md Faisal Miah</dc:creator>
  <cp:keywords/>
  <cp:lastModifiedBy>Faisal Ahmed</cp:lastModifiedBy>
  <cp:revision>2</cp:revision>
  <dcterms:created xsi:type="dcterms:W3CDTF">2026-07-15T23:42:00Z</dcterms:created>
  <dcterms:modified xsi:type="dcterms:W3CDTF">2026-07-15T23:42:00Z</dcterms:modified>
  <cp:category/>
</cp:coreProperties>
</file>