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s="Times New Roman"/>
          <w:b/>
          <w:bCs/>
          <w:sz w:val="32"/>
          <w:szCs w:val="32"/>
        </w:rPr>
      </w:pPr>
      <w:r>
        <w:rPr>
          <w:rFonts w:ascii="Times New Roman" w:hAnsi="Times New Roman" w:cs="Times New Roman"/>
          <w:b/>
          <w:bCs/>
          <w:sz w:val="32"/>
          <w:szCs w:val="32"/>
        </w:rPr>
        <w:t>Learning and Development Model at Santander</w:t>
      </w:r>
    </w:p>
    <w:p>
      <w:pPr>
        <w:jc w:val="center"/>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 xml:space="preserve">Name：Chengfeng zhou </w:t>
      </w:r>
    </w:p>
    <w:p>
      <w:pPr>
        <w:jc w:val="center"/>
        <w:rPr>
          <w:rFonts w:hint="eastAsia" w:ascii="Times New Roman" w:hAnsi="Times New Roman" w:eastAsia="宋体" w:cs="Times New Roman"/>
          <w:b/>
          <w:bCs/>
          <w:sz w:val="28"/>
          <w:szCs w:val="28"/>
          <w:lang w:val="en-US" w:eastAsia="zh-CN"/>
        </w:rPr>
      </w:pPr>
      <w:r>
        <w:rPr>
          <w:rFonts w:hint="eastAsia" w:ascii="Times New Roman" w:hAnsi="Times New Roman" w:eastAsia="宋体" w:cs="Times New Roman"/>
          <w:b/>
          <w:bCs/>
          <w:sz w:val="28"/>
          <w:szCs w:val="28"/>
          <w:lang w:val="en-US" w:eastAsia="zh-CN"/>
        </w:rPr>
        <w:t>ID:2206399</w:t>
      </w:r>
    </w:p>
    <w:p>
      <w:pPr>
        <w:jc w:val="center"/>
        <w:rPr>
          <w:rFonts w:hint="default" w:ascii="Times New Roman" w:hAnsi="Times New Roman" w:eastAsia="宋体" w:cs="Times New Roman"/>
          <w:b/>
          <w:bCs/>
          <w:sz w:val="28"/>
          <w:szCs w:val="28"/>
          <w:lang w:val="en-US" w:eastAsia="zh-CN"/>
        </w:rPr>
      </w:pPr>
      <w:r>
        <w:rPr>
          <w:rFonts w:hint="default" w:ascii="Times New Roman" w:hAnsi="Times New Roman" w:eastAsia="宋体" w:cs="Times New Roman"/>
          <w:b/>
          <w:bCs/>
          <w:sz w:val="28"/>
          <w:szCs w:val="28"/>
          <w:lang w:val="en-US" w:eastAsia="zh-CN"/>
        </w:rPr>
        <w:fldChar w:fldCharType="begin"/>
      </w:r>
      <w:r>
        <w:rPr>
          <w:rFonts w:hint="default" w:ascii="Times New Roman" w:hAnsi="Times New Roman" w:eastAsia="宋体" w:cs="Times New Roman"/>
          <w:b/>
          <w:bCs/>
          <w:sz w:val="28"/>
          <w:szCs w:val="28"/>
          <w:lang w:val="en-US" w:eastAsia="zh-CN"/>
        </w:rPr>
        <w:instrText xml:space="preserve"> HYPERLINK "https://uowtsd-my.sharepoint.com/:v:/r/personal/2106011_student_uwtsd_ac_uk/Documents/Recordings/%E4%B8%8E%20Chengfeng%20Zhou%20(2206399)%20%E4%BC%9A%E9%9D%A2-20230503_051611-%E4%BC%9A%E8%AE%AE%E8%AE%B0%E5%BD%95.mp4?csf=1&amp;web=1&amp;e=4ehdZ0" </w:instrText>
      </w:r>
      <w:r>
        <w:rPr>
          <w:rFonts w:hint="default" w:ascii="Times New Roman" w:hAnsi="Times New Roman" w:eastAsia="宋体" w:cs="Times New Roman"/>
          <w:b/>
          <w:bCs/>
          <w:sz w:val="28"/>
          <w:szCs w:val="28"/>
          <w:lang w:val="en-US" w:eastAsia="zh-CN"/>
        </w:rPr>
        <w:fldChar w:fldCharType="separate"/>
      </w:r>
      <w:r>
        <w:rPr>
          <w:rStyle w:val="5"/>
          <w:rFonts w:hint="default" w:ascii="Times New Roman" w:hAnsi="Times New Roman" w:eastAsia="宋体" w:cs="Times New Roman"/>
          <w:b/>
          <w:bCs/>
          <w:sz w:val="28"/>
          <w:szCs w:val="28"/>
          <w:lang w:val="en-US" w:eastAsia="zh-CN"/>
        </w:rPr>
        <w:t>https://uowtsd-my.sharepoint.com/:v:/r/personal/2106011_student_uwtsd_ac_uk/Documents/Recordings/%E4%B8%8E%20Chengfeng%20Zhou%20(2206399)%20%E4%BC%9A%E9%9D%A2-20230503_051611-%E4%BC%9A%E8%AE%AE%E8%AE%B0%E5%BD%95.mp4?csf=1&amp;web=1&amp;e=4ehdZ0</w:t>
      </w:r>
      <w:r>
        <w:rPr>
          <w:rFonts w:hint="default" w:ascii="Times New Roman" w:hAnsi="Times New Roman" w:eastAsia="宋体" w:cs="Times New Roman"/>
          <w:b/>
          <w:bCs/>
          <w:sz w:val="28"/>
          <w:szCs w:val="28"/>
          <w:lang w:val="en-US" w:eastAsia="zh-CN"/>
        </w:rPr>
        <w:fldChar w:fldCharType="end"/>
      </w:r>
      <w:bookmarkStart w:id="0" w:name="_GoBack"/>
      <w:bookmarkEnd w:id="0"/>
    </w:p>
    <w:p>
      <w:pPr>
        <w:spacing w:line="360" w:lineRule="auto"/>
        <w:rPr>
          <w:rFonts w:ascii="Times New Roman" w:hAnsi="Times New Roman" w:cs="Times New Roman"/>
          <w:b/>
          <w:bCs/>
          <w:sz w:val="24"/>
          <w:szCs w:val="24"/>
        </w:rPr>
      </w:pPr>
      <w:r>
        <w:rPr>
          <w:rFonts w:ascii="Times New Roman" w:hAnsi="Times New Roman" w:cs="Times New Roman"/>
          <w:b/>
          <w:bCs/>
          <w:sz w:val="24"/>
          <w:szCs w:val="24"/>
        </w:rPr>
        <w:t>Analysis based on needs</w:t>
      </w:r>
    </w:p>
    <w:p>
      <w:pPr>
        <w:spacing w:line="360" w:lineRule="auto"/>
        <w:rPr>
          <w:rFonts w:ascii="Times New Roman" w:hAnsi="Times New Roman" w:cs="Times New Roman"/>
          <w:sz w:val="24"/>
          <w:szCs w:val="24"/>
        </w:rPr>
      </w:pPr>
      <w:r>
        <w:rPr>
          <w:rFonts w:ascii="Times New Roman" w:hAnsi="Times New Roman" w:cs="Times New Roman"/>
          <w:sz w:val="24"/>
          <w:szCs w:val="24"/>
        </w:rPr>
        <w:t>This section begins with an analysis of the needs of the financial services sector, as that is the sector which Santander belongs to. Based on an article contributed by Marr (2022) for Forbes, the biggest trends in the financial sector can be stated as follows. Firstly, digital money, a form of currency that only exists electronically. It includes credit cards, mobile apps, online banking, cryptocurrency, and such. Digital money has become prominent in use after the COVID-19 pandemic. An increase in the demand for digital money is likely to lead to an increase in demand for services pertaining to digital money.</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second trend is the disappearance of physical currency, which can be considered as a consequence of the rising popularity of digital money. Marr (2022) states that nearly six hundred currencies have disappeared in the last thirty years and have been replaced with digital currency. Financial institutions must be prepared for an economy where physical currency does not exist. The third trend is the increase in the use of finance apps, such as the use of digital wallets and such. It must be noted that these services are not offered by banks but by technology companies. This will be having an impact on banks and the financial sector in the future. Lastly, consumer expectations are evolving to be more personalized. AI tools have been invented that study the spending patterns of customers and provide customer services. Therefore, the banking and finance sector can anticipate an increase in demand for intelligence-based services. </w:t>
      </w:r>
    </w:p>
    <w:p>
      <w:pPr>
        <w:spacing w:line="360" w:lineRule="auto"/>
        <w:rPr>
          <w:rFonts w:ascii="Times New Roman" w:hAnsi="Times New Roman" w:cs="Times New Roman"/>
          <w:sz w:val="24"/>
          <w:szCs w:val="24"/>
        </w:rPr>
      </w:pPr>
      <w:r>
        <w:rPr>
          <w:rFonts w:ascii="Times New Roman" w:hAnsi="Times New Roman" w:cs="Times New Roman"/>
          <w:sz w:val="24"/>
          <w:szCs w:val="24"/>
        </w:rPr>
        <w:t>Deloitte also released an article discussing the needs of the financial sector and states the following points. They stated that the financial services sector can gain great profits by addressing major societal issues, they must build their databases and access to data in order to meet the demands of the customers, they must provide customized services to customers and they must be prepared for fintech companies to compete with them by being more innovative (O’Reilly et al., 2021). The article adds that the role of financial service providers will include facilitating optimized change, providing secure and enhancing storage for wealth, reducing and preventing risk and damage, expanding access to investments, and advising and rebuilding trust and confidence in institutions.</w:t>
      </w:r>
    </w:p>
    <w:p>
      <w:pPr>
        <w:spacing w:line="360" w:lineRule="auto"/>
        <w:rPr>
          <w:rFonts w:ascii="Times New Roman" w:hAnsi="Times New Roman" w:cs="Times New Roman"/>
          <w:sz w:val="24"/>
          <w:szCs w:val="24"/>
        </w:rPr>
      </w:pPr>
      <w:r>
        <w:rPr>
          <w:rFonts w:ascii="Times New Roman" w:hAnsi="Times New Roman" w:cs="Times New Roman"/>
          <w:sz w:val="24"/>
          <w:szCs w:val="24"/>
        </w:rPr>
        <w:t>Comparing these needs of the industry to the current learning and development model of Santander, it can be stated that learning and development are crucial for the organization as there is an increasing need for innovation in the sector which can only be achieved through greater access to learning. Santander provides access to various courses for learning and development, through their Mio platform, which pertains to the work of the employee while also giving them access to resources pertaining to roles that they are hopeful to take upon themselves. Access to such resources is crucial to inculcate innovation.</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Santander can however provide their employees with greater access to resources and opportunities to learn. The curriculum of the skill development program in Santander pertains to the various roles in the organization, and in special cases expanded to include economic and financial knowledge courses. The economic and finance courses can be made necessary for everyone, as well as a course on fintech and digital currency. It is essential for employees to learn about these concepts to be able to deal with any future challenges being faced by the organization. </w:t>
      </w:r>
    </w:p>
    <w:p>
      <w:pPr>
        <w:spacing w:line="360" w:lineRule="auto"/>
        <w:rPr>
          <w:rFonts w:ascii="Times New Roman" w:hAnsi="Times New Roman" w:cs="Times New Roman"/>
          <w:b/>
          <w:bCs/>
          <w:sz w:val="24"/>
          <w:szCs w:val="24"/>
        </w:rPr>
      </w:pPr>
      <w:r>
        <w:rPr>
          <w:rFonts w:ascii="Times New Roman" w:hAnsi="Times New Roman" w:cs="Times New Roman"/>
          <w:b/>
          <w:bCs/>
          <w:sz w:val="24"/>
          <w:szCs w:val="24"/>
        </w:rPr>
        <w:t>Importance of effective Learning and Development strategies</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Learning and Development policies are crucial for organizations to be able to achieve their long-term goals. This is because a learning and development strategy creates an outline for how an organization should work, including its skills and competencies. Learning and Development are important due to the constantly changing external pressures which are bound to have an impact on business strategies. The inability to adapt to the changing environment will have negative consequences for a business, and thus there needs to be learning and development (CIPD, 2022). A strong learning and development strategy can also provide an organization with a strong competitive edge. According to Niazi (2011) creating learning organizations is essential for staying ahead of the competition using innovation and training and development. These practices add value to the employees and improve their job performance leading to an overall improvement in organizational welfare.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A learning and development strategy focuses on five key areas. These include attracting and retaining talent in an organization, motivating and engaging the employees, building a brand for the employer, creating a culture based on value, and developing people’s capabilities (Brassey et al., 2019). An effective learning and development strategy would be one that is able to meet these criteria along with aligning with the culture of the organization, identifying the gaps in the organization, and strategizing ways to overcome the gaps identified. They must also evolve with the evolving external condition (Brassey et al., 2019).  Hiltunen et al., (2022) define a successful learning strategy as one which clarifies the needs of key stakeholders and their expectations, converts the requirements into outcomes, analyses the skill gaps, and focuses on areas of improvement, plans and delivers learning experiences and tracks employee performance.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Keeping these points in mind, the case of Santander indicates that it has been successful to a large extent. The success was noticeable in the statistics which showed that nearly 80 percent of the employees who took the learning program were able to do well in the evaluation and nearly 90 percent of them found the evaluation useful (CIPD, 2021). The programs also met the criteria of a good learning program as the specific programs were developed after understanding the gaps in the organization. The finance and economics programs were developed after identifying that the staff needed to be well-equipped with knowledge about these subjects to manage the clients well. They also developed a course on tackling financial crime after identifying that it was becoming more difficult to deal with financial crimes. They also conducted evaluations to monitor the learning outcomes and performance of the employees.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The future of learning and developing models will be broader due to the increasing interdependence between various fields. For instance, in the financial sector, the technology sector plays a big role both as a competitor as well as an institution that provides similar services. Individuals in the finance sector will thus need to be aware of developments in the technology sector and vice versa. With the rising need for innovation in a world that is developing rapidly, learning and development will be encouraged and normalized in every major organization of all sectors. </w:t>
      </w:r>
    </w:p>
    <w:p>
      <w:pPr>
        <w:spacing w:line="360" w:lineRule="auto"/>
        <w:rPr>
          <w:rFonts w:ascii="Times New Roman" w:hAnsi="Times New Roman" w:cs="Times New Roman"/>
          <w:b/>
          <w:bCs/>
          <w:sz w:val="24"/>
          <w:szCs w:val="24"/>
        </w:rPr>
      </w:pPr>
      <w:r>
        <w:rPr>
          <w:rFonts w:ascii="Times New Roman" w:hAnsi="Times New Roman" w:cs="Times New Roman"/>
          <w:b/>
          <w:bCs/>
          <w:sz w:val="24"/>
          <w:szCs w:val="24"/>
        </w:rPr>
        <w:t>References</w:t>
      </w:r>
    </w:p>
    <w:p>
      <w:pPr>
        <w:pStyle w:val="2"/>
        <w:spacing w:line="360" w:lineRule="auto"/>
        <w:ind w:left="567" w:hanging="567"/>
      </w:pPr>
      <w:r>
        <w:t>Brassey, J., Christensen, L. and Dam, N. van (2019) The essential components of a successful L&amp;amp;D Strategy, McKinsey &amp;amp; Company. Available at: https://www.mckinsey.com/capabilities/people-and-organizational-performance/our-insights/the-essential-components-of-a-successful-l-and-d-strategy (Accessed: 02 May 2023).</w:t>
      </w:r>
    </w:p>
    <w:p>
      <w:pPr>
        <w:pStyle w:val="2"/>
        <w:spacing w:line="360" w:lineRule="auto"/>
        <w:ind w:left="567" w:hanging="567"/>
      </w:pPr>
      <w:r>
        <w:t xml:space="preserve">CIPD (2021) </w:t>
      </w:r>
      <w:r>
        <w:rPr>
          <w:i/>
          <w:iCs/>
        </w:rPr>
        <w:t>Learning and skills at work</w:t>
      </w:r>
      <w:r>
        <w:t xml:space="preserve">, </w:t>
      </w:r>
      <w:r>
        <w:rPr>
          <w:i/>
          <w:iCs/>
        </w:rPr>
        <w:t>CIPD</w:t>
      </w:r>
      <w:r>
        <w:t xml:space="preserve">. Available at: https://www.cipd.co.uk/knowledge/strategy/development/learning-skills-work (Accessed: May 2, 2023). </w:t>
      </w:r>
    </w:p>
    <w:p>
      <w:pPr>
        <w:pStyle w:val="2"/>
        <w:spacing w:line="360" w:lineRule="auto"/>
        <w:ind w:left="567" w:hanging="567"/>
      </w:pPr>
      <w:r>
        <w:t>CIPD (2022) Learning &amp;amp; Development Strategy and policy: Factsheets, CIPD. Available at: https://www.cipd.org/uk/knowledge/factsheets/strategy-development-factsheet/ (Accessed: 02 May 2023).</w:t>
      </w:r>
    </w:p>
    <w:p>
      <w:pPr>
        <w:pStyle w:val="2"/>
        <w:spacing w:line="360" w:lineRule="auto"/>
        <w:ind w:left="567" w:hanging="567"/>
      </w:pPr>
      <w:r>
        <w:t>Hiltunen, J. and Kuzmina, J. (2023) Learning and development (L&amp;amp;D) strategy:&amp;nbsp;6 steps to create [2023], Valamis. Available at: https://www.valamis.com/blog/learning-and-development-strategy (Accessed: 02 May 2023).</w:t>
      </w:r>
    </w:p>
    <w:p>
      <w:pPr>
        <w:pStyle w:val="2"/>
        <w:spacing w:line="360" w:lineRule="auto"/>
        <w:ind w:left="567" w:hanging="567"/>
      </w:pPr>
      <w:r>
        <w:t xml:space="preserve">Marr, B. (2022) </w:t>
      </w:r>
      <w:r>
        <w:rPr>
          <w:i/>
          <w:iCs/>
        </w:rPr>
        <w:t>The 4 biggest future trends in the financial sector</w:t>
      </w:r>
      <w:r>
        <w:t xml:space="preserve">, </w:t>
      </w:r>
      <w:r>
        <w:rPr>
          <w:i/>
          <w:iCs/>
        </w:rPr>
        <w:t>Forbes</w:t>
      </w:r>
      <w:r>
        <w:t xml:space="preserve">. Available at: https://www.forbes.com/sites/bernardmarr/2022/03/25/the-4-biggest-future-trends-in-the-financial-sector/?sh=529bdbad3bcb (Accessed: 02 May 2023). </w:t>
      </w:r>
    </w:p>
    <w:p>
      <w:pPr>
        <w:pStyle w:val="2"/>
        <w:spacing w:line="360" w:lineRule="auto"/>
        <w:ind w:left="567" w:hanging="567"/>
      </w:pPr>
      <w:r>
        <w:t>Niazi, A.S. (2011) Training and development strategy and its role in organizational development. Available at: https://www.researchgate.net/publication/313824555_Training_and_Development_Strategy_and_Its_Role_in_Organizational_Performance (Accessed: 02 May 2023).</w:t>
      </w:r>
    </w:p>
    <w:p>
      <w:pPr>
        <w:pStyle w:val="2"/>
        <w:spacing w:line="360" w:lineRule="auto"/>
        <w:ind w:left="567" w:hanging="567"/>
      </w:pPr>
      <w:r>
        <w:t>O’Reilly, M. et al. (2021) Seven forces shaping the future of Financial Services, Deloitte United States. Available at: https://www2.deloitte.com/us/en/pages/financial-services/articles/future-of-financial-services.html (Accessed: 02 May 2023).</w:t>
      </w:r>
    </w:p>
    <w:p>
      <w:pPr>
        <w:spacing w:line="360" w:lineRule="auto"/>
        <w:rPr>
          <w:rFonts w:ascii="Times New Roman" w:hAnsi="Times New Roman" w:cs="Times New Roman"/>
          <w:sz w:val="24"/>
          <w:szCs w:val="24"/>
        </w:rPr>
      </w:pPr>
    </w:p>
    <w:p>
      <w:pPr>
        <w:rPr>
          <w:rFonts w:ascii="宋体" w:hAnsi="宋体" w:eastAsia="宋体" w:cs="宋体"/>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RhMTQ1ODg0OWFlNTA5NzQyMWE1MzdkMTQ5ZjZkZmIifQ=="/>
  </w:docVars>
  <w:rsids>
    <w:rsidRoot w:val="6B7343B2"/>
    <w:rsid w:val="6B7343B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semiHidden/>
    <w:unhideWhenUsed/>
    <w:qFormat/>
    <w:uiPriority w:val="99"/>
    <w:pPr>
      <w:spacing w:before="100" w:beforeAutospacing="1" w:after="100" w:afterAutospacing="1" w:line="240" w:lineRule="auto"/>
    </w:pPr>
    <w:rPr>
      <w:rFonts w:ascii="Times New Roman" w:hAnsi="Times New Roman" w:eastAsia="Times New Roman" w:cs="Times New Roman"/>
      <w:kern w:val="0"/>
      <w:sz w:val="24"/>
      <w:szCs w:val="24"/>
      <w:lang w:eastAsia="en-IN"/>
      <w14:ligatures w14:val="none"/>
    </w:rPr>
  </w:style>
  <w:style w:type="character" w:styleId="5">
    <w:name w:val="Hyperlink"/>
    <w:basedOn w:val="4"/>
    <w:uiPriority w:val="0"/>
    <w:rPr>
      <w:color w:val="0000FF"/>
      <w:u w:val="singl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12</Words>
  <Characters>50</Characters>
  <Lines>0</Lines>
  <Paragraphs>0</Paragraphs>
  <TotalTime>2</TotalTime>
  <ScaleCrop>false</ScaleCrop>
  <LinksUpToDate>false</LinksUpToDate>
  <CharactersWithSpaces>54</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2023-05-02T21:33:00Z</dcterms:created>
  <dc:creator>小周小周 能睡一周</dc:creator>
  <cp:lastModifiedBy>小周小周 能睡一周</cp:lastModifiedBy>
  <dcterms:modified xsi:type="dcterms:W3CDTF">2023-05-02T21:36:15Z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1661D462C3144FF4B4EA0B3EE39018AC_11</vt:lpwstr>
  </property>
</Properties>
</file>