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DDEA" w14:textId="77777777" w:rsidR="00112368" w:rsidRPr="00ED1049" w:rsidRDefault="00112368" w:rsidP="00112368">
      <w:pPr>
        <w:ind w:left="426"/>
        <w:rPr>
          <w:rFonts w:ascii="Arial" w:hAnsi="Arial" w:cs="Arial"/>
        </w:rPr>
      </w:pPr>
    </w:p>
    <w:p w14:paraId="123524A4" w14:textId="77777777" w:rsidR="00112368" w:rsidRPr="00074402" w:rsidRDefault="00112368" w:rsidP="00112368">
      <w:pPr>
        <w:spacing w:line="360" w:lineRule="auto"/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BD377C" wp14:editId="48068576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300402990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CB57C2" w14:textId="77777777" w:rsidR="00112368" w:rsidRPr="00074402" w:rsidRDefault="00112368" w:rsidP="00112368">
      <w:pPr>
        <w:spacing w:line="360" w:lineRule="auto"/>
        <w:ind w:left="426"/>
        <w:rPr>
          <w:rFonts w:ascii="Arial" w:hAnsi="Arial" w:cs="Arial"/>
        </w:rPr>
      </w:pPr>
    </w:p>
    <w:p w14:paraId="62F27F72" w14:textId="77777777" w:rsidR="00112368" w:rsidRPr="00074402" w:rsidRDefault="00112368" w:rsidP="00112368">
      <w:pPr>
        <w:spacing w:line="360" w:lineRule="auto"/>
        <w:ind w:left="426"/>
        <w:rPr>
          <w:rFonts w:ascii="Arial" w:hAnsi="Arial" w:cs="Arial"/>
        </w:rPr>
      </w:pPr>
    </w:p>
    <w:p w14:paraId="0C102DAE" w14:textId="77777777" w:rsidR="00112368" w:rsidRPr="00074402" w:rsidRDefault="00112368" w:rsidP="00112368">
      <w:pPr>
        <w:spacing w:line="360" w:lineRule="auto"/>
        <w:ind w:left="426"/>
        <w:rPr>
          <w:rFonts w:ascii="Arial" w:hAnsi="Arial" w:cs="Arial"/>
        </w:rPr>
      </w:pPr>
    </w:p>
    <w:p w14:paraId="63B529F3" w14:textId="77777777" w:rsidR="00112368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381742E4" w14:textId="77777777" w:rsidR="00112368" w:rsidRPr="0039614A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39614A">
        <w:rPr>
          <w:rFonts w:ascii="Arial" w:hAnsi="Arial" w:cs="Arial"/>
          <w:b/>
          <w:bCs/>
          <w:sz w:val="28"/>
          <w:szCs w:val="28"/>
        </w:rPr>
        <w:t>Module name</w:t>
      </w:r>
      <w:r w:rsidRPr="0039614A">
        <w:rPr>
          <w:rFonts w:ascii="Arial" w:hAnsi="Arial" w:cs="Arial"/>
          <w:sz w:val="28"/>
          <w:szCs w:val="28"/>
        </w:rPr>
        <w:t>: Empowering the Older Person</w:t>
      </w:r>
    </w:p>
    <w:p w14:paraId="6F6E0914" w14:textId="77777777" w:rsidR="00112368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 xml:space="preserve">: </w:t>
      </w:r>
      <w:r w:rsidRPr="0039614A">
        <w:rPr>
          <w:rFonts w:ascii="Arial" w:hAnsi="Arial" w:cs="Arial"/>
          <w:sz w:val="28"/>
          <w:szCs w:val="28"/>
        </w:rPr>
        <w:t>BMHP6027</w:t>
      </w:r>
    </w:p>
    <w:p w14:paraId="6B5F45D0" w14:textId="77777777" w:rsidR="00112368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 xml:space="preserve">: </w:t>
      </w:r>
      <w:r w:rsidRPr="0039614A">
        <w:rPr>
          <w:rFonts w:ascii="Arial" w:hAnsi="Arial" w:cs="Arial"/>
          <w:sz w:val="28"/>
          <w:szCs w:val="28"/>
        </w:rPr>
        <w:t>Dr Laila Suran</w:t>
      </w:r>
    </w:p>
    <w:p w14:paraId="41063F03" w14:textId="77777777" w:rsidR="00112368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</w:rPr>
      </w:pPr>
    </w:p>
    <w:p w14:paraId="27AC3912" w14:textId="77777777" w:rsidR="00112368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</w:rPr>
      </w:pPr>
    </w:p>
    <w:p w14:paraId="15163F5C" w14:textId="77777777" w:rsidR="00112368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1895B68" w14:textId="77777777" w:rsidR="00112368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</w:t>
      </w:r>
      <w:r w:rsidRPr="00BB30D3">
        <w:rPr>
          <w:rFonts w:ascii="Arial" w:hAnsi="Arial" w:cs="Arial"/>
          <w:b/>
          <w:bCs/>
          <w:sz w:val="28"/>
          <w:szCs w:val="28"/>
        </w:rPr>
        <w:t>Component 2: Debate/Discussion</w:t>
      </w:r>
    </w:p>
    <w:p w14:paraId="5D8453FC" w14:textId="77777777" w:rsidR="00112368" w:rsidRPr="00E605BA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605BA">
        <w:rPr>
          <w:rFonts w:ascii="Arial" w:hAnsi="Arial" w:cs="Arial"/>
          <w:b/>
          <w:bCs/>
          <w:sz w:val="28"/>
          <w:szCs w:val="28"/>
        </w:rPr>
        <w:t xml:space="preserve">Argument against the motion: “Technologies in health and social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Pr="00E605BA">
        <w:rPr>
          <w:rFonts w:ascii="Arial" w:hAnsi="Arial" w:cs="Arial"/>
          <w:b/>
          <w:bCs/>
          <w:sz w:val="28"/>
          <w:szCs w:val="28"/>
        </w:rPr>
        <w:t xml:space="preserve">care for older people play a vital role.” </w:t>
      </w:r>
    </w:p>
    <w:p w14:paraId="3896D505" w14:textId="77777777" w:rsidR="00112368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D76FEEE" w14:textId="77777777" w:rsidR="00112368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91EA955" w14:textId="77777777" w:rsidR="00112368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852F68D" w14:textId="77777777" w:rsidR="00112368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1C93C70" w14:textId="77777777" w:rsidR="00112368" w:rsidRDefault="00112368" w:rsidP="0011236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0207DE3" w14:textId="77777777" w:rsidR="00112368" w:rsidRPr="0039614A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39614A">
        <w:rPr>
          <w:rFonts w:ascii="Arial" w:hAnsi="Arial" w:cs="Arial"/>
          <w:b/>
          <w:bCs/>
          <w:sz w:val="28"/>
          <w:szCs w:val="28"/>
        </w:rPr>
        <w:t>Student name</w:t>
      </w:r>
      <w:r w:rsidRPr="0039614A">
        <w:rPr>
          <w:rFonts w:ascii="Arial" w:hAnsi="Arial" w:cs="Arial"/>
          <w:sz w:val="28"/>
          <w:szCs w:val="28"/>
        </w:rPr>
        <w:t>: Luminita Anamaria Co</w:t>
      </w:r>
      <w:r>
        <w:rPr>
          <w:rFonts w:ascii="Arial" w:hAnsi="Arial" w:cs="Arial"/>
          <w:sz w:val="28"/>
          <w:szCs w:val="28"/>
        </w:rPr>
        <w:t>mande</w:t>
      </w:r>
    </w:p>
    <w:p w14:paraId="598A4834" w14:textId="77777777" w:rsidR="00112368" w:rsidRPr="00631FBE" w:rsidRDefault="00112368" w:rsidP="0011236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631FBE">
        <w:rPr>
          <w:rFonts w:ascii="Arial" w:hAnsi="Arial" w:cs="Arial"/>
          <w:b/>
          <w:bCs/>
          <w:sz w:val="28"/>
          <w:szCs w:val="28"/>
        </w:rPr>
        <w:t>Student ID</w:t>
      </w:r>
      <w:r w:rsidRPr="00631FBE">
        <w:rPr>
          <w:rFonts w:ascii="Arial" w:hAnsi="Arial" w:cs="Arial"/>
          <w:sz w:val="28"/>
          <w:szCs w:val="28"/>
        </w:rPr>
        <w:t>: 2310115</w:t>
      </w:r>
    </w:p>
    <w:p w14:paraId="2900CB75" w14:textId="77777777" w:rsidR="00112368" w:rsidRDefault="00112368" w:rsidP="00112368">
      <w:pPr>
        <w:rPr>
          <w:rFonts w:ascii="Arial" w:hAnsi="Arial" w:cs="Arial"/>
        </w:rPr>
      </w:pPr>
    </w:p>
    <w:p w14:paraId="1E8A15CE" w14:textId="77777777" w:rsidR="00112368" w:rsidRPr="00A10747" w:rsidRDefault="00112368" w:rsidP="0011236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                                           </w:t>
      </w:r>
      <w:r w:rsidRPr="00A10747">
        <w:rPr>
          <w:rFonts w:ascii="Arial" w:hAnsi="Arial" w:cs="Arial"/>
          <w:b/>
          <w:bCs/>
          <w:sz w:val="22"/>
          <w:szCs w:val="22"/>
        </w:rPr>
        <w:t>References for argument:</w:t>
      </w:r>
    </w:p>
    <w:p w14:paraId="3273528F" w14:textId="77777777" w:rsidR="00112368" w:rsidRPr="00A10747" w:rsidRDefault="00112368" w:rsidP="0011236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10747">
        <w:rPr>
          <w:rFonts w:ascii="Arial" w:hAnsi="Arial" w:cs="Arial"/>
          <w:b/>
          <w:bCs/>
          <w:i/>
          <w:iCs/>
          <w:sz w:val="22"/>
          <w:szCs w:val="22"/>
        </w:rPr>
        <w:t>“Large numbers of older adults remain offline or lack digital skills, making digital care inaccessible.”</w:t>
      </w:r>
    </w:p>
    <w:p w14:paraId="0D32FFCF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1.</w:t>
      </w:r>
      <w:r w:rsidRPr="00A10747">
        <w:rPr>
          <w:rFonts w:ascii="Arial" w:hAnsi="Arial" w:cs="Arial"/>
          <w:sz w:val="22"/>
          <w:szCs w:val="22"/>
        </w:rPr>
        <w:t xml:space="preserve"> Age UK (2025) </w:t>
      </w:r>
      <w:r w:rsidRPr="00A10747">
        <w:rPr>
          <w:rFonts w:ascii="Arial" w:hAnsi="Arial" w:cs="Arial"/>
          <w:i/>
          <w:iCs/>
          <w:sz w:val="22"/>
          <w:szCs w:val="22"/>
        </w:rPr>
        <w:t>Digital exclusion warning: 2.4 million older people offline</w:t>
      </w:r>
      <w:r w:rsidRPr="00A10747">
        <w:rPr>
          <w:rFonts w:ascii="Arial" w:hAnsi="Arial" w:cs="Arial"/>
          <w:sz w:val="22"/>
          <w:szCs w:val="22"/>
        </w:rPr>
        <w:t xml:space="preserve">. Available at: </w:t>
      </w:r>
      <w:hyperlink r:id="rId7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https://www.ageuk.org.uk/latest-news/articles/2025/october/digital-exclusion-warning/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788C6317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2.</w:t>
      </w:r>
      <w:r w:rsidRPr="00A10747">
        <w:rPr>
          <w:rFonts w:ascii="Arial" w:hAnsi="Arial" w:cs="Arial"/>
          <w:sz w:val="22"/>
          <w:szCs w:val="22"/>
        </w:rPr>
        <w:t xml:space="preserve"> Older People’s Commissioner for Wales (2024) </w:t>
      </w:r>
      <w:r w:rsidRPr="00A10747">
        <w:rPr>
          <w:rFonts w:ascii="Arial" w:hAnsi="Arial" w:cs="Arial"/>
          <w:i/>
          <w:iCs/>
          <w:sz w:val="22"/>
          <w:szCs w:val="22"/>
        </w:rPr>
        <w:t>Older people at significant risk of digital ageism and social exclusion</w:t>
      </w:r>
      <w:r w:rsidRPr="00A10747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https://olderpeople.wales/resource/older-people-at-significant-risk-of-digital-ageism-and-social-exclusion/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3CC260B7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3.</w:t>
      </w:r>
      <w:r w:rsidRPr="00A10747">
        <w:rPr>
          <w:rFonts w:ascii="Arial" w:hAnsi="Arial" w:cs="Arial"/>
          <w:sz w:val="22"/>
          <w:szCs w:val="22"/>
        </w:rPr>
        <w:t xml:space="preserve"> Centre for Care (2023) </w:t>
      </w:r>
      <w:r w:rsidRPr="00A10747">
        <w:rPr>
          <w:rFonts w:ascii="Arial" w:hAnsi="Arial" w:cs="Arial"/>
          <w:i/>
          <w:iCs/>
          <w:sz w:val="22"/>
          <w:szCs w:val="22"/>
        </w:rPr>
        <w:t>Digital exclusion and social care: Evidence briefing</w:t>
      </w:r>
      <w:r w:rsidRPr="00A10747">
        <w:rPr>
          <w:rFonts w:ascii="Arial" w:hAnsi="Arial" w:cs="Arial"/>
          <w:sz w:val="22"/>
          <w:szCs w:val="22"/>
        </w:rPr>
        <w:t xml:space="preserve">. Available at: </w:t>
      </w:r>
      <w:hyperlink r:id="rId9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https://centreforcare.ac.uk/publications/digital-exclusion-and-social-care-evidence-briefing/</w:t>
        </w:r>
      </w:hyperlink>
      <w:r w:rsidRPr="00A10747">
        <w:rPr>
          <w:rFonts w:ascii="Arial" w:hAnsi="Arial" w:cs="Arial"/>
          <w:sz w:val="22"/>
          <w:szCs w:val="22"/>
        </w:rPr>
        <w:t xml:space="preserve"> </w:t>
      </w:r>
      <w:hyperlink r:id="rId10" w:history="1"/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080533F6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4.</w:t>
      </w:r>
      <w:r w:rsidRPr="00A10747">
        <w:rPr>
          <w:rFonts w:ascii="Arial" w:hAnsi="Arial" w:cs="Arial"/>
          <w:sz w:val="22"/>
          <w:szCs w:val="22"/>
        </w:rPr>
        <w:t xml:space="preserve"> Community Clicks (2024) </w:t>
      </w:r>
      <w:r w:rsidRPr="00A10747">
        <w:rPr>
          <w:rFonts w:ascii="Arial" w:hAnsi="Arial" w:cs="Arial"/>
          <w:i/>
          <w:iCs/>
          <w:sz w:val="22"/>
          <w:szCs w:val="22"/>
        </w:rPr>
        <w:t>Impact of digital exclusion for older people</w:t>
      </w:r>
      <w:r w:rsidRPr="00A10747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https://communityclicks.co.uk/impact-of-digital-exclusion-for-older-people/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4AA711EC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5.</w:t>
      </w:r>
      <w:r w:rsidRPr="00A10747">
        <w:rPr>
          <w:rFonts w:ascii="Arial" w:hAnsi="Arial" w:cs="Arial"/>
          <w:sz w:val="22"/>
          <w:szCs w:val="22"/>
        </w:rPr>
        <w:t xml:space="preserve"> Richardson, M. et al. (2024) ‘Identifying digitally excluded older adults: The INCLUDE study’, </w:t>
      </w:r>
      <w:r w:rsidRPr="00A10747">
        <w:rPr>
          <w:rFonts w:ascii="Arial" w:hAnsi="Arial" w:cs="Arial"/>
          <w:i/>
          <w:iCs/>
          <w:sz w:val="22"/>
          <w:szCs w:val="22"/>
        </w:rPr>
        <w:t>BMJ Open</w:t>
      </w:r>
      <w:r w:rsidRPr="00A10747">
        <w:rPr>
          <w:rFonts w:ascii="Arial" w:hAnsi="Arial" w:cs="Arial"/>
          <w:sz w:val="22"/>
          <w:szCs w:val="22"/>
        </w:rPr>
        <w:t xml:space="preserve">, 15(9). Available at: </w:t>
      </w:r>
      <w:hyperlink r:id="rId12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https://bmjopen.bmj.com/content/15/9/e098765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0667755C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6.</w:t>
      </w:r>
      <w:r w:rsidRPr="00A10747">
        <w:rPr>
          <w:rFonts w:ascii="Arial" w:hAnsi="Arial" w:cs="Arial"/>
          <w:sz w:val="22"/>
          <w:szCs w:val="22"/>
        </w:rPr>
        <w:t xml:space="preserve"> Seifert, A., Cotten, S.R. and Xie, B. (2021) ‘A double burden of exclusion? Digital and social exclusion of older adults in times of COVID</w:t>
      </w:r>
      <w:r w:rsidRPr="00A10747">
        <w:rPr>
          <w:rFonts w:ascii="Arial" w:hAnsi="Arial" w:cs="Arial"/>
          <w:sz w:val="22"/>
          <w:szCs w:val="22"/>
        </w:rPr>
        <w:noBreakHyphen/>
        <w:t xml:space="preserve">19’, </w:t>
      </w:r>
      <w:r w:rsidRPr="00A10747">
        <w:rPr>
          <w:rFonts w:ascii="Arial" w:hAnsi="Arial" w:cs="Arial"/>
          <w:i/>
          <w:iCs/>
          <w:sz w:val="22"/>
          <w:szCs w:val="22"/>
        </w:rPr>
        <w:t>BMC Geriatrics</w:t>
      </w:r>
      <w:r w:rsidRPr="00A10747">
        <w:rPr>
          <w:rFonts w:ascii="Arial" w:hAnsi="Arial" w:cs="Arial"/>
          <w:sz w:val="22"/>
          <w:szCs w:val="22"/>
        </w:rPr>
        <w:t xml:space="preserve">, 21, 435. Available at: </w:t>
      </w:r>
      <w:hyperlink r:id="rId13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https://bmcgeriatr.biomedcentral.com/articles/10.1186/s12877-021-02183-0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4A0E101B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  <w:lang w:val="nl-NL"/>
        </w:rPr>
        <w:t>7.</w:t>
      </w:r>
      <w:r w:rsidRPr="00A10747">
        <w:rPr>
          <w:rFonts w:ascii="Arial" w:hAnsi="Arial" w:cs="Arial"/>
          <w:sz w:val="22"/>
          <w:szCs w:val="22"/>
          <w:lang w:val="nl-NL"/>
        </w:rPr>
        <w:t xml:space="preserve"> Czaja, S.J. et al. </w:t>
      </w:r>
      <w:r w:rsidRPr="00A10747">
        <w:rPr>
          <w:rFonts w:ascii="Arial" w:hAnsi="Arial" w:cs="Arial"/>
          <w:sz w:val="22"/>
          <w:szCs w:val="22"/>
        </w:rPr>
        <w:t xml:space="preserve">(2021) ‘Designing for older adults: Barriers and challenges with digital health technologies’, </w:t>
      </w:r>
      <w:r w:rsidRPr="00A10747">
        <w:rPr>
          <w:rFonts w:ascii="Arial" w:hAnsi="Arial" w:cs="Arial"/>
          <w:i/>
          <w:iCs/>
          <w:sz w:val="22"/>
          <w:szCs w:val="22"/>
        </w:rPr>
        <w:t>Journal of Medical Internet Research</w:t>
      </w:r>
      <w:r w:rsidRPr="00A10747">
        <w:rPr>
          <w:rFonts w:ascii="Arial" w:hAnsi="Arial" w:cs="Arial"/>
          <w:sz w:val="22"/>
          <w:szCs w:val="22"/>
        </w:rPr>
        <w:t xml:space="preserve">, 23(5), e26453. Available at: </w:t>
      </w:r>
      <w:hyperlink r:id="rId14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https://www.jmir.org/2021/5/e26453/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188CB2CE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8.</w:t>
      </w:r>
      <w:r w:rsidRPr="00A10747">
        <w:rPr>
          <w:rFonts w:ascii="Arial" w:hAnsi="Arial" w:cs="Arial"/>
          <w:sz w:val="22"/>
          <w:szCs w:val="22"/>
        </w:rPr>
        <w:t xml:space="preserve"> Friemel, T.N. (2016) ‘The digital divide has grown old: Determinants of a digital divide among seniors’, </w:t>
      </w:r>
      <w:r w:rsidRPr="00A10747">
        <w:rPr>
          <w:rFonts w:ascii="Arial" w:hAnsi="Arial" w:cs="Arial"/>
          <w:i/>
          <w:iCs/>
          <w:sz w:val="22"/>
          <w:szCs w:val="22"/>
        </w:rPr>
        <w:t>New Media &amp; Society</w:t>
      </w:r>
      <w:r w:rsidRPr="00A10747">
        <w:rPr>
          <w:rFonts w:ascii="Arial" w:hAnsi="Arial" w:cs="Arial"/>
          <w:sz w:val="22"/>
          <w:szCs w:val="22"/>
        </w:rPr>
        <w:t xml:space="preserve">, 18(2), pp. 313–331. Available at: </w:t>
      </w:r>
      <w:hyperlink r:id="rId15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https://journals.sagepub.com/doi/10.1177/1461444814538648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68B437E4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9.</w:t>
      </w:r>
      <w:r w:rsidRPr="00A10747">
        <w:rPr>
          <w:rFonts w:ascii="Arial" w:hAnsi="Arial" w:cs="Arial"/>
          <w:sz w:val="22"/>
          <w:szCs w:val="22"/>
        </w:rPr>
        <w:t xml:space="preserve"> Heart, T. and Kalderon, E. (2013) ‘Older adults: Are they ready to adopt health-related ICT?’, </w:t>
      </w:r>
      <w:r w:rsidRPr="00A10747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A10747">
        <w:rPr>
          <w:rFonts w:ascii="Arial" w:hAnsi="Arial" w:cs="Arial"/>
          <w:sz w:val="22"/>
          <w:szCs w:val="22"/>
        </w:rPr>
        <w:t xml:space="preserve">, 82(11), pp. e209–e231. Available at: </w:t>
      </w:r>
      <w:hyperlink r:id="rId16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https://www.sciencedirect.com/science/article/pii/S1386505613001578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64D1025D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10.</w:t>
      </w:r>
      <w:r w:rsidRPr="00A10747">
        <w:rPr>
          <w:rFonts w:ascii="Arial" w:hAnsi="Arial" w:cs="Arial"/>
          <w:sz w:val="22"/>
          <w:szCs w:val="22"/>
        </w:rPr>
        <w:t xml:space="preserve"> van Deursen, A.J.A.M. and Helsper, E.J. (2015) ‘The third-level digital divide: Who benefits most from being online?’, </w:t>
      </w:r>
      <w:r w:rsidRPr="00A10747">
        <w:rPr>
          <w:rFonts w:ascii="Arial" w:hAnsi="Arial" w:cs="Arial"/>
          <w:i/>
          <w:iCs/>
          <w:sz w:val="22"/>
          <w:szCs w:val="22"/>
        </w:rPr>
        <w:t>Communication and Information Technologies Annual</w:t>
      </w:r>
      <w:r w:rsidRPr="00A10747">
        <w:rPr>
          <w:rFonts w:ascii="Arial" w:hAnsi="Arial" w:cs="Arial"/>
          <w:sz w:val="22"/>
          <w:szCs w:val="22"/>
        </w:rPr>
        <w:t xml:space="preserve">, pp. 29–52. Available at: </w:t>
      </w:r>
      <w:hyperlink r:id="rId17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https://www.emerald.com/insight/content/doi/10.1108/S2050-206020150000010002/full/html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41549023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11.</w:t>
      </w:r>
      <w:r w:rsidRPr="00A10747">
        <w:rPr>
          <w:rFonts w:ascii="Arial" w:hAnsi="Arial" w:cs="Arial"/>
          <w:sz w:val="22"/>
          <w:szCs w:val="22"/>
        </w:rPr>
        <w:t xml:space="preserve"> The King’s Fund (2021) </w:t>
      </w:r>
      <w:r w:rsidRPr="00A10747">
        <w:rPr>
          <w:rFonts w:ascii="Arial" w:hAnsi="Arial" w:cs="Arial"/>
          <w:i/>
          <w:iCs/>
          <w:sz w:val="22"/>
          <w:szCs w:val="22"/>
        </w:rPr>
        <w:t>Digital health and inequalities</w:t>
      </w:r>
      <w:r w:rsidRPr="00A10747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https://www.kingsfund.org.uk/publications/digital-health-inequalities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642A6D33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12.</w:t>
      </w:r>
      <w:r w:rsidRPr="00A10747">
        <w:rPr>
          <w:rFonts w:ascii="Arial" w:hAnsi="Arial" w:cs="Arial"/>
          <w:sz w:val="22"/>
          <w:szCs w:val="22"/>
        </w:rPr>
        <w:t xml:space="preserve"> Greenhalgh, T. et al. (2022) </w:t>
      </w:r>
      <w:r w:rsidRPr="00A10747">
        <w:rPr>
          <w:rFonts w:ascii="Arial" w:hAnsi="Arial" w:cs="Arial"/>
          <w:i/>
          <w:iCs/>
          <w:sz w:val="22"/>
          <w:szCs w:val="22"/>
        </w:rPr>
        <w:t>Digital inclusion for health and care: Learning from COVID</w:t>
      </w:r>
      <w:r w:rsidRPr="00A10747">
        <w:rPr>
          <w:rFonts w:ascii="Arial" w:hAnsi="Arial" w:cs="Arial"/>
          <w:i/>
          <w:iCs/>
          <w:sz w:val="22"/>
          <w:szCs w:val="22"/>
        </w:rPr>
        <w:noBreakHyphen/>
        <w:t>19</w:t>
      </w:r>
      <w:r w:rsidRPr="00A10747">
        <w:rPr>
          <w:rFonts w:ascii="Arial" w:hAnsi="Arial" w:cs="Arial"/>
          <w:sz w:val="22"/>
          <w:szCs w:val="22"/>
        </w:rPr>
        <w:t xml:space="preserve">. London: The King’s Fund. Available at: </w:t>
      </w:r>
      <w:hyperlink r:id="rId19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https://www.kingsfund.org.uk/publications/digital-inclusion-health-and-care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4AAC193D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13.</w:t>
      </w:r>
      <w:r w:rsidRPr="00A10747">
        <w:rPr>
          <w:rFonts w:ascii="Arial" w:hAnsi="Arial" w:cs="Arial"/>
          <w:sz w:val="22"/>
          <w:szCs w:val="22"/>
        </w:rPr>
        <w:t xml:space="preserve"> Nuffield Trust (2020) </w:t>
      </w:r>
      <w:r w:rsidRPr="00A10747">
        <w:rPr>
          <w:rFonts w:ascii="Arial" w:hAnsi="Arial" w:cs="Arial"/>
          <w:i/>
          <w:iCs/>
          <w:sz w:val="22"/>
          <w:szCs w:val="22"/>
        </w:rPr>
        <w:t>Digital-first primary care: Risks for older adults</w:t>
      </w:r>
      <w:r w:rsidRPr="00A10747">
        <w:rPr>
          <w:rFonts w:ascii="Arial" w:hAnsi="Arial" w:cs="Arial"/>
          <w:sz w:val="22"/>
          <w:szCs w:val="22"/>
        </w:rPr>
        <w:t xml:space="preserve">. Available at: </w:t>
      </w:r>
      <w:hyperlink r:id="rId20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https://www.nuffieldtrust.org.uk/research/digital-first-primary-care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47511F96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14.</w:t>
      </w:r>
      <w:r w:rsidRPr="00A10747">
        <w:rPr>
          <w:rFonts w:ascii="Arial" w:hAnsi="Arial" w:cs="Arial"/>
          <w:sz w:val="22"/>
          <w:szCs w:val="22"/>
        </w:rPr>
        <w:t xml:space="preserve"> Helsper, E.J. and Reisdorf, B.C. (2017) ‘The emergence of a “digital underclass”’, </w:t>
      </w:r>
      <w:r w:rsidRPr="00A10747">
        <w:rPr>
          <w:rFonts w:ascii="Arial" w:hAnsi="Arial" w:cs="Arial"/>
          <w:i/>
          <w:iCs/>
          <w:sz w:val="22"/>
          <w:szCs w:val="22"/>
        </w:rPr>
        <w:t>Information, Communication &amp; Society</w:t>
      </w:r>
      <w:r w:rsidRPr="00A10747">
        <w:rPr>
          <w:rFonts w:ascii="Arial" w:hAnsi="Arial" w:cs="Arial"/>
          <w:sz w:val="22"/>
          <w:szCs w:val="22"/>
        </w:rPr>
        <w:t xml:space="preserve">, 20(5), pp. 717–732. Available at: </w:t>
      </w:r>
      <w:hyperlink r:id="rId21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https://www.tandfonline.com/doi/full/10.1080/1369118X.2016.1203452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0E35A2F3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15.</w:t>
      </w:r>
      <w:r w:rsidRPr="00A10747">
        <w:rPr>
          <w:rFonts w:ascii="Arial" w:hAnsi="Arial" w:cs="Arial"/>
          <w:sz w:val="22"/>
          <w:szCs w:val="22"/>
        </w:rPr>
        <w:t xml:space="preserve"> Ofcom (2023) </w:t>
      </w:r>
      <w:r w:rsidRPr="00A10747">
        <w:rPr>
          <w:rFonts w:ascii="Arial" w:hAnsi="Arial" w:cs="Arial"/>
          <w:i/>
          <w:iCs/>
          <w:sz w:val="22"/>
          <w:szCs w:val="22"/>
        </w:rPr>
        <w:t>Adults’ Media Use and Attitudes Report</w:t>
      </w:r>
      <w:r w:rsidRPr="00A10747">
        <w:rPr>
          <w:rFonts w:ascii="Arial" w:hAnsi="Arial" w:cs="Arial"/>
          <w:sz w:val="22"/>
          <w:szCs w:val="22"/>
        </w:rPr>
        <w:t xml:space="preserve">. Available at: </w:t>
      </w:r>
      <w:hyperlink r:id="rId22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https://www.ofcom.org.uk/research-and-data/media-literacy-research/adults/adults-media-use-and-attitudes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3AB8F582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  <w:lang w:val="nl-NL"/>
        </w:rPr>
        <w:t>16.</w:t>
      </w:r>
      <w:r w:rsidRPr="00A10747">
        <w:rPr>
          <w:rFonts w:ascii="Arial" w:hAnsi="Arial" w:cs="Arial"/>
          <w:sz w:val="22"/>
          <w:szCs w:val="22"/>
          <w:lang w:val="nl-NL"/>
        </w:rPr>
        <w:t xml:space="preserve"> Peek, S.T.M. et al. </w:t>
      </w:r>
      <w:r w:rsidRPr="00A10747">
        <w:rPr>
          <w:rFonts w:ascii="Arial" w:hAnsi="Arial" w:cs="Arial"/>
          <w:sz w:val="22"/>
          <w:szCs w:val="22"/>
        </w:rPr>
        <w:t xml:space="preserve">(2021) ‘Older adults’ barriers to adopting technology for ageing in place: A systematic review’, </w:t>
      </w:r>
      <w:r w:rsidRPr="00A10747">
        <w:rPr>
          <w:rFonts w:ascii="Arial" w:hAnsi="Arial" w:cs="Arial"/>
          <w:i/>
          <w:iCs/>
          <w:sz w:val="22"/>
          <w:szCs w:val="22"/>
        </w:rPr>
        <w:t>Gerontology &amp; Geriatric Medicine</w:t>
      </w:r>
      <w:r w:rsidRPr="00A10747">
        <w:rPr>
          <w:rFonts w:ascii="Arial" w:hAnsi="Arial" w:cs="Arial"/>
          <w:sz w:val="22"/>
          <w:szCs w:val="22"/>
        </w:rPr>
        <w:t xml:space="preserve">, 7, pp. 1–15. Available at: </w:t>
      </w:r>
      <w:hyperlink r:id="rId23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https://journals.sagepub.com/doi/full/10.1177/23337214211025595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64AF3CAA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17.</w:t>
      </w:r>
      <w:r w:rsidRPr="00A10747">
        <w:rPr>
          <w:rFonts w:ascii="Arial" w:hAnsi="Arial" w:cs="Arial"/>
          <w:sz w:val="22"/>
          <w:szCs w:val="22"/>
        </w:rPr>
        <w:t xml:space="preserve"> Barbosa Neves, B. and Vetere, F. (2019) ‘Ageing and digital technologies: Designing for older adults’, </w:t>
      </w:r>
      <w:r w:rsidRPr="00A10747">
        <w:rPr>
          <w:rFonts w:ascii="Arial" w:hAnsi="Arial" w:cs="Arial"/>
          <w:i/>
          <w:iCs/>
          <w:sz w:val="22"/>
          <w:szCs w:val="22"/>
        </w:rPr>
        <w:t>ACM Transactions on Computer-Human Interaction</w:t>
      </w:r>
      <w:r w:rsidRPr="00A10747">
        <w:rPr>
          <w:rFonts w:ascii="Arial" w:hAnsi="Arial" w:cs="Arial"/>
          <w:sz w:val="22"/>
          <w:szCs w:val="22"/>
        </w:rPr>
        <w:t xml:space="preserve">, 26(1), pp. 1–31. Available at: </w:t>
      </w:r>
      <w:hyperlink r:id="rId24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https://dl.acm.org/doi/10.1145/3301421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31B727B1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112368">
        <w:rPr>
          <w:rFonts w:ascii="Arial" w:hAnsi="Arial" w:cs="Arial"/>
          <w:b/>
          <w:bCs/>
          <w:sz w:val="22"/>
          <w:szCs w:val="22"/>
        </w:rPr>
        <w:t>18.</w:t>
      </w:r>
      <w:r w:rsidRPr="00112368">
        <w:rPr>
          <w:rFonts w:ascii="Arial" w:hAnsi="Arial" w:cs="Arial"/>
          <w:sz w:val="22"/>
          <w:szCs w:val="22"/>
        </w:rPr>
        <w:t xml:space="preserve"> Tsai, H.S. et al. </w:t>
      </w:r>
      <w:r w:rsidRPr="00A10747">
        <w:rPr>
          <w:rFonts w:ascii="Arial" w:hAnsi="Arial" w:cs="Arial"/>
          <w:sz w:val="22"/>
          <w:szCs w:val="22"/>
        </w:rPr>
        <w:t xml:space="preserve">(2015) ‘Understanding older adults’ technology adoption’, </w:t>
      </w:r>
      <w:r w:rsidRPr="00A10747">
        <w:rPr>
          <w:rFonts w:ascii="Arial" w:hAnsi="Arial" w:cs="Arial"/>
          <w:i/>
          <w:iCs/>
          <w:sz w:val="22"/>
          <w:szCs w:val="22"/>
        </w:rPr>
        <w:t>Educational Gerontology</w:t>
      </w:r>
      <w:r w:rsidRPr="00A10747">
        <w:rPr>
          <w:rFonts w:ascii="Arial" w:hAnsi="Arial" w:cs="Arial"/>
          <w:sz w:val="22"/>
          <w:szCs w:val="22"/>
        </w:rPr>
        <w:t xml:space="preserve">, 41(7), pp. 467–479. Available at: </w:t>
      </w:r>
      <w:hyperlink r:id="rId25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https://www.tandfonline.com/doi/abs/10.1080/03601277.2014.1003496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5A7A7449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</w:rPr>
        <w:t>19.</w:t>
      </w:r>
      <w:r w:rsidRPr="00A10747">
        <w:rPr>
          <w:rFonts w:ascii="Arial" w:hAnsi="Arial" w:cs="Arial"/>
          <w:sz w:val="22"/>
          <w:szCs w:val="22"/>
        </w:rPr>
        <w:t xml:space="preserve"> Hargittai, E. and Dobransky, K. (2017) ‘Old dogs, new clicks: Digital inequality in skills and uses among older adults’, </w:t>
      </w:r>
      <w:r w:rsidRPr="00A10747">
        <w:rPr>
          <w:rFonts w:ascii="Arial" w:hAnsi="Arial" w:cs="Arial"/>
          <w:i/>
          <w:iCs/>
          <w:sz w:val="22"/>
          <w:szCs w:val="22"/>
        </w:rPr>
        <w:t>Canadian Journal of Communication</w:t>
      </w:r>
      <w:r w:rsidRPr="00A10747">
        <w:rPr>
          <w:rFonts w:ascii="Arial" w:hAnsi="Arial" w:cs="Arial"/>
          <w:sz w:val="22"/>
          <w:szCs w:val="22"/>
        </w:rPr>
        <w:t xml:space="preserve">, 42(2), pp. 195–212. Available at: </w:t>
      </w:r>
      <w:hyperlink r:id="rId26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https://cjc-online.ca/index.php/journal/article/view/3176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26CBFD32" w14:textId="77777777" w:rsidR="00112368" w:rsidRPr="00A10747" w:rsidRDefault="00112368" w:rsidP="00112368">
      <w:pPr>
        <w:spacing w:line="360" w:lineRule="auto"/>
        <w:rPr>
          <w:rFonts w:ascii="Arial" w:hAnsi="Arial" w:cs="Arial"/>
          <w:sz w:val="22"/>
          <w:szCs w:val="22"/>
        </w:rPr>
      </w:pPr>
      <w:r w:rsidRPr="00A10747">
        <w:rPr>
          <w:rFonts w:ascii="Arial" w:hAnsi="Arial" w:cs="Arial"/>
          <w:b/>
          <w:bCs/>
          <w:sz w:val="22"/>
          <w:szCs w:val="22"/>
          <w:lang w:val="nl-NL"/>
        </w:rPr>
        <w:t>20.</w:t>
      </w:r>
      <w:r w:rsidRPr="00A10747">
        <w:rPr>
          <w:rFonts w:ascii="Arial" w:hAnsi="Arial" w:cs="Arial"/>
          <w:sz w:val="22"/>
          <w:szCs w:val="22"/>
          <w:lang w:val="nl-NL"/>
        </w:rPr>
        <w:t xml:space="preserve"> van Dijk, J. (2020) </w:t>
      </w:r>
      <w:r w:rsidRPr="00A10747">
        <w:rPr>
          <w:rFonts w:ascii="Arial" w:hAnsi="Arial" w:cs="Arial"/>
          <w:i/>
          <w:iCs/>
          <w:sz w:val="22"/>
          <w:szCs w:val="22"/>
          <w:lang w:val="nl-NL"/>
        </w:rPr>
        <w:t>The Digital Divide</w:t>
      </w:r>
      <w:r w:rsidRPr="00A10747">
        <w:rPr>
          <w:rFonts w:ascii="Arial" w:hAnsi="Arial" w:cs="Arial"/>
          <w:sz w:val="22"/>
          <w:szCs w:val="22"/>
          <w:lang w:val="nl-NL"/>
        </w:rPr>
        <w:t xml:space="preserve">. </w:t>
      </w:r>
      <w:r w:rsidRPr="00A10747">
        <w:rPr>
          <w:rFonts w:ascii="Arial" w:hAnsi="Arial" w:cs="Arial"/>
          <w:sz w:val="22"/>
          <w:szCs w:val="22"/>
        </w:rPr>
        <w:t xml:space="preserve">Cambridge: Polity Press. Available at: </w:t>
      </w:r>
      <w:hyperlink r:id="rId27" w:history="1">
        <w:r w:rsidRPr="00A10747">
          <w:rPr>
            <w:rStyle w:val="Hyperlink"/>
            <w:rFonts w:ascii="Arial" w:hAnsi="Arial" w:cs="Arial"/>
            <w:sz w:val="22"/>
            <w:szCs w:val="22"/>
          </w:rPr>
          <w:t>https://politybooks.com/the-digital-divide/</w:t>
        </w:r>
      </w:hyperlink>
      <w:r w:rsidRPr="00A10747">
        <w:rPr>
          <w:rFonts w:ascii="Arial" w:hAnsi="Arial" w:cs="Arial"/>
          <w:sz w:val="22"/>
          <w:szCs w:val="22"/>
        </w:rPr>
        <w:t xml:space="preserve"> (Accessed: 10 March 2026).</w:t>
      </w:r>
    </w:p>
    <w:p w14:paraId="74771055" w14:textId="24CD7806" w:rsidR="00E87EF9" w:rsidRPr="00112368" w:rsidRDefault="00E87EF9" w:rsidP="00112368"/>
    <w:sectPr w:rsidR="00E87EF9" w:rsidRPr="00112368" w:rsidSect="00112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85E02"/>
    <w:multiLevelType w:val="multilevel"/>
    <w:tmpl w:val="7012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9313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EF9"/>
    <w:rsid w:val="00032BC9"/>
    <w:rsid w:val="000D20D6"/>
    <w:rsid w:val="00112368"/>
    <w:rsid w:val="00155EBD"/>
    <w:rsid w:val="00186C69"/>
    <w:rsid w:val="003D375B"/>
    <w:rsid w:val="00465823"/>
    <w:rsid w:val="00631FBE"/>
    <w:rsid w:val="00687F74"/>
    <w:rsid w:val="006F49A6"/>
    <w:rsid w:val="00720226"/>
    <w:rsid w:val="007B7DFE"/>
    <w:rsid w:val="007D12A8"/>
    <w:rsid w:val="00A10747"/>
    <w:rsid w:val="00A87115"/>
    <w:rsid w:val="00B20A9C"/>
    <w:rsid w:val="00B854AC"/>
    <w:rsid w:val="00BA72D6"/>
    <w:rsid w:val="00BB30D3"/>
    <w:rsid w:val="00D72747"/>
    <w:rsid w:val="00E27DD0"/>
    <w:rsid w:val="00E605BA"/>
    <w:rsid w:val="00E8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7B861"/>
  <w15:chartTrackingRefBased/>
  <w15:docId w15:val="{D980A064-01C3-4981-B890-4FAE3E20A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7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E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E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E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E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E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E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E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E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E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E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E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E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E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E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E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E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E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E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7E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E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derpeople.wales/resource/older-people-at-significant-risk-of-digital-ageism-and-social-exclusion/" TargetMode="External"/><Relationship Id="rId13" Type="http://schemas.openxmlformats.org/officeDocument/2006/relationships/hyperlink" Target="https://bmcgeriatr.biomedcentral.com/articles/10.1186/s12877-021-02183-0" TargetMode="External"/><Relationship Id="rId18" Type="http://schemas.openxmlformats.org/officeDocument/2006/relationships/hyperlink" Target="https://www.kingsfund.org.uk/publications/digital-health-inequalities" TargetMode="External"/><Relationship Id="rId26" Type="http://schemas.openxmlformats.org/officeDocument/2006/relationships/hyperlink" Target="https://cjc-online.ca/index.php/journal/article/view/317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andfonline.com/doi/full/10.1080/1369118X.2016.1203452" TargetMode="External"/><Relationship Id="rId7" Type="http://schemas.openxmlformats.org/officeDocument/2006/relationships/hyperlink" Target="https://www.ageuk.org.uk/latest-news/articles/2025/october/digital-exclusion-warning/" TargetMode="External"/><Relationship Id="rId12" Type="http://schemas.openxmlformats.org/officeDocument/2006/relationships/hyperlink" Target="https://bmjopen.bmj.com/content/15/9/e098765" TargetMode="External"/><Relationship Id="rId17" Type="http://schemas.openxmlformats.org/officeDocument/2006/relationships/hyperlink" Target="https://www.emerald.com/insight/content/doi/10.1108/S2050-206020150000010002/full/html" TargetMode="External"/><Relationship Id="rId25" Type="http://schemas.openxmlformats.org/officeDocument/2006/relationships/hyperlink" Target="https://www.tandfonline.com/doi/abs/10.1080/03601277.2014.100349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iencedirect.com/science/article/pii/S1386505613001578" TargetMode="External"/><Relationship Id="rId20" Type="http://schemas.openxmlformats.org/officeDocument/2006/relationships/hyperlink" Target="https://www.nuffieldtrust.org.uk/research/digital-first-primary-care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communityclicks.co.uk/impact-of-digital-exclusion-for-older-people/" TargetMode="External"/><Relationship Id="rId24" Type="http://schemas.openxmlformats.org/officeDocument/2006/relationships/hyperlink" Target="https://dl.acm.org/doi/10.1145/3301421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journals.sagepub.com/doi/10.1177/1461444814538648" TargetMode="External"/><Relationship Id="rId23" Type="http://schemas.openxmlformats.org/officeDocument/2006/relationships/hyperlink" Target="https://journals.sagepub.com/doi/full/10.1177/2333721421102559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bing.com/search?q=%22https%3A%2F%2Fcentreforcare.ac.uk%2Fpublications%2Fdigital-exclusion-and-social-care-evidence-briefing%2F%22" TargetMode="External"/><Relationship Id="rId19" Type="http://schemas.openxmlformats.org/officeDocument/2006/relationships/hyperlink" Target="https://www.kingsfund.org.uk/publications/digital-inclusion-health-and-ca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entreforcare.ac.uk/publications/digital-exclusion-and-social-care-evidence-briefing/" TargetMode="External"/><Relationship Id="rId14" Type="http://schemas.openxmlformats.org/officeDocument/2006/relationships/hyperlink" Target="https://www.jmir.org/2021/5/e26453/" TargetMode="External"/><Relationship Id="rId22" Type="http://schemas.openxmlformats.org/officeDocument/2006/relationships/hyperlink" Target="https://www.ofcom.org.uk/research-and-data/media-literacy-research/adults/adults-media-use-and-attitudes" TargetMode="External"/><Relationship Id="rId27" Type="http://schemas.openxmlformats.org/officeDocument/2006/relationships/hyperlink" Target="https://politybooks.com/the-digital-divi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1052</Words>
  <Characters>6001</Characters>
  <Application>Microsoft Office Word</Application>
  <DocSecurity>0</DocSecurity>
  <Lines>50</Lines>
  <Paragraphs>14</Paragraphs>
  <ScaleCrop>false</ScaleCrop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</dc:creator>
  <cp:keywords/>
  <dc:description/>
  <cp:lastModifiedBy>lumin</cp:lastModifiedBy>
  <cp:revision>2</cp:revision>
  <dcterms:created xsi:type="dcterms:W3CDTF">2026-04-06T09:46:00Z</dcterms:created>
  <dcterms:modified xsi:type="dcterms:W3CDTF">2026-04-06T09:46:00Z</dcterms:modified>
</cp:coreProperties>
</file>