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50BB5" w14:textId="11B4176C" w:rsidR="00FD57E1" w:rsidRPr="00852F6D" w:rsidRDefault="00975D13" w:rsidP="00F914FA">
      <w:pPr>
        <w:rPr>
          <w:rFonts w:ascii="Arial" w:hAnsi="Arial" w:cs="Arial"/>
          <w:sz w:val="24"/>
          <w:szCs w:val="24"/>
        </w:rPr>
      </w:pPr>
      <w:r w:rsidRPr="00852F6D">
        <w:rPr>
          <w:rFonts w:ascii="Arial" w:hAnsi="Arial" w:cs="Arial"/>
          <w:sz w:val="24"/>
          <w:szCs w:val="24"/>
        </w:rPr>
        <w:t xml:space="preserve">The legal system consists of rules, procedures, and institutions that enable public and private initiatives to be carried out legally. In other words, is a legal interpretation and enforcement system. It explains the rights and responsibilities in </w:t>
      </w:r>
      <w:r w:rsidR="00485647" w:rsidRPr="00852F6D">
        <w:rPr>
          <w:rFonts w:ascii="Arial" w:hAnsi="Arial" w:cs="Arial"/>
          <w:sz w:val="24"/>
          <w:szCs w:val="24"/>
        </w:rPr>
        <w:t>numerous way. Civil</w:t>
      </w:r>
      <w:r w:rsidRPr="00852F6D">
        <w:rPr>
          <w:rFonts w:ascii="Arial" w:hAnsi="Arial" w:cs="Arial"/>
          <w:sz w:val="24"/>
          <w:szCs w:val="24"/>
        </w:rPr>
        <w:t xml:space="preserve"> law and common law are the two major legal systems </w:t>
      </w:r>
      <w:r w:rsidR="00485647" w:rsidRPr="00852F6D">
        <w:rPr>
          <w:rFonts w:ascii="Arial" w:hAnsi="Arial" w:cs="Arial"/>
          <w:sz w:val="24"/>
          <w:szCs w:val="24"/>
        </w:rPr>
        <w:t>to this day</w:t>
      </w:r>
      <w:r w:rsidRPr="00852F6D">
        <w:rPr>
          <w:rFonts w:ascii="Arial" w:hAnsi="Arial" w:cs="Arial"/>
          <w:sz w:val="24"/>
          <w:szCs w:val="24"/>
        </w:rPr>
        <w:t>. Every time a new legal issue occurred, the ruling established a guideline to be followed in all similar instances, making the law more predictable. This led to the creation of a common law</w:t>
      </w:r>
      <w:r w:rsidR="005A60DF" w:rsidRPr="00852F6D">
        <w:rPr>
          <w:rFonts w:ascii="Arial" w:hAnsi="Arial" w:cs="Arial"/>
          <w:sz w:val="24"/>
          <w:szCs w:val="24"/>
        </w:rPr>
        <w:t>,</w:t>
      </w:r>
      <w:r w:rsidRPr="00852F6D">
        <w:rPr>
          <w:rFonts w:ascii="Arial" w:hAnsi="Arial" w:cs="Arial"/>
          <w:sz w:val="24"/>
          <w:szCs w:val="24"/>
        </w:rPr>
        <w:t xml:space="preserve"> that governed the whole nation, would be enforced consistently, and could be used to forecast how the courts could rule in a specific instance. The beginnings of common law</w:t>
      </w:r>
      <w:r w:rsidR="002D41D9" w:rsidRPr="00852F6D">
        <w:rPr>
          <w:rFonts w:ascii="Arial" w:hAnsi="Arial" w:cs="Arial"/>
          <w:sz w:val="24"/>
          <w:szCs w:val="24"/>
        </w:rPr>
        <w:t xml:space="preserve"> begin in</w:t>
      </w:r>
      <w:r w:rsidRPr="00852F6D">
        <w:rPr>
          <w:rFonts w:ascii="Arial" w:hAnsi="Arial" w:cs="Arial"/>
          <w:sz w:val="24"/>
          <w:szCs w:val="24"/>
        </w:rPr>
        <w:t xml:space="preserve"> The King's Court (Curia Regis), a single royal court set up for much of the kingdom at Westminster, near London, established English common law in the early Middle Ages. It, like many other early legal systems, began with procedural remedies rather</w:t>
      </w:r>
      <w:r w:rsidR="00BA0619" w:rsidRPr="00852F6D">
        <w:rPr>
          <w:rFonts w:ascii="Arial" w:hAnsi="Arial" w:cs="Arial"/>
          <w:sz w:val="24"/>
          <w:szCs w:val="24"/>
        </w:rPr>
        <w:t>,</w:t>
      </w:r>
      <w:r w:rsidRPr="00852F6D">
        <w:rPr>
          <w:rFonts w:ascii="Arial" w:hAnsi="Arial" w:cs="Arial"/>
          <w:sz w:val="24"/>
          <w:szCs w:val="24"/>
        </w:rPr>
        <w:t xml:space="preserve"> than substantive rights, with King Henry II's legal changes in the 12th century following the Norman Conquest in 1066,</w:t>
      </w:r>
      <w:r w:rsidR="00F937EB">
        <w:rPr>
          <w:rFonts w:ascii="Arial" w:hAnsi="Arial" w:cs="Arial"/>
          <w:sz w:val="24"/>
          <w:szCs w:val="24"/>
        </w:rPr>
        <w:t xml:space="preserve"> as stated by </w:t>
      </w:r>
      <w:r w:rsidR="00F937EB" w:rsidRPr="00F85202">
        <w:rPr>
          <w:rFonts w:ascii="Arial" w:hAnsi="Arial" w:cs="Arial"/>
          <w:sz w:val="24"/>
          <w:szCs w:val="24"/>
        </w:rPr>
        <w:t>(</w:t>
      </w:r>
      <w:r w:rsidR="00F937EB" w:rsidRPr="00F85202">
        <w:rPr>
          <w:rFonts w:ascii="Arial" w:hAnsi="Arial" w:cs="Arial"/>
          <w:i/>
          <w:iCs/>
          <w:sz w:val="24"/>
          <w:szCs w:val="24"/>
        </w:rPr>
        <w:t>The English legal system</w:t>
      </w:r>
      <w:r w:rsidR="00F937EB" w:rsidRPr="00F85202">
        <w:rPr>
          <w:rFonts w:ascii="Arial" w:hAnsi="Arial" w:cs="Arial"/>
          <w:sz w:val="24"/>
          <w:szCs w:val="24"/>
        </w:rPr>
        <w:t>, 2018</w:t>
      </w:r>
      <w:r w:rsidR="00F937EB" w:rsidRPr="00414EA1">
        <w:rPr>
          <w:rFonts w:ascii="Arial" w:hAnsi="Arial" w:cs="Arial"/>
          <w:sz w:val="24"/>
          <w:szCs w:val="24"/>
        </w:rPr>
        <w:t>)</w:t>
      </w:r>
      <w:r w:rsidRPr="00414EA1">
        <w:rPr>
          <w:rFonts w:ascii="Arial" w:hAnsi="Arial" w:cs="Arial"/>
          <w:sz w:val="24"/>
          <w:szCs w:val="24"/>
        </w:rPr>
        <w:t xml:space="preserve"> named </w:t>
      </w:r>
      <w:r w:rsidR="009A098A" w:rsidRPr="00414EA1">
        <w:rPr>
          <w:rFonts w:ascii="Arial" w:hAnsi="Arial" w:cs="Arial"/>
          <w:sz w:val="24"/>
          <w:szCs w:val="24"/>
        </w:rPr>
        <w:t xml:space="preserve">it </w:t>
      </w:r>
      <w:r w:rsidRPr="00414EA1">
        <w:rPr>
          <w:rFonts w:ascii="Arial" w:hAnsi="Arial" w:cs="Arial"/>
          <w:sz w:val="24"/>
          <w:szCs w:val="24"/>
        </w:rPr>
        <w:t>common because it applied evenly over the whole kingdom</w:t>
      </w:r>
      <w:r w:rsidRPr="00852F6D">
        <w:rPr>
          <w:rFonts w:ascii="Arial" w:hAnsi="Arial" w:cs="Arial"/>
          <w:sz w:val="24"/>
          <w:szCs w:val="24"/>
        </w:rPr>
        <w:t xml:space="preserve">. </w:t>
      </w:r>
      <w:r w:rsidR="00744DAC" w:rsidRPr="00852F6D">
        <w:rPr>
          <w:rFonts w:ascii="Arial" w:hAnsi="Arial" w:cs="Arial"/>
          <w:sz w:val="24"/>
          <w:szCs w:val="24"/>
        </w:rPr>
        <w:t>The law stated by judges, drawn from tradition and precedent, is known as common law,</w:t>
      </w:r>
      <w:r w:rsidRPr="00852F6D">
        <w:rPr>
          <w:rFonts w:ascii="Arial" w:hAnsi="Arial" w:cs="Arial"/>
          <w:sz w:val="24"/>
          <w:szCs w:val="24"/>
        </w:rPr>
        <w:t xml:space="preserve"> is a body of law based on common practice</w:t>
      </w:r>
      <w:r w:rsidR="0025241E" w:rsidRPr="00852F6D">
        <w:rPr>
          <w:rFonts w:ascii="Arial" w:hAnsi="Arial" w:cs="Arial"/>
          <w:sz w:val="24"/>
          <w:szCs w:val="24"/>
        </w:rPr>
        <w:t>,</w:t>
      </w:r>
      <w:r w:rsidRPr="00852F6D">
        <w:rPr>
          <w:rFonts w:ascii="Arial" w:hAnsi="Arial" w:cs="Arial"/>
          <w:sz w:val="24"/>
          <w:szCs w:val="24"/>
        </w:rPr>
        <w:t xml:space="preserve"> and broad ideas</w:t>
      </w:r>
      <w:r w:rsidR="0025241E" w:rsidRPr="00852F6D">
        <w:rPr>
          <w:rFonts w:ascii="Arial" w:hAnsi="Arial" w:cs="Arial"/>
          <w:sz w:val="24"/>
          <w:szCs w:val="24"/>
        </w:rPr>
        <w:t>,</w:t>
      </w:r>
      <w:r w:rsidRPr="00852F6D">
        <w:rPr>
          <w:rFonts w:ascii="Arial" w:hAnsi="Arial" w:cs="Arial"/>
          <w:sz w:val="24"/>
          <w:szCs w:val="24"/>
        </w:rPr>
        <w:t xml:space="preserve"> that are incorporated in case law</w:t>
      </w:r>
      <w:r w:rsidR="0025241E" w:rsidRPr="00852F6D">
        <w:rPr>
          <w:rFonts w:ascii="Arial" w:hAnsi="Arial" w:cs="Arial"/>
          <w:sz w:val="24"/>
          <w:szCs w:val="24"/>
        </w:rPr>
        <w:t>,</w:t>
      </w:r>
      <w:r w:rsidRPr="00852F6D">
        <w:rPr>
          <w:rFonts w:ascii="Arial" w:hAnsi="Arial" w:cs="Arial"/>
          <w:sz w:val="24"/>
          <w:szCs w:val="24"/>
        </w:rPr>
        <w:t xml:space="preserve"> and used as a precedent</w:t>
      </w:r>
      <w:r w:rsidR="0025241E" w:rsidRPr="00852F6D">
        <w:rPr>
          <w:rFonts w:ascii="Arial" w:hAnsi="Arial" w:cs="Arial"/>
          <w:sz w:val="24"/>
          <w:szCs w:val="24"/>
        </w:rPr>
        <w:t>,</w:t>
      </w:r>
      <w:r w:rsidRPr="00852F6D">
        <w:rPr>
          <w:rFonts w:ascii="Arial" w:hAnsi="Arial" w:cs="Arial"/>
          <w:sz w:val="24"/>
          <w:szCs w:val="24"/>
        </w:rPr>
        <w:t xml:space="preserve"> or in instances when statutes are not applicable. When a court rules on a case</w:t>
      </w:r>
      <w:r w:rsidR="0025241E" w:rsidRPr="00852F6D">
        <w:rPr>
          <w:rFonts w:ascii="Arial" w:hAnsi="Arial" w:cs="Arial"/>
          <w:sz w:val="24"/>
          <w:szCs w:val="24"/>
        </w:rPr>
        <w:t>,</w:t>
      </w:r>
      <w:r w:rsidRPr="00852F6D">
        <w:rPr>
          <w:rFonts w:ascii="Arial" w:hAnsi="Arial" w:cs="Arial"/>
          <w:sz w:val="24"/>
          <w:szCs w:val="24"/>
        </w:rPr>
        <w:t xml:space="preserve"> and publishes its ruling under the common-law system, the case enters the body of law</w:t>
      </w:r>
      <w:r w:rsidR="0025241E" w:rsidRPr="00852F6D">
        <w:rPr>
          <w:rFonts w:ascii="Arial" w:hAnsi="Arial" w:cs="Arial"/>
          <w:sz w:val="24"/>
          <w:szCs w:val="24"/>
        </w:rPr>
        <w:t>,</w:t>
      </w:r>
      <w:r w:rsidRPr="00852F6D">
        <w:rPr>
          <w:rFonts w:ascii="Arial" w:hAnsi="Arial" w:cs="Arial"/>
          <w:sz w:val="24"/>
          <w:szCs w:val="24"/>
        </w:rPr>
        <w:t xml:space="preserve"> and can be used in subsequent cases involving the same issues. </w:t>
      </w:r>
      <w:r w:rsidRPr="00852F6D">
        <w:rPr>
          <w:rFonts w:ascii="Arial" w:hAnsi="Arial" w:cs="Arial"/>
          <w:i/>
          <w:iCs/>
          <w:sz w:val="24"/>
          <w:szCs w:val="24"/>
        </w:rPr>
        <w:t>Stare decisis</w:t>
      </w:r>
      <w:r w:rsidRPr="00852F6D">
        <w:rPr>
          <w:rFonts w:ascii="Arial" w:hAnsi="Arial" w:cs="Arial"/>
          <w:sz w:val="24"/>
          <w:szCs w:val="24"/>
        </w:rPr>
        <w:t xml:space="preserve"> is the legal term for this use of precedents. </w:t>
      </w:r>
      <w:r w:rsidR="00656F1D" w:rsidRPr="00852F6D">
        <w:rPr>
          <w:rFonts w:ascii="Arial" w:hAnsi="Arial" w:cs="Arial"/>
          <w:sz w:val="24"/>
          <w:szCs w:val="24"/>
        </w:rPr>
        <w:t xml:space="preserve">The concept </w:t>
      </w:r>
      <w:r w:rsidR="00F208A4" w:rsidRPr="00852F6D">
        <w:rPr>
          <w:rFonts w:ascii="Arial" w:hAnsi="Arial" w:cs="Arial"/>
          <w:sz w:val="24"/>
          <w:szCs w:val="24"/>
        </w:rPr>
        <w:t xml:space="preserve">is </w:t>
      </w:r>
      <w:r w:rsidR="00327302" w:rsidRPr="00852F6D">
        <w:rPr>
          <w:rFonts w:ascii="Arial" w:hAnsi="Arial" w:cs="Arial"/>
          <w:sz w:val="24"/>
          <w:szCs w:val="24"/>
        </w:rPr>
        <w:t>it</w:t>
      </w:r>
      <w:r w:rsidR="00F208A4" w:rsidRPr="00852F6D">
        <w:rPr>
          <w:rFonts w:ascii="Arial" w:hAnsi="Arial" w:cs="Arial"/>
          <w:sz w:val="24"/>
          <w:szCs w:val="24"/>
        </w:rPr>
        <w:t>,</w:t>
      </w:r>
      <w:r w:rsidR="00656F1D" w:rsidRPr="00852F6D">
        <w:rPr>
          <w:rFonts w:ascii="Arial" w:hAnsi="Arial" w:cs="Arial"/>
          <w:sz w:val="24"/>
          <w:szCs w:val="24"/>
        </w:rPr>
        <w:t xml:space="preserve"> implies when one court is bound by a legal principle originating from another court, and a legal principle that significantly influenced the outcome of a prior case and must be applied to a current case based on comparable </w:t>
      </w:r>
      <w:r w:rsidR="00327302" w:rsidRPr="00852F6D">
        <w:rPr>
          <w:rFonts w:ascii="Arial" w:hAnsi="Arial" w:cs="Arial"/>
          <w:sz w:val="24"/>
          <w:szCs w:val="24"/>
        </w:rPr>
        <w:t>facts. The</w:t>
      </w:r>
      <w:r w:rsidRPr="00852F6D">
        <w:rPr>
          <w:rFonts w:ascii="Arial" w:hAnsi="Arial" w:cs="Arial"/>
          <w:sz w:val="24"/>
          <w:szCs w:val="24"/>
        </w:rPr>
        <w:t xml:space="preserve"> common law includes both substantive rules, such as the offense of murder, and procedural ones, such as court procedure rules derived from the inherent jurisdiction of the court. A hierarchy of precedent developed from the fundamental principle of </w:t>
      </w:r>
      <w:r w:rsidRPr="00852F6D">
        <w:rPr>
          <w:rFonts w:ascii="Arial" w:hAnsi="Arial" w:cs="Arial"/>
          <w:i/>
          <w:iCs/>
          <w:sz w:val="24"/>
          <w:szCs w:val="24"/>
        </w:rPr>
        <w:t>stare decisis</w:t>
      </w:r>
      <w:r w:rsidRPr="00852F6D">
        <w:rPr>
          <w:rFonts w:ascii="Arial" w:hAnsi="Arial" w:cs="Arial"/>
          <w:sz w:val="24"/>
          <w:szCs w:val="24"/>
        </w:rPr>
        <w:t xml:space="preserve">, in keeping with the hierarchy of the contemporary judicial system, such that generally, a judge must abide by decisions reached in courts that are higher up the hierarchy than his or her own. </w:t>
      </w:r>
      <w:r w:rsidR="003C21E2" w:rsidRPr="00852F6D">
        <w:rPr>
          <w:rFonts w:ascii="Arial" w:hAnsi="Arial" w:cs="Arial"/>
          <w:sz w:val="24"/>
          <w:szCs w:val="24"/>
        </w:rPr>
        <w:t>Additionally</w:t>
      </w:r>
      <w:r w:rsidRPr="00852F6D">
        <w:rPr>
          <w:rFonts w:ascii="Arial" w:hAnsi="Arial" w:cs="Arial"/>
          <w:sz w:val="24"/>
          <w:szCs w:val="24"/>
        </w:rPr>
        <w:t xml:space="preserve"> we have Civil law, which is primarily interested in disputes between private individuals when one party commits an offense, that is damaging to another party's person, rights, or property. Conflicts between persons and organizations are also resolved by civil law. If you are found guilty of a civil offense, you most likely won't go to jail</w:t>
      </w:r>
      <w:r w:rsidR="002D79CF" w:rsidRPr="00852F6D">
        <w:rPr>
          <w:rFonts w:ascii="Arial" w:hAnsi="Arial" w:cs="Arial"/>
          <w:sz w:val="24"/>
          <w:szCs w:val="24"/>
        </w:rPr>
        <w:t>,</w:t>
      </w:r>
      <w:r w:rsidRPr="00852F6D">
        <w:rPr>
          <w:rFonts w:ascii="Arial" w:hAnsi="Arial" w:cs="Arial"/>
          <w:sz w:val="24"/>
          <w:szCs w:val="24"/>
        </w:rPr>
        <w:t xml:space="preserve"> but will be required to pay damages instead. In addition, if you don't agree with the decision, you can appeal the case. In a civil matter, the parties may </w:t>
      </w:r>
      <w:r w:rsidR="002D79CF" w:rsidRPr="00852F6D">
        <w:rPr>
          <w:rFonts w:ascii="Arial" w:hAnsi="Arial" w:cs="Arial"/>
          <w:sz w:val="24"/>
          <w:szCs w:val="24"/>
        </w:rPr>
        <w:t>appeal. The</w:t>
      </w:r>
      <w:r w:rsidRPr="00852F6D">
        <w:rPr>
          <w:rFonts w:ascii="Arial" w:hAnsi="Arial" w:cs="Arial"/>
          <w:sz w:val="24"/>
          <w:szCs w:val="24"/>
        </w:rPr>
        <w:t xml:space="preserve"> main distinction between these two systems of law is that common law is not codified, at least not in the same sense, as civil law is.</w:t>
      </w:r>
      <w:r w:rsidR="002D79CF" w:rsidRPr="00852F6D">
        <w:rPr>
          <w:rFonts w:ascii="Arial" w:hAnsi="Arial" w:cs="Arial"/>
          <w:sz w:val="24"/>
          <w:szCs w:val="24"/>
        </w:rPr>
        <w:t xml:space="preserve"> </w:t>
      </w:r>
      <w:r w:rsidRPr="00852F6D">
        <w:rPr>
          <w:rFonts w:ascii="Arial" w:hAnsi="Arial" w:cs="Arial"/>
          <w:sz w:val="24"/>
          <w:szCs w:val="24"/>
        </w:rPr>
        <w:t>Legal codes are the foundation of a civil law system, whereas statutes and case law form the basis of a common law system. The main distinction between these two systems of law</w:t>
      </w:r>
      <w:r w:rsidR="00DD1141" w:rsidRPr="00852F6D">
        <w:rPr>
          <w:rFonts w:ascii="Arial" w:hAnsi="Arial" w:cs="Arial"/>
          <w:sz w:val="24"/>
          <w:szCs w:val="24"/>
        </w:rPr>
        <w:t>,</w:t>
      </w:r>
      <w:r w:rsidRPr="00852F6D">
        <w:rPr>
          <w:rFonts w:ascii="Arial" w:hAnsi="Arial" w:cs="Arial"/>
          <w:sz w:val="24"/>
          <w:szCs w:val="24"/>
        </w:rPr>
        <w:t xml:space="preserve"> is that civil law has been codified, but common</w:t>
      </w:r>
      <w:r w:rsidR="00F914FA" w:rsidRPr="00852F6D">
        <w:rPr>
          <w:rFonts w:ascii="Arial" w:hAnsi="Arial" w:cs="Arial"/>
          <w:sz w:val="24"/>
          <w:szCs w:val="24"/>
        </w:rPr>
        <w:t xml:space="preserve"> </w:t>
      </w:r>
      <w:r w:rsidRPr="00852F6D">
        <w:rPr>
          <w:rFonts w:ascii="Arial" w:hAnsi="Arial" w:cs="Arial"/>
          <w:sz w:val="24"/>
          <w:szCs w:val="24"/>
        </w:rPr>
        <w:t>law has not, at least not yet. Civil law judges conduct investigations and gather the evidence before comparing it to civil code provisions to make a decision. Where is the nature of common law systems is more organic and less organized. Courts are crucial in the development of the law since legislative legislation is not always as extensive</w:t>
      </w:r>
      <w:r w:rsidR="00CA774A" w:rsidRPr="00852F6D">
        <w:rPr>
          <w:rFonts w:ascii="Arial" w:hAnsi="Arial" w:cs="Arial"/>
          <w:sz w:val="24"/>
          <w:szCs w:val="24"/>
        </w:rPr>
        <w:t>,</w:t>
      </w:r>
      <w:r w:rsidRPr="00852F6D">
        <w:rPr>
          <w:rFonts w:ascii="Arial" w:hAnsi="Arial" w:cs="Arial"/>
          <w:sz w:val="24"/>
          <w:szCs w:val="24"/>
        </w:rPr>
        <w:t xml:space="preserve"> as in nations with civil law. So, case law is a significant source of law, and as a result, judges are increasingly involved in influencing the legal system. Nevertheless, common law reflect elements of civil law practice and vice </w:t>
      </w:r>
      <w:r w:rsidR="00CA5F5D" w:rsidRPr="00852F6D">
        <w:rPr>
          <w:rFonts w:ascii="Arial" w:hAnsi="Arial" w:cs="Arial"/>
          <w:sz w:val="24"/>
          <w:szCs w:val="24"/>
        </w:rPr>
        <w:t>versa. To</w:t>
      </w:r>
      <w:r w:rsidRPr="00852F6D">
        <w:rPr>
          <w:rFonts w:ascii="Arial" w:hAnsi="Arial" w:cs="Arial"/>
          <w:sz w:val="24"/>
          <w:szCs w:val="24"/>
        </w:rPr>
        <w:t xml:space="preserve"> comprehend the legal system, however, will first grasp </w:t>
      </w:r>
      <w:r w:rsidRPr="00852F6D">
        <w:rPr>
          <w:rFonts w:ascii="Arial" w:hAnsi="Arial" w:cs="Arial"/>
          <w:sz w:val="24"/>
          <w:szCs w:val="24"/>
        </w:rPr>
        <w:lastRenderedPageBreak/>
        <w:t>the foundation in which the legal system operates, which is the constitution. A constitution is a set of regulations</w:t>
      </w:r>
      <w:r w:rsidR="009E1C62" w:rsidRPr="00852F6D">
        <w:rPr>
          <w:rFonts w:ascii="Arial" w:hAnsi="Arial" w:cs="Arial"/>
          <w:sz w:val="24"/>
          <w:szCs w:val="24"/>
        </w:rPr>
        <w:t>,</w:t>
      </w:r>
      <w:r w:rsidRPr="00852F6D">
        <w:rPr>
          <w:rFonts w:ascii="Arial" w:hAnsi="Arial" w:cs="Arial"/>
          <w:sz w:val="24"/>
          <w:szCs w:val="24"/>
        </w:rPr>
        <w:t xml:space="preserve"> that describes a country's system of administration. In most situations, the constitution is written down in one document, however in certain countries, notably Britain, the constitution is unwritten, although many nations have a system based on English, it is still incredibly distinctive. The constitution essentially establishes general rules governing who creates laws and how, as well as allocating authority among the three main institutions of the state: government, parliament, and the </w:t>
      </w:r>
      <w:r w:rsidR="00CA5F5D" w:rsidRPr="00852F6D">
        <w:rPr>
          <w:rFonts w:ascii="Arial" w:hAnsi="Arial" w:cs="Arial"/>
          <w:sz w:val="24"/>
          <w:szCs w:val="24"/>
        </w:rPr>
        <w:t>court. They</w:t>
      </w:r>
      <w:r w:rsidRPr="00852F6D">
        <w:rPr>
          <w:rFonts w:ascii="Arial" w:hAnsi="Arial" w:cs="Arial"/>
          <w:sz w:val="24"/>
          <w:szCs w:val="24"/>
        </w:rPr>
        <w:t xml:space="preserve"> may also indicate the basic values on which the country's citizens should expect to be governed, as stated by </w:t>
      </w:r>
      <w:r w:rsidR="00816236" w:rsidRPr="00816236">
        <w:rPr>
          <w:rFonts w:ascii="Arial" w:hAnsi="Arial" w:cs="Arial"/>
          <w:i/>
          <w:iCs/>
          <w:sz w:val="24"/>
          <w:szCs w:val="24"/>
        </w:rPr>
        <w:t xml:space="preserve">( </w:t>
      </w:r>
      <w:r w:rsidRPr="00816236">
        <w:rPr>
          <w:rFonts w:ascii="Arial" w:hAnsi="Arial" w:cs="Arial"/>
          <w:i/>
          <w:iCs/>
          <w:sz w:val="24"/>
          <w:szCs w:val="24"/>
        </w:rPr>
        <w:t>Allbon and Dua (2020)</w:t>
      </w:r>
      <w:r w:rsidRPr="00852F6D">
        <w:rPr>
          <w:rFonts w:ascii="Arial" w:hAnsi="Arial" w:cs="Arial"/>
          <w:sz w:val="24"/>
          <w:szCs w:val="24"/>
        </w:rPr>
        <w:t xml:space="preserve"> "such as the idea that citizens should not be penalized unless they have violated the rules, or that certain rights and freedoms should be guaranteed and the state should be forbidden from violating </w:t>
      </w:r>
      <w:r w:rsidR="005F4C9A" w:rsidRPr="00852F6D">
        <w:rPr>
          <w:rFonts w:ascii="Arial" w:hAnsi="Arial" w:cs="Arial"/>
          <w:sz w:val="24"/>
          <w:szCs w:val="24"/>
        </w:rPr>
        <w:t>them”. Many</w:t>
      </w:r>
      <w:r w:rsidRPr="00852F6D">
        <w:rPr>
          <w:rFonts w:ascii="Arial" w:hAnsi="Arial" w:cs="Arial"/>
          <w:sz w:val="24"/>
          <w:szCs w:val="24"/>
        </w:rPr>
        <w:t xml:space="preserve"> of the most crucial constitutional foundations are contained in an unwritten practice known</w:t>
      </w:r>
      <w:r w:rsidR="00515BBA" w:rsidRPr="00852F6D">
        <w:rPr>
          <w:rFonts w:ascii="Arial" w:hAnsi="Arial" w:cs="Arial"/>
          <w:sz w:val="24"/>
          <w:szCs w:val="24"/>
        </w:rPr>
        <w:t>,</w:t>
      </w:r>
      <w:r w:rsidRPr="00852F6D">
        <w:rPr>
          <w:rFonts w:ascii="Arial" w:hAnsi="Arial" w:cs="Arial"/>
          <w:sz w:val="24"/>
          <w:szCs w:val="24"/>
        </w:rPr>
        <w:t xml:space="preserve"> as constitutional conventions rather</w:t>
      </w:r>
      <w:r w:rsidR="00515BBA" w:rsidRPr="00852F6D">
        <w:rPr>
          <w:rFonts w:ascii="Arial" w:hAnsi="Arial" w:cs="Arial"/>
          <w:sz w:val="24"/>
          <w:szCs w:val="24"/>
        </w:rPr>
        <w:t>,</w:t>
      </w:r>
      <w:r w:rsidRPr="00852F6D">
        <w:rPr>
          <w:rFonts w:ascii="Arial" w:hAnsi="Arial" w:cs="Arial"/>
          <w:sz w:val="24"/>
          <w:szCs w:val="24"/>
        </w:rPr>
        <w:t xml:space="preserve"> than any written document. A constitutional monarchy is one example of a constitutional convention. It implies that the Queen is not actively involved in the </w:t>
      </w:r>
      <w:r w:rsidR="00CA5F5D" w:rsidRPr="00852F6D">
        <w:rPr>
          <w:rFonts w:ascii="Arial" w:hAnsi="Arial" w:cs="Arial"/>
          <w:sz w:val="24"/>
          <w:szCs w:val="24"/>
        </w:rPr>
        <w:t>government. The</w:t>
      </w:r>
      <w:r w:rsidRPr="00852F6D">
        <w:rPr>
          <w:rFonts w:ascii="Arial" w:hAnsi="Arial" w:cs="Arial"/>
          <w:sz w:val="24"/>
          <w:szCs w:val="24"/>
        </w:rPr>
        <w:t xml:space="preserve"> three main ideas</w:t>
      </w:r>
      <w:r w:rsidR="00515BBA" w:rsidRPr="00852F6D">
        <w:rPr>
          <w:rFonts w:ascii="Arial" w:hAnsi="Arial" w:cs="Arial"/>
          <w:sz w:val="24"/>
          <w:szCs w:val="24"/>
        </w:rPr>
        <w:t>,</w:t>
      </w:r>
      <w:r w:rsidRPr="00852F6D">
        <w:rPr>
          <w:rFonts w:ascii="Arial" w:hAnsi="Arial" w:cs="Arial"/>
          <w:sz w:val="24"/>
          <w:szCs w:val="24"/>
        </w:rPr>
        <w:t xml:space="preserve"> that form the foundation of the constitution</w:t>
      </w:r>
      <w:r w:rsidR="00515BBA" w:rsidRPr="00852F6D">
        <w:rPr>
          <w:rFonts w:ascii="Arial" w:hAnsi="Arial" w:cs="Arial"/>
          <w:sz w:val="24"/>
          <w:szCs w:val="24"/>
        </w:rPr>
        <w:t>,</w:t>
      </w:r>
      <w:r w:rsidRPr="00852F6D">
        <w:rPr>
          <w:rFonts w:ascii="Arial" w:hAnsi="Arial" w:cs="Arial"/>
          <w:sz w:val="24"/>
          <w:szCs w:val="24"/>
        </w:rPr>
        <w:t xml:space="preserve"> are the sovereignty of the parliament, the rule of law, and the separation of powers. The claim of Parliament's sovereignty, in another word, states that Parliament is the supreme legal authority for enacting a law in the United Kingdom. Furthermore, The Rule of Law demands, that the methods by which decisions are made must be fair and</w:t>
      </w:r>
      <w:r w:rsidR="00734C1C" w:rsidRPr="00852F6D">
        <w:rPr>
          <w:rFonts w:ascii="Arial" w:hAnsi="Arial" w:cs="Arial"/>
          <w:sz w:val="24"/>
          <w:szCs w:val="24"/>
        </w:rPr>
        <w:t>,</w:t>
      </w:r>
      <w:r w:rsidRPr="00852F6D">
        <w:rPr>
          <w:rFonts w:ascii="Arial" w:hAnsi="Arial" w:cs="Arial"/>
          <w:sz w:val="24"/>
          <w:szCs w:val="24"/>
        </w:rPr>
        <w:t xml:space="preserve"> that the power should not be exerted by individuals working by</w:t>
      </w:r>
      <w:r w:rsidR="00734C1C" w:rsidRPr="00852F6D">
        <w:rPr>
          <w:rFonts w:ascii="Arial" w:hAnsi="Arial" w:cs="Arial"/>
          <w:sz w:val="24"/>
          <w:szCs w:val="24"/>
        </w:rPr>
        <w:t>,</w:t>
      </w:r>
      <w:r w:rsidRPr="00852F6D">
        <w:rPr>
          <w:rFonts w:ascii="Arial" w:hAnsi="Arial" w:cs="Arial"/>
          <w:sz w:val="24"/>
          <w:szCs w:val="24"/>
        </w:rPr>
        <w:t xml:space="preserve"> or on behalf of the state without those individuals being able to cite a legal justification for their conduct. This principle of the Rule of Law is permanently recognized in </w:t>
      </w:r>
      <w:r w:rsidRPr="00852F6D">
        <w:rPr>
          <w:rFonts w:ascii="Arial" w:hAnsi="Arial" w:cs="Arial"/>
          <w:i/>
          <w:iCs/>
          <w:sz w:val="24"/>
          <w:szCs w:val="24"/>
        </w:rPr>
        <w:t>Constitutional Reform Act of 2005</w:t>
      </w:r>
      <w:r w:rsidR="00A96B82" w:rsidRPr="00852F6D">
        <w:rPr>
          <w:rFonts w:ascii="Arial" w:hAnsi="Arial" w:cs="Arial"/>
          <w:i/>
          <w:iCs/>
          <w:sz w:val="24"/>
          <w:szCs w:val="24"/>
        </w:rPr>
        <w:t xml:space="preserve"> S</w:t>
      </w:r>
      <w:r w:rsidR="00FD57E1" w:rsidRPr="00852F6D">
        <w:rPr>
          <w:rFonts w:ascii="Arial" w:hAnsi="Arial" w:cs="Arial"/>
          <w:i/>
          <w:iCs/>
          <w:sz w:val="24"/>
          <w:szCs w:val="24"/>
        </w:rPr>
        <w:t xml:space="preserve"> </w:t>
      </w:r>
      <w:r w:rsidR="00A96B82" w:rsidRPr="00852F6D">
        <w:rPr>
          <w:rFonts w:ascii="Arial" w:hAnsi="Arial" w:cs="Arial"/>
          <w:i/>
          <w:iCs/>
          <w:sz w:val="24"/>
          <w:szCs w:val="24"/>
        </w:rPr>
        <w:t>1</w:t>
      </w:r>
      <w:r w:rsidR="00FD57E1" w:rsidRPr="00852F6D">
        <w:rPr>
          <w:rFonts w:ascii="Arial" w:hAnsi="Arial" w:cs="Arial"/>
          <w:sz w:val="24"/>
          <w:szCs w:val="24"/>
        </w:rPr>
        <w:t>.</w:t>
      </w:r>
    </w:p>
    <w:p w14:paraId="05B5FE79" w14:textId="78435471" w:rsidR="00975D13" w:rsidRPr="00852F6D" w:rsidRDefault="00975D13" w:rsidP="00F914FA">
      <w:pPr>
        <w:rPr>
          <w:rFonts w:ascii="Arial" w:hAnsi="Arial" w:cs="Arial"/>
          <w:sz w:val="24"/>
          <w:szCs w:val="24"/>
        </w:rPr>
      </w:pPr>
      <w:r w:rsidRPr="00852F6D">
        <w:rPr>
          <w:rFonts w:ascii="Arial" w:hAnsi="Arial" w:cs="Arial"/>
          <w:sz w:val="24"/>
          <w:szCs w:val="24"/>
        </w:rPr>
        <w:t>According to the theory created in the 18 Century by French philosopher Montesquieu (</w:t>
      </w:r>
      <w:r w:rsidRPr="00852F6D">
        <w:rPr>
          <w:rFonts w:ascii="Arial" w:hAnsi="Arial" w:cs="Arial"/>
          <w:i/>
          <w:iCs/>
          <w:sz w:val="24"/>
          <w:szCs w:val="24"/>
        </w:rPr>
        <w:t>See Cohler et al., 1989</w:t>
      </w:r>
      <w:r w:rsidRPr="00852F6D">
        <w:rPr>
          <w:rFonts w:ascii="Arial" w:hAnsi="Arial" w:cs="Arial"/>
          <w:sz w:val="24"/>
          <w:szCs w:val="24"/>
        </w:rPr>
        <w:t xml:space="preserve">),The separation of powers, is one of the essential ideas guiding our constitution, which would mean, that to </w:t>
      </w:r>
      <w:r w:rsidR="00BE2B77" w:rsidRPr="00852F6D">
        <w:rPr>
          <w:rFonts w:ascii="Arial" w:hAnsi="Arial" w:cs="Arial"/>
          <w:sz w:val="24"/>
          <w:szCs w:val="24"/>
        </w:rPr>
        <w:t xml:space="preserve">eliminate any </w:t>
      </w:r>
      <w:r w:rsidRPr="00852F6D">
        <w:rPr>
          <w:rFonts w:ascii="Arial" w:hAnsi="Arial" w:cs="Arial"/>
          <w:sz w:val="24"/>
          <w:szCs w:val="24"/>
        </w:rPr>
        <w:t xml:space="preserve"> brand </w:t>
      </w:r>
      <w:r w:rsidR="00BD7A52" w:rsidRPr="00852F6D">
        <w:rPr>
          <w:rFonts w:ascii="Arial" w:hAnsi="Arial" w:cs="Arial"/>
          <w:sz w:val="24"/>
          <w:szCs w:val="24"/>
        </w:rPr>
        <w:t>of government from being excessively</w:t>
      </w:r>
      <w:r w:rsidRPr="00852F6D">
        <w:rPr>
          <w:rFonts w:ascii="Arial" w:hAnsi="Arial" w:cs="Arial"/>
          <w:sz w:val="24"/>
          <w:szCs w:val="24"/>
        </w:rPr>
        <w:t xml:space="preserve"> powerful, there should be a distinction </w:t>
      </w:r>
      <w:r w:rsidR="0064661A" w:rsidRPr="00852F6D">
        <w:rPr>
          <w:rFonts w:ascii="Arial" w:hAnsi="Arial" w:cs="Arial"/>
          <w:sz w:val="24"/>
          <w:szCs w:val="24"/>
        </w:rPr>
        <w:t xml:space="preserve">between the governmental </w:t>
      </w:r>
      <w:r w:rsidRPr="00852F6D">
        <w:rPr>
          <w:rFonts w:ascii="Arial" w:hAnsi="Arial" w:cs="Arial"/>
          <w:sz w:val="24"/>
          <w:szCs w:val="24"/>
        </w:rPr>
        <w:t xml:space="preserve">(Law – Making), Executive, and the </w:t>
      </w:r>
      <w:r w:rsidR="002D20A5" w:rsidRPr="00852F6D">
        <w:rPr>
          <w:rFonts w:ascii="Arial" w:hAnsi="Arial" w:cs="Arial"/>
          <w:sz w:val="24"/>
          <w:szCs w:val="24"/>
        </w:rPr>
        <w:t>branches of the judicial system</w:t>
      </w:r>
      <w:r w:rsidRPr="00852F6D">
        <w:rPr>
          <w:rFonts w:ascii="Arial" w:hAnsi="Arial" w:cs="Arial"/>
          <w:sz w:val="24"/>
          <w:szCs w:val="24"/>
        </w:rPr>
        <w:t>. To monitor each other's activities and ensure, that they do not act inappropriately. As stated in:</w:t>
      </w:r>
      <w:r w:rsidRPr="00852F6D">
        <w:rPr>
          <w:rFonts w:ascii="Arial" w:hAnsi="Arial" w:cs="Arial"/>
          <w:i/>
          <w:iCs/>
          <w:sz w:val="24"/>
          <w:szCs w:val="24"/>
        </w:rPr>
        <w:t xml:space="preserve"> Constitutional Reform Act of 2005</w:t>
      </w:r>
      <w:r w:rsidR="009E3564" w:rsidRPr="00852F6D">
        <w:rPr>
          <w:rFonts w:ascii="Arial" w:hAnsi="Arial" w:cs="Arial"/>
          <w:sz w:val="24"/>
          <w:szCs w:val="24"/>
        </w:rPr>
        <w:t>,</w:t>
      </w:r>
      <w:r w:rsidR="009E3564" w:rsidRPr="00852F6D">
        <w:rPr>
          <w:rFonts w:ascii="Arial" w:hAnsi="Arial" w:cs="Arial"/>
          <w:i/>
          <w:iCs/>
          <w:sz w:val="24"/>
          <w:szCs w:val="24"/>
        </w:rPr>
        <w:t xml:space="preserve"> Section 3.</w:t>
      </w:r>
    </w:p>
    <w:p w14:paraId="608203B7" w14:textId="00F6FD44" w:rsidR="00975D13" w:rsidRPr="00852F6D" w:rsidRDefault="00975D13" w:rsidP="00F914FA">
      <w:pPr>
        <w:rPr>
          <w:rFonts w:ascii="Arial" w:hAnsi="Arial" w:cs="Arial"/>
          <w:sz w:val="24"/>
          <w:szCs w:val="24"/>
        </w:rPr>
      </w:pPr>
      <w:r w:rsidRPr="00852F6D">
        <w:rPr>
          <w:rFonts w:ascii="Arial" w:hAnsi="Arial" w:cs="Arial"/>
          <w:sz w:val="24"/>
          <w:szCs w:val="24"/>
        </w:rPr>
        <w:t xml:space="preserve">The Government's job, or that of the executive branch, is to put into effect the laws created by the legislature. The judiciary's role, or that of the courts, is to interpret the laws created by the legislature and put into effect by the executive </w:t>
      </w:r>
      <w:r w:rsidR="003345E2" w:rsidRPr="00852F6D">
        <w:rPr>
          <w:rFonts w:ascii="Arial" w:hAnsi="Arial" w:cs="Arial"/>
          <w:sz w:val="24"/>
          <w:szCs w:val="24"/>
        </w:rPr>
        <w:t>branch. Moreover</w:t>
      </w:r>
      <w:r w:rsidRPr="00852F6D">
        <w:rPr>
          <w:rFonts w:ascii="Arial" w:hAnsi="Arial" w:cs="Arial"/>
          <w:sz w:val="24"/>
          <w:szCs w:val="24"/>
        </w:rPr>
        <w:t xml:space="preserve">, some legal sources might be classified as main or </w:t>
      </w:r>
      <w:r w:rsidR="003345E2" w:rsidRPr="00852F6D">
        <w:rPr>
          <w:rFonts w:ascii="Arial" w:hAnsi="Arial" w:cs="Arial"/>
          <w:sz w:val="24"/>
          <w:szCs w:val="24"/>
        </w:rPr>
        <w:t>secondary. The</w:t>
      </w:r>
      <w:r w:rsidRPr="00852F6D">
        <w:rPr>
          <w:rFonts w:ascii="Arial" w:hAnsi="Arial" w:cs="Arial"/>
          <w:sz w:val="24"/>
          <w:szCs w:val="24"/>
        </w:rPr>
        <w:t xml:space="preserve"> primary source of law is legislation. It comprises a competent authority declaring legal norms. The law can serve numerous functions: it can regulate, allow, empower, give funding, sanction, proclaim, or limit, </w:t>
      </w:r>
      <w:r w:rsidR="00DA1A45" w:rsidRPr="00852F6D">
        <w:rPr>
          <w:rFonts w:ascii="Arial" w:hAnsi="Arial" w:cs="Arial"/>
          <w:sz w:val="24"/>
          <w:szCs w:val="24"/>
        </w:rPr>
        <w:t xml:space="preserve">etc. </w:t>
      </w:r>
      <w:r w:rsidR="00CB2411" w:rsidRPr="00852F6D">
        <w:rPr>
          <w:rFonts w:ascii="Arial" w:hAnsi="Arial" w:cs="Arial"/>
          <w:sz w:val="24"/>
          <w:szCs w:val="24"/>
        </w:rPr>
        <w:t xml:space="preserve">Then there is, </w:t>
      </w:r>
      <w:r w:rsidRPr="00852F6D">
        <w:rPr>
          <w:rFonts w:ascii="Arial" w:hAnsi="Arial" w:cs="Arial"/>
          <w:sz w:val="24"/>
          <w:szCs w:val="24"/>
        </w:rPr>
        <w:t>the Case law(judge-made law)which refers to decisions of higher courts, sometimes known as "courts of record," that are binding on and must be obeyed</w:t>
      </w:r>
      <w:r w:rsidR="00CB2411" w:rsidRPr="00852F6D">
        <w:rPr>
          <w:rFonts w:ascii="Arial" w:hAnsi="Arial" w:cs="Arial"/>
          <w:sz w:val="24"/>
          <w:szCs w:val="24"/>
        </w:rPr>
        <w:t>,</w:t>
      </w:r>
      <w:r w:rsidRPr="00852F6D">
        <w:rPr>
          <w:rFonts w:ascii="Arial" w:hAnsi="Arial" w:cs="Arial"/>
          <w:sz w:val="24"/>
          <w:szCs w:val="24"/>
        </w:rPr>
        <w:t xml:space="preserve"> and implemented by lower courts. It is founded on the </w:t>
      </w:r>
      <w:r w:rsidRPr="00852F6D">
        <w:rPr>
          <w:rFonts w:ascii="Arial" w:hAnsi="Arial" w:cs="Arial"/>
          <w:i/>
          <w:iCs/>
          <w:sz w:val="24"/>
          <w:szCs w:val="24"/>
        </w:rPr>
        <w:t>stare decisis theory</w:t>
      </w:r>
      <w:r w:rsidRPr="00852F6D">
        <w:rPr>
          <w:rFonts w:ascii="Arial" w:hAnsi="Arial" w:cs="Arial"/>
          <w:sz w:val="24"/>
          <w:szCs w:val="24"/>
        </w:rPr>
        <w:t xml:space="preserve"> and mostly linked with countries based on English common law, but the idea has been partially adopted by Civil Law systems.</w:t>
      </w:r>
    </w:p>
    <w:p w14:paraId="5B0A1B9C" w14:textId="5C53C00C" w:rsidR="008370BF" w:rsidRPr="00852F6D" w:rsidRDefault="00975D13" w:rsidP="00D61AF2">
      <w:pPr>
        <w:rPr>
          <w:rFonts w:ascii="Arial" w:hAnsi="Arial" w:cs="Arial"/>
          <w:sz w:val="24"/>
          <w:szCs w:val="24"/>
        </w:rPr>
      </w:pPr>
      <w:r w:rsidRPr="00852F6D">
        <w:rPr>
          <w:rFonts w:ascii="Arial" w:hAnsi="Arial" w:cs="Arial"/>
          <w:sz w:val="24"/>
          <w:szCs w:val="24"/>
        </w:rPr>
        <w:t xml:space="preserve">Precedent, as opposed to other legal authorities, has the benefit of adaptability and flexibility, which may allow a judge to apply "justice" as opposed to the </w:t>
      </w:r>
      <w:r w:rsidR="00F42257" w:rsidRPr="00852F6D">
        <w:rPr>
          <w:rFonts w:ascii="Arial" w:hAnsi="Arial" w:cs="Arial"/>
          <w:sz w:val="24"/>
          <w:szCs w:val="24"/>
        </w:rPr>
        <w:t>law. Secondary</w:t>
      </w:r>
      <w:r w:rsidR="005B1F2A" w:rsidRPr="00852F6D">
        <w:rPr>
          <w:rFonts w:ascii="Arial" w:hAnsi="Arial" w:cs="Arial"/>
          <w:sz w:val="24"/>
          <w:szCs w:val="24"/>
        </w:rPr>
        <w:t xml:space="preserve"> laws, rules, and orders established under the authority of an Act of Parliament are known as statutory instruments and enhance primary legislation</w:t>
      </w:r>
      <w:r w:rsidRPr="00852F6D">
        <w:rPr>
          <w:rFonts w:ascii="Arial" w:hAnsi="Arial" w:cs="Arial"/>
          <w:sz w:val="24"/>
          <w:szCs w:val="24"/>
        </w:rPr>
        <w:t xml:space="preserve">. </w:t>
      </w:r>
      <w:r w:rsidRPr="00852F6D">
        <w:rPr>
          <w:rFonts w:ascii="Arial" w:hAnsi="Arial" w:cs="Arial"/>
          <w:sz w:val="24"/>
          <w:szCs w:val="24"/>
        </w:rPr>
        <w:lastRenderedPageBreak/>
        <w:t xml:space="preserve">Secondary legislation is </w:t>
      </w:r>
      <w:r w:rsidR="00D05A09" w:rsidRPr="00852F6D">
        <w:rPr>
          <w:rFonts w:ascii="Arial" w:hAnsi="Arial" w:cs="Arial"/>
          <w:sz w:val="24"/>
          <w:szCs w:val="24"/>
        </w:rPr>
        <w:t>meant to guarantee</w:t>
      </w:r>
      <w:r w:rsidR="00F42257" w:rsidRPr="00852F6D">
        <w:rPr>
          <w:rFonts w:ascii="Arial" w:hAnsi="Arial" w:cs="Arial"/>
          <w:sz w:val="24"/>
          <w:szCs w:val="24"/>
        </w:rPr>
        <w:t>,</w:t>
      </w:r>
      <w:r w:rsidR="00D05A09" w:rsidRPr="00852F6D">
        <w:rPr>
          <w:rFonts w:ascii="Arial" w:hAnsi="Arial" w:cs="Arial"/>
          <w:sz w:val="24"/>
          <w:szCs w:val="24"/>
        </w:rPr>
        <w:t xml:space="preserve"> that governments only implement legislation over which they have power</w:t>
      </w:r>
      <w:r w:rsidRPr="00852F6D">
        <w:rPr>
          <w:rFonts w:ascii="Arial" w:hAnsi="Arial" w:cs="Arial"/>
          <w:sz w:val="24"/>
          <w:szCs w:val="24"/>
        </w:rPr>
        <w:t xml:space="preserve">. In addition, is delegated law created by an individual or group acting on behalf of the main legislation. Generally, ministers, the Crown, or public entities may be given the authority to enact secondary </w:t>
      </w:r>
      <w:r w:rsidR="002D211D" w:rsidRPr="00852F6D">
        <w:rPr>
          <w:rFonts w:ascii="Arial" w:hAnsi="Arial" w:cs="Arial"/>
          <w:sz w:val="24"/>
          <w:szCs w:val="24"/>
        </w:rPr>
        <w:t>law. Finally,</w:t>
      </w:r>
      <w:r w:rsidR="00020ED7" w:rsidRPr="00852F6D">
        <w:rPr>
          <w:rFonts w:ascii="Arial" w:hAnsi="Arial" w:cs="Arial"/>
          <w:sz w:val="24"/>
          <w:szCs w:val="24"/>
        </w:rPr>
        <w:t xml:space="preserve"> </w:t>
      </w:r>
      <w:r w:rsidR="002D211D" w:rsidRPr="00852F6D">
        <w:rPr>
          <w:rFonts w:ascii="Arial" w:hAnsi="Arial" w:cs="Arial"/>
          <w:sz w:val="24"/>
          <w:szCs w:val="24"/>
        </w:rPr>
        <w:t>t</w:t>
      </w:r>
      <w:r w:rsidR="00020ED7" w:rsidRPr="00852F6D">
        <w:rPr>
          <w:rFonts w:ascii="Arial" w:hAnsi="Arial" w:cs="Arial"/>
          <w:sz w:val="24"/>
          <w:szCs w:val="24"/>
        </w:rPr>
        <w:t>he</w:t>
      </w:r>
      <w:r w:rsidRPr="00852F6D">
        <w:rPr>
          <w:rFonts w:ascii="Arial" w:hAnsi="Arial" w:cs="Arial"/>
          <w:sz w:val="24"/>
          <w:szCs w:val="24"/>
        </w:rPr>
        <w:t xml:space="preserve"> three primary categories of secondary </w:t>
      </w:r>
      <w:r w:rsidR="00524EDF" w:rsidRPr="00852F6D">
        <w:rPr>
          <w:rFonts w:ascii="Arial" w:hAnsi="Arial" w:cs="Arial"/>
          <w:sz w:val="24"/>
          <w:szCs w:val="24"/>
        </w:rPr>
        <w:t>legislation, are</w:t>
      </w:r>
      <w:r w:rsidRPr="00852F6D">
        <w:rPr>
          <w:rFonts w:ascii="Arial" w:hAnsi="Arial" w:cs="Arial"/>
          <w:sz w:val="24"/>
          <w:szCs w:val="24"/>
        </w:rPr>
        <w:t xml:space="preserve">, Statutory </w:t>
      </w:r>
      <w:r w:rsidR="00C73C0A" w:rsidRPr="00852F6D">
        <w:rPr>
          <w:rFonts w:ascii="Arial" w:hAnsi="Arial" w:cs="Arial"/>
          <w:sz w:val="24"/>
          <w:szCs w:val="24"/>
        </w:rPr>
        <w:t xml:space="preserve">Rules, which </w:t>
      </w:r>
      <w:r w:rsidRPr="00852F6D">
        <w:rPr>
          <w:rFonts w:ascii="Arial" w:hAnsi="Arial" w:cs="Arial"/>
          <w:sz w:val="24"/>
          <w:szCs w:val="24"/>
        </w:rPr>
        <w:t xml:space="preserve"> fall under the same three categories as Statutory Instruments: Orders, Regulations, and </w:t>
      </w:r>
      <w:r w:rsidR="001F5835" w:rsidRPr="00852F6D">
        <w:rPr>
          <w:rFonts w:ascii="Arial" w:hAnsi="Arial" w:cs="Arial"/>
          <w:sz w:val="24"/>
          <w:szCs w:val="24"/>
        </w:rPr>
        <w:t>Rules. The</w:t>
      </w:r>
      <w:r w:rsidR="00063F37" w:rsidRPr="00852F6D">
        <w:rPr>
          <w:rFonts w:ascii="Arial" w:hAnsi="Arial" w:cs="Arial"/>
          <w:sz w:val="24"/>
          <w:szCs w:val="24"/>
        </w:rPr>
        <w:t xml:space="preserve"> </w:t>
      </w:r>
      <w:r w:rsidR="006260F4" w:rsidRPr="00852F6D">
        <w:rPr>
          <w:rFonts w:ascii="Arial" w:hAnsi="Arial" w:cs="Arial"/>
          <w:sz w:val="24"/>
          <w:szCs w:val="24"/>
        </w:rPr>
        <w:t>Common</w:t>
      </w:r>
      <w:r w:rsidR="00063F37" w:rsidRPr="00852F6D">
        <w:rPr>
          <w:rFonts w:ascii="Arial" w:hAnsi="Arial" w:cs="Arial"/>
          <w:sz w:val="24"/>
          <w:szCs w:val="24"/>
        </w:rPr>
        <w:t xml:space="preserve"> law in practice today for </w:t>
      </w:r>
      <w:r w:rsidR="006260F4" w:rsidRPr="00852F6D">
        <w:rPr>
          <w:rFonts w:ascii="Arial" w:hAnsi="Arial" w:cs="Arial"/>
          <w:sz w:val="24"/>
          <w:szCs w:val="24"/>
        </w:rPr>
        <w:t xml:space="preserve">example: </w:t>
      </w:r>
      <w:r w:rsidR="006E7C33" w:rsidRPr="00852F6D">
        <w:rPr>
          <w:rFonts w:ascii="Arial" w:hAnsi="Arial" w:cs="Arial"/>
          <w:sz w:val="24"/>
          <w:szCs w:val="24"/>
        </w:rPr>
        <w:t xml:space="preserve">During the Coronavirus period, there were a lot of new restrictions proposed, and rules to be </w:t>
      </w:r>
      <w:r w:rsidR="00AA61BA" w:rsidRPr="00852F6D">
        <w:rPr>
          <w:rFonts w:ascii="Arial" w:hAnsi="Arial" w:cs="Arial"/>
          <w:sz w:val="24"/>
          <w:szCs w:val="24"/>
        </w:rPr>
        <w:t xml:space="preserve">followed, </w:t>
      </w:r>
      <w:r w:rsidR="00680BBF" w:rsidRPr="00852F6D">
        <w:rPr>
          <w:rFonts w:ascii="Arial" w:hAnsi="Arial" w:cs="Arial"/>
          <w:sz w:val="24"/>
          <w:szCs w:val="24"/>
        </w:rPr>
        <w:t>and one of the policy interventions is the introduction of the Supreme Court (2009), which substituted the House of Lords' judicial duties.</w:t>
      </w:r>
    </w:p>
    <w:p w14:paraId="3599191B" w14:textId="0C34A77D" w:rsidR="00D61AF2" w:rsidRPr="00852F6D" w:rsidRDefault="00D61AF2" w:rsidP="00D61AF2">
      <w:pPr>
        <w:rPr>
          <w:rFonts w:ascii="Arial" w:hAnsi="Arial" w:cs="Arial"/>
          <w:sz w:val="24"/>
          <w:szCs w:val="24"/>
        </w:rPr>
      </w:pPr>
      <w:r w:rsidRPr="00852F6D">
        <w:rPr>
          <w:rFonts w:ascii="Arial" w:hAnsi="Arial" w:cs="Arial"/>
          <w:sz w:val="24"/>
          <w:szCs w:val="24"/>
        </w:rPr>
        <w:t>In conclusion, a common law system refers to a legal system</w:t>
      </w:r>
      <w:r w:rsidR="00443CCC" w:rsidRPr="00852F6D">
        <w:rPr>
          <w:rFonts w:ascii="Arial" w:hAnsi="Arial" w:cs="Arial"/>
          <w:sz w:val="24"/>
          <w:szCs w:val="24"/>
        </w:rPr>
        <w:t>,</w:t>
      </w:r>
      <w:r w:rsidRPr="00852F6D">
        <w:rPr>
          <w:rFonts w:ascii="Arial" w:hAnsi="Arial" w:cs="Arial"/>
          <w:sz w:val="24"/>
          <w:szCs w:val="24"/>
        </w:rPr>
        <w:t xml:space="preserve"> that </w:t>
      </w:r>
      <w:r w:rsidR="00443CCC" w:rsidRPr="00852F6D">
        <w:rPr>
          <w:rFonts w:ascii="Arial" w:hAnsi="Arial" w:cs="Arial"/>
          <w:sz w:val="24"/>
          <w:szCs w:val="24"/>
        </w:rPr>
        <w:t>puts weight</w:t>
      </w:r>
      <w:r w:rsidRPr="00852F6D">
        <w:rPr>
          <w:rFonts w:ascii="Arial" w:hAnsi="Arial" w:cs="Arial"/>
          <w:sz w:val="24"/>
          <w:szCs w:val="24"/>
        </w:rPr>
        <w:t xml:space="preserve"> on judicial judgements made in comparable situations in the </w:t>
      </w:r>
      <w:r w:rsidR="000B2C94" w:rsidRPr="00852F6D">
        <w:rPr>
          <w:rFonts w:ascii="Arial" w:hAnsi="Arial" w:cs="Arial"/>
          <w:sz w:val="24"/>
          <w:szCs w:val="24"/>
        </w:rPr>
        <w:t>past. Yet</w:t>
      </w:r>
      <w:r w:rsidRPr="00852F6D">
        <w:rPr>
          <w:rFonts w:ascii="Arial" w:hAnsi="Arial" w:cs="Arial"/>
          <w:sz w:val="24"/>
          <w:szCs w:val="24"/>
        </w:rPr>
        <w:t xml:space="preserve"> it also involves the enactment of laws and the setting of precedents through the use of case </w:t>
      </w:r>
      <w:r w:rsidR="00D04EB8" w:rsidRPr="00852F6D">
        <w:rPr>
          <w:rFonts w:ascii="Arial" w:hAnsi="Arial" w:cs="Arial"/>
          <w:sz w:val="24"/>
          <w:szCs w:val="24"/>
        </w:rPr>
        <w:t>law. The</w:t>
      </w:r>
      <w:r w:rsidRPr="00852F6D">
        <w:rPr>
          <w:rFonts w:ascii="Arial" w:hAnsi="Arial" w:cs="Arial"/>
          <w:sz w:val="24"/>
          <w:szCs w:val="24"/>
        </w:rPr>
        <w:t xml:space="preserve"> common law can interpret statute-derived norms and concepts, but Parliament is still the highest court due to the idea of parliamentary sovereignty.</w:t>
      </w:r>
    </w:p>
    <w:p w14:paraId="0B68F9FB" w14:textId="303E0C8B" w:rsidR="007C0EB5" w:rsidRPr="00852F6D" w:rsidRDefault="007C0EB5" w:rsidP="00D61AF2">
      <w:pPr>
        <w:rPr>
          <w:rFonts w:ascii="Arial" w:hAnsi="Arial" w:cs="Arial"/>
          <w:sz w:val="24"/>
          <w:szCs w:val="24"/>
        </w:rPr>
      </w:pPr>
    </w:p>
    <w:p w14:paraId="480C9984" w14:textId="77777777" w:rsidR="00020ED7" w:rsidRPr="00852F6D" w:rsidRDefault="00020ED7" w:rsidP="00F914FA">
      <w:pPr>
        <w:rPr>
          <w:rFonts w:ascii="Arial" w:hAnsi="Arial" w:cs="Arial"/>
          <w:sz w:val="24"/>
          <w:szCs w:val="24"/>
        </w:rPr>
      </w:pPr>
    </w:p>
    <w:p w14:paraId="220248C6" w14:textId="77777777" w:rsidR="00975D13" w:rsidRPr="00852F6D" w:rsidRDefault="00975D13" w:rsidP="00F914FA">
      <w:pPr>
        <w:rPr>
          <w:rFonts w:ascii="Arial" w:hAnsi="Arial" w:cs="Arial"/>
          <w:sz w:val="24"/>
          <w:szCs w:val="24"/>
        </w:rPr>
      </w:pPr>
      <w:r w:rsidRPr="00852F6D">
        <w:rPr>
          <w:rFonts w:ascii="Arial" w:hAnsi="Arial" w:cs="Arial"/>
          <w:sz w:val="24"/>
          <w:szCs w:val="24"/>
        </w:rPr>
        <w:t>Reference list:</w:t>
      </w:r>
    </w:p>
    <w:p w14:paraId="5F9FF61A" w14:textId="09A83B6C" w:rsidR="00975D13" w:rsidRPr="00852F6D" w:rsidRDefault="00975D13" w:rsidP="00F914FA">
      <w:pPr>
        <w:rPr>
          <w:rFonts w:ascii="Arial" w:hAnsi="Arial" w:cs="Arial"/>
          <w:sz w:val="24"/>
          <w:szCs w:val="24"/>
        </w:rPr>
      </w:pPr>
      <w:r w:rsidRPr="00852F6D">
        <w:rPr>
          <w:rFonts w:ascii="Arial" w:hAnsi="Arial" w:cs="Arial"/>
          <w:sz w:val="24"/>
          <w:szCs w:val="24"/>
        </w:rPr>
        <w:t xml:space="preserve">Alvendia, K.D. (no date) </w:t>
      </w:r>
      <w:r w:rsidRPr="000C6D59">
        <w:rPr>
          <w:rFonts w:ascii="Arial" w:hAnsi="Arial" w:cs="Arial"/>
          <w:i/>
          <w:iCs/>
          <w:sz w:val="24"/>
          <w:szCs w:val="24"/>
        </w:rPr>
        <w:t>AKD-LAWYERS_02</w:t>
      </w:r>
      <w:r w:rsidRPr="00852F6D">
        <w:rPr>
          <w:rFonts w:ascii="Arial" w:hAnsi="Arial" w:cs="Arial"/>
          <w:sz w:val="24"/>
          <w:szCs w:val="24"/>
        </w:rPr>
        <w:t xml:space="preserve">. Available at: </w:t>
      </w:r>
      <w:hyperlink r:id="rId5" w:history="1">
        <w:r w:rsidR="00841F15" w:rsidRPr="00852F6D">
          <w:rPr>
            <w:rStyle w:val="Hyperlink"/>
            <w:rFonts w:ascii="Arial" w:hAnsi="Arial" w:cs="Arial"/>
            <w:sz w:val="24"/>
            <w:szCs w:val="24"/>
          </w:rPr>
          <w:t>https://www.akdlawyers.com/what-is-the-legal-system/</w:t>
        </w:r>
      </w:hyperlink>
      <w:r w:rsidRPr="00852F6D">
        <w:rPr>
          <w:rFonts w:ascii="Arial" w:hAnsi="Arial" w:cs="Arial"/>
          <w:sz w:val="24"/>
          <w:szCs w:val="24"/>
        </w:rPr>
        <w:t>.</w:t>
      </w:r>
      <w:r w:rsidR="00841F15" w:rsidRPr="00852F6D">
        <w:rPr>
          <w:rFonts w:ascii="Arial" w:hAnsi="Arial" w:cs="Arial"/>
          <w:sz w:val="24"/>
          <w:szCs w:val="24"/>
        </w:rPr>
        <w:t xml:space="preserve"> (</w:t>
      </w:r>
      <w:r w:rsidR="00317231" w:rsidRPr="00852F6D">
        <w:rPr>
          <w:rFonts w:ascii="Arial" w:hAnsi="Arial" w:cs="Arial"/>
          <w:sz w:val="24"/>
          <w:szCs w:val="24"/>
        </w:rPr>
        <w:t>Accessed: 20 February 2023)</w:t>
      </w:r>
    </w:p>
    <w:p w14:paraId="250D9C10" w14:textId="7BEDEC04" w:rsidR="00975D13" w:rsidRPr="00852F6D" w:rsidRDefault="00975D13" w:rsidP="00F914FA">
      <w:pPr>
        <w:rPr>
          <w:rFonts w:ascii="Arial" w:hAnsi="Arial" w:cs="Arial"/>
          <w:sz w:val="24"/>
          <w:szCs w:val="24"/>
        </w:rPr>
      </w:pPr>
      <w:r w:rsidRPr="00852F6D">
        <w:rPr>
          <w:rFonts w:ascii="Arial" w:hAnsi="Arial" w:cs="Arial"/>
          <w:sz w:val="24"/>
          <w:szCs w:val="24"/>
        </w:rPr>
        <w:t xml:space="preserve">Allbon, E. and Dua, K.S. (2020) </w:t>
      </w:r>
      <w:r w:rsidRPr="000C6D59">
        <w:rPr>
          <w:rFonts w:ascii="Arial" w:hAnsi="Arial" w:cs="Arial"/>
          <w:i/>
          <w:iCs/>
          <w:sz w:val="24"/>
          <w:szCs w:val="24"/>
        </w:rPr>
        <w:t>Elliott &amp; Quinn's English Legal System</w:t>
      </w:r>
      <w:r w:rsidRPr="00852F6D">
        <w:rPr>
          <w:rFonts w:ascii="Arial" w:hAnsi="Arial" w:cs="Arial"/>
          <w:sz w:val="24"/>
          <w:szCs w:val="24"/>
        </w:rPr>
        <w:t xml:space="preserve">. 21st edn. Pearson. </w:t>
      </w:r>
      <w:r w:rsidR="000B2355" w:rsidRPr="00852F6D">
        <w:rPr>
          <w:rFonts w:ascii="Arial" w:hAnsi="Arial" w:cs="Arial"/>
          <w:sz w:val="24"/>
          <w:szCs w:val="24"/>
        </w:rPr>
        <w:t xml:space="preserve">p. </w:t>
      </w:r>
      <w:r w:rsidRPr="00852F6D">
        <w:rPr>
          <w:rFonts w:ascii="Arial" w:hAnsi="Arial" w:cs="Arial"/>
          <w:sz w:val="24"/>
          <w:szCs w:val="24"/>
        </w:rPr>
        <w:t xml:space="preserve"> 5</w:t>
      </w:r>
    </w:p>
    <w:p w14:paraId="1628D567" w14:textId="2558DAF5" w:rsidR="00975D13" w:rsidRDefault="00975D13" w:rsidP="00F914FA">
      <w:pPr>
        <w:rPr>
          <w:rFonts w:ascii="Arial" w:hAnsi="Arial" w:cs="Arial"/>
          <w:sz w:val="24"/>
          <w:szCs w:val="24"/>
        </w:rPr>
      </w:pPr>
      <w:r w:rsidRPr="00852F6D">
        <w:rPr>
          <w:rFonts w:ascii="Arial" w:hAnsi="Arial" w:cs="Arial"/>
          <w:sz w:val="24"/>
          <w:szCs w:val="24"/>
        </w:rPr>
        <w:t xml:space="preserve">Britannica (no date). Available at: https://www.britannica.com/summary/common-law https://www.britannica.com/summary/common-law. </w:t>
      </w:r>
      <w:r w:rsidR="00317231" w:rsidRPr="00852F6D">
        <w:rPr>
          <w:rFonts w:ascii="Arial" w:hAnsi="Arial" w:cs="Arial"/>
          <w:sz w:val="24"/>
          <w:szCs w:val="24"/>
        </w:rPr>
        <w:t>(</w:t>
      </w:r>
      <w:r w:rsidRPr="00852F6D">
        <w:rPr>
          <w:rFonts w:ascii="Arial" w:hAnsi="Arial" w:cs="Arial"/>
          <w:sz w:val="24"/>
          <w:szCs w:val="24"/>
        </w:rPr>
        <w:t>Accessed 24 February 2023</w:t>
      </w:r>
      <w:r w:rsidR="00317231" w:rsidRPr="00852F6D">
        <w:rPr>
          <w:rFonts w:ascii="Arial" w:hAnsi="Arial" w:cs="Arial"/>
          <w:sz w:val="24"/>
          <w:szCs w:val="24"/>
        </w:rPr>
        <w:t>)</w:t>
      </w:r>
    </w:p>
    <w:p w14:paraId="0EA3E3D7" w14:textId="1D962E55" w:rsidR="003534DB" w:rsidRPr="003534DB" w:rsidRDefault="003534DB" w:rsidP="003534DB">
      <w:pPr>
        <w:suppressAutoHyphens w:val="0"/>
        <w:autoSpaceDN/>
        <w:spacing w:after="0" w:line="480" w:lineRule="auto"/>
        <w:ind w:left="720" w:hanging="720"/>
        <w:rPr>
          <w:rFonts w:ascii="Arial" w:eastAsia="Times New Roman" w:hAnsi="Arial" w:cs="Arial"/>
          <w:sz w:val="24"/>
          <w:szCs w:val="24"/>
          <w:lang w:eastAsia="en-GB"/>
        </w:rPr>
      </w:pPr>
      <w:r w:rsidRPr="003534DB">
        <w:rPr>
          <w:rFonts w:ascii="Arial" w:eastAsia="Times New Roman" w:hAnsi="Arial" w:cs="Arial"/>
          <w:sz w:val="24"/>
          <w:szCs w:val="24"/>
          <w:lang w:val="fr-FR" w:eastAsia="en-GB"/>
        </w:rPr>
        <w:t>Baron de Montesquieu, Charles-Louis de Secondat</w:t>
      </w:r>
      <w:r w:rsidRPr="003534DB">
        <w:rPr>
          <w:rFonts w:ascii="Arial" w:eastAsia="Times New Roman" w:hAnsi="Arial" w:cs="Arial"/>
          <w:i/>
          <w:iCs/>
          <w:sz w:val="24"/>
          <w:szCs w:val="24"/>
          <w:lang w:val="fr-FR" w:eastAsia="en-GB"/>
        </w:rPr>
        <w:t xml:space="preserve"> (Stanford Encyclopedia of Philosophy)</w:t>
      </w:r>
      <w:r w:rsidRPr="003534DB">
        <w:rPr>
          <w:rFonts w:ascii="Arial" w:eastAsia="Times New Roman" w:hAnsi="Arial" w:cs="Arial"/>
          <w:sz w:val="24"/>
          <w:szCs w:val="24"/>
          <w:lang w:val="fr-FR" w:eastAsia="en-GB"/>
        </w:rPr>
        <w:t xml:space="preserve"> (2014). </w:t>
      </w:r>
      <w:r w:rsidRPr="003534DB">
        <w:rPr>
          <w:rFonts w:ascii="Arial" w:eastAsia="Times New Roman" w:hAnsi="Arial" w:cs="Arial"/>
          <w:sz w:val="24"/>
          <w:szCs w:val="24"/>
          <w:lang w:eastAsia="en-GB"/>
        </w:rPr>
        <w:t>Available at:</w:t>
      </w:r>
      <w:r>
        <w:rPr>
          <w:rFonts w:ascii="Arial" w:eastAsia="Times New Roman" w:hAnsi="Arial" w:cs="Arial"/>
          <w:sz w:val="24"/>
          <w:szCs w:val="24"/>
          <w:lang w:eastAsia="en-GB"/>
        </w:rPr>
        <w:t xml:space="preserve"> </w:t>
      </w:r>
      <w:hyperlink r:id="rId6" w:history="1">
        <w:r w:rsidR="004C23F0" w:rsidRPr="003534DB">
          <w:rPr>
            <w:rStyle w:val="Hyperlink"/>
            <w:rFonts w:ascii="Arial" w:eastAsia="Times New Roman" w:hAnsi="Arial" w:cs="Arial"/>
            <w:sz w:val="24"/>
            <w:szCs w:val="24"/>
            <w:lang w:eastAsia="en-GB"/>
          </w:rPr>
          <w:t>https://plato.stanford.edu/entries/montesquieu/</w:t>
        </w:r>
      </w:hyperlink>
      <w:r w:rsidRPr="003534DB">
        <w:rPr>
          <w:rFonts w:ascii="Arial" w:eastAsia="Times New Roman" w:hAnsi="Arial" w:cs="Arial"/>
          <w:sz w:val="24"/>
          <w:szCs w:val="24"/>
          <w:lang w:eastAsia="en-GB"/>
        </w:rPr>
        <w:t xml:space="preserve">. </w:t>
      </w:r>
      <w:r w:rsidRPr="003534DB">
        <w:rPr>
          <w:rFonts w:ascii="Arial" w:hAnsi="Arial" w:cs="Arial"/>
          <w:sz w:val="24"/>
          <w:szCs w:val="24"/>
        </w:rPr>
        <w:t>(Accessed: 25 February 2023)</w:t>
      </w:r>
    </w:p>
    <w:p w14:paraId="783041A3" w14:textId="671E6E92" w:rsidR="00975D13" w:rsidRDefault="00975D13" w:rsidP="00F914FA">
      <w:pPr>
        <w:rPr>
          <w:rFonts w:ascii="Arial" w:hAnsi="Arial" w:cs="Arial"/>
          <w:sz w:val="24"/>
          <w:szCs w:val="24"/>
        </w:rPr>
      </w:pPr>
      <w:r w:rsidRPr="00852F6D">
        <w:rPr>
          <w:rFonts w:ascii="Arial" w:hAnsi="Arial" w:cs="Arial"/>
          <w:sz w:val="24"/>
          <w:szCs w:val="24"/>
        </w:rPr>
        <w:t xml:space="preserve">Glendon, M.A.A.L. (2023) </w:t>
      </w:r>
      <w:r w:rsidRPr="000C6D59">
        <w:rPr>
          <w:rFonts w:ascii="Arial" w:hAnsi="Arial" w:cs="Arial"/>
          <w:i/>
          <w:iCs/>
          <w:sz w:val="24"/>
          <w:szCs w:val="24"/>
        </w:rPr>
        <w:t>Common law | Definition, Origins, Development, &amp; Examples</w:t>
      </w:r>
      <w:r w:rsidRPr="00852F6D">
        <w:rPr>
          <w:rFonts w:ascii="Arial" w:hAnsi="Arial" w:cs="Arial"/>
          <w:sz w:val="24"/>
          <w:szCs w:val="24"/>
        </w:rPr>
        <w:t xml:space="preserve">. Available at: </w:t>
      </w:r>
      <w:hyperlink r:id="rId7" w:history="1">
        <w:r w:rsidR="000A56F6" w:rsidRPr="00852F6D">
          <w:rPr>
            <w:rStyle w:val="Hyperlink"/>
            <w:rFonts w:ascii="Arial" w:hAnsi="Arial" w:cs="Arial"/>
            <w:sz w:val="24"/>
            <w:szCs w:val="24"/>
          </w:rPr>
          <w:t>https://www.britannica.com/topic/common-law</w:t>
        </w:r>
      </w:hyperlink>
      <w:r w:rsidRPr="00852F6D">
        <w:rPr>
          <w:rFonts w:ascii="Arial" w:hAnsi="Arial" w:cs="Arial"/>
          <w:sz w:val="24"/>
          <w:szCs w:val="24"/>
        </w:rPr>
        <w:t>.</w:t>
      </w:r>
      <w:r w:rsidR="00317231" w:rsidRPr="00852F6D">
        <w:rPr>
          <w:rFonts w:ascii="Arial" w:hAnsi="Arial" w:cs="Arial"/>
          <w:sz w:val="24"/>
          <w:szCs w:val="24"/>
        </w:rPr>
        <w:t xml:space="preserve"> (Accessed 24 February 2023)</w:t>
      </w:r>
    </w:p>
    <w:p w14:paraId="3394AA4F" w14:textId="77777777" w:rsidR="009A0851" w:rsidRDefault="004014D2" w:rsidP="004014D2">
      <w:pPr>
        <w:rPr>
          <w:rFonts w:ascii="Arial" w:hAnsi="Arial" w:cs="Arial"/>
          <w:sz w:val="24"/>
          <w:szCs w:val="24"/>
        </w:rPr>
      </w:pPr>
      <w:r w:rsidRPr="004C23F0">
        <w:rPr>
          <w:rFonts w:ascii="Arial" w:eastAsia="Times New Roman" w:hAnsi="Arial" w:cs="Arial"/>
          <w:sz w:val="24"/>
          <w:szCs w:val="24"/>
          <w:lang w:eastAsia="en-GB"/>
        </w:rPr>
        <w:t xml:space="preserve">Navarrete, M.Á.M. (2021) </w:t>
      </w:r>
      <w:r w:rsidRPr="004C23F0">
        <w:rPr>
          <w:rFonts w:ascii="Arial" w:eastAsia="Times New Roman" w:hAnsi="Arial" w:cs="Arial"/>
          <w:i/>
          <w:iCs/>
          <w:sz w:val="24"/>
          <w:szCs w:val="24"/>
          <w:lang w:eastAsia="en-GB"/>
        </w:rPr>
        <w:t xml:space="preserve">The Concept of Civil Law. </w:t>
      </w:r>
      <w:r w:rsidRPr="004C23F0">
        <w:rPr>
          <w:rFonts w:ascii="Arial" w:eastAsia="Times New Roman" w:hAnsi="Arial" w:cs="Arial"/>
          <w:i/>
          <w:iCs/>
          <w:sz w:val="24"/>
          <w:szCs w:val="24"/>
          <w:lang w:val="it-IT" w:eastAsia="en-GB"/>
        </w:rPr>
        <w:t>Historical Dimension - Miguel Ángel Moreno Navarrete</w:t>
      </w:r>
      <w:r w:rsidRPr="004C23F0">
        <w:rPr>
          <w:rFonts w:ascii="Arial" w:eastAsia="Times New Roman" w:hAnsi="Arial" w:cs="Arial"/>
          <w:sz w:val="24"/>
          <w:szCs w:val="24"/>
          <w:lang w:val="it-IT" w:eastAsia="en-GB"/>
        </w:rPr>
        <w:t xml:space="preserve">. </w:t>
      </w:r>
      <w:r w:rsidRPr="004C23F0">
        <w:rPr>
          <w:rFonts w:ascii="Arial" w:eastAsia="Times New Roman" w:hAnsi="Arial" w:cs="Arial"/>
          <w:sz w:val="24"/>
          <w:szCs w:val="24"/>
          <w:lang w:eastAsia="en-GB"/>
        </w:rPr>
        <w:t xml:space="preserve">Available at: </w:t>
      </w:r>
      <w:hyperlink r:id="rId8" w:history="1">
        <w:r w:rsidRPr="004C23F0">
          <w:rPr>
            <w:rStyle w:val="Hyperlink"/>
            <w:rFonts w:ascii="Arial" w:eastAsia="Times New Roman" w:hAnsi="Arial" w:cs="Arial"/>
            <w:sz w:val="24"/>
            <w:szCs w:val="24"/>
            <w:lang w:eastAsia="en-GB"/>
          </w:rPr>
          <w:t>https://medium.com/@mmnavarrete/the-concept-of-civil-law-historical-dimension-96db20b74da0</w:t>
        </w:r>
      </w:hyperlink>
      <w:r w:rsidRPr="004C23F0">
        <w:rPr>
          <w:rFonts w:ascii="Arial" w:eastAsia="Times New Roman" w:hAnsi="Arial" w:cs="Arial"/>
          <w:sz w:val="24"/>
          <w:szCs w:val="24"/>
          <w:lang w:eastAsia="en-GB"/>
        </w:rPr>
        <w:t xml:space="preserve">. </w:t>
      </w:r>
      <w:r w:rsidRPr="004C23F0">
        <w:rPr>
          <w:rFonts w:ascii="Arial" w:hAnsi="Arial" w:cs="Arial"/>
          <w:sz w:val="24"/>
          <w:szCs w:val="24"/>
        </w:rPr>
        <w:t>(Accessed: 20 February 2023)</w:t>
      </w:r>
    </w:p>
    <w:p w14:paraId="7D4A6C78" w14:textId="4D93A102" w:rsidR="002B5899" w:rsidRPr="004014D2" w:rsidRDefault="002B5899" w:rsidP="004014D2">
      <w:pPr>
        <w:rPr>
          <w:rFonts w:ascii="Arial" w:hAnsi="Arial" w:cs="Arial"/>
          <w:sz w:val="24"/>
          <w:szCs w:val="24"/>
        </w:rPr>
      </w:pPr>
      <w:r w:rsidRPr="002B5899">
        <w:rPr>
          <w:rFonts w:ascii="Arial" w:eastAsia="Times New Roman" w:hAnsi="Arial" w:cs="Arial"/>
          <w:i/>
          <w:iCs/>
          <w:sz w:val="24"/>
          <w:szCs w:val="24"/>
          <w:lang w:eastAsia="en-GB"/>
        </w:rPr>
        <w:t>The English legal system</w:t>
      </w:r>
      <w:r w:rsidRPr="002B5899">
        <w:rPr>
          <w:rFonts w:ascii="Arial" w:eastAsia="Times New Roman" w:hAnsi="Arial" w:cs="Arial"/>
          <w:sz w:val="24"/>
          <w:szCs w:val="24"/>
          <w:lang w:eastAsia="en-GB"/>
        </w:rPr>
        <w:t xml:space="preserve"> (2018). Available at:</w:t>
      </w:r>
      <w:r w:rsidR="00B264BD">
        <w:rPr>
          <w:rFonts w:ascii="Arial" w:eastAsia="Times New Roman" w:hAnsi="Arial" w:cs="Arial"/>
          <w:sz w:val="24"/>
          <w:szCs w:val="24"/>
          <w:lang w:eastAsia="en-GB"/>
        </w:rPr>
        <w:t xml:space="preserve"> </w:t>
      </w:r>
      <w:hyperlink r:id="rId9" w:history="1">
        <w:r w:rsidR="00F937EB" w:rsidRPr="002B5899">
          <w:rPr>
            <w:rStyle w:val="Hyperlink"/>
            <w:rFonts w:ascii="Arial" w:eastAsia="Times New Roman" w:hAnsi="Arial" w:cs="Arial"/>
            <w:sz w:val="24"/>
            <w:szCs w:val="24"/>
            <w:lang w:eastAsia="en-GB"/>
          </w:rPr>
          <w:t>https://www.iclr.co.uk/knowledge/topics/the-english-legal-system/</w:t>
        </w:r>
      </w:hyperlink>
      <w:r w:rsidRPr="002B5899">
        <w:rPr>
          <w:rFonts w:ascii="Arial" w:eastAsia="Times New Roman" w:hAnsi="Arial" w:cs="Arial"/>
          <w:sz w:val="24"/>
          <w:szCs w:val="24"/>
          <w:lang w:eastAsia="en-GB"/>
        </w:rPr>
        <w:t>.</w:t>
      </w:r>
      <w:r w:rsidRPr="00B264BD">
        <w:rPr>
          <w:rFonts w:ascii="Arial" w:eastAsia="Times New Roman" w:hAnsi="Arial" w:cs="Arial"/>
          <w:sz w:val="24"/>
          <w:szCs w:val="24"/>
          <w:lang w:eastAsia="en-GB"/>
        </w:rPr>
        <w:t xml:space="preserve"> </w:t>
      </w:r>
      <w:r w:rsidRPr="00B264BD">
        <w:rPr>
          <w:rFonts w:ascii="Arial" w:hAnsi="Arial" w:cs="Arial"/>
          <w:sz w:val="24"/>
          <w:szCs w:val="24"/>
        </w:rPr>
        <w:t>(Accessed 24 February 2023)</w:t>
      </w:r>
    </w:p>
    <w:p w14:paraId="3C6E9DBD" w14:textId="529EB83A" w:rsidR="000A56F6" w:rsidRPr="00852F6D" w:rsidRDefault="000A56F6" w:rsidP="00F914FA">
      <w:pPr>
        <w:rPr>
          <w:rFonts w:ascii="Arial" w:hAnsi="Arial" w:cs="Arial"/>
          <w:sz w:val="24"/>
          <w:szCs w:val="24"/>
        </w:rPr>
      </w:pPr>
      <w:r w:rsidRPr="00852F6D">
        <w:rPr>
          <w:rFonts w:ascii="Arial" w:hAnsi="Arial" w:cs="Arial"/>
          <w:sz w:val="24"/>
          <w:szCs w:val="24"/>
        </w:rPr>
        <w:lastRenderedPageBreak/>
        <w:t xml:space="preserve">Lauraduckett (2021) </w:t>
      </w:r>
      <w:r w:rsidRPr="000C6D59">
        <w:rPr>
          <w:rFonts w:ascii="Arial" w:hAnsi="Arial" w:cs="Arial"/>
          <w:i/>
          <w:iCs/>
          <w:sz w:val="24"/>
          <w:szCs w:val="24"/>
        </w:rPr>
        <w:t>Civil Law vs Criminal Law: What You Need to Know</w:t>
      </w:r>
      <w:r w:rsidRPr="00852F6D">
        <w:rPr>
          <w:rFonts w:ascii="Arial" w:hAnsi="Arial" w:cs="Arial"/>
          <w:sz w:val="24"/>
          <w:szCs w:val="24"/>
        </w:rPr>
        <w:t xml:space="preserve">. Available at: </w:t>
      </w:r>
      <w:hyperlink r:id="rId10" w:history="1">
        <w:r w:rsidR="00C5660D" w:rsidRPr="00852F6D">
          <w:rPr>
            <w:rStyle w:val="Hyperlink"/>
            <w:rFonts w:ascii="Arial" w:hAnsi="Arial" w:cs="Arial"/>
            <w:sz w:val="24"/>
            <w:szCs w:val="24"/>
          </w:rPr>
          <w:t>https://www.thelawyerportal.com/blog/civil-law-vs-criminal-law-what-you-need-to-know/</w:t>
        </w:r>
      </w:hyperlink>
      <w:r w:rsidRPr="00852F6D">
        <w:rPr>
          <w:rFonts w:ascii="Arial" w:hAnsi="Arial" w:cs="Arial"/>
          <w:sz w:val="24"/>
          <w:szCs w:val="24"/>
        </w:rPr>
        <w:t>.</w:t>
      </w:r>
      <w:r w:rsidR="00C5660D" w:rsidRPr="00852F6D">
        <w:rPr>
          <w:rFonts w:ascii="Arial" w:hAnsi="Arial" w:cs="Arial"/>
          <w:sz w:val="24"/>
          <w:szCs w:val="24"/>
        </w:rPr>
        <w:t>(Accessed: 21 February 2023)</w:t>
      </w:r>
    </w:p>
    <w:p w14:paraId="24E07B58" w14:textId="1CCAF7C5" w:rsidR="00CE3A10" w:rsidRPr="00852F6D" w:rsidRDefault="00975D13" w:rsidP="00F914FA">
      <w:pPr>
        <w:rPr>
          <w:rFonts w:ascii="Arial" w:hAnsi="Arial" w:cs="Arial"/>
          <w:sz w:val="24"/>
          <w:szCs w:val="24"/>
        </w:rPr>
      </w:pPr>
      <w:r w:rsidRPr="00852F6D">
        <w:rPr>
          <w:rFonts w:ascii="Arial" w:hAnsi="Arial" w:cs="Arial"/>
          <w:sz w:val="24"/>
          <w:szCs w:val="24"/>
        </w:rPr>
        <w:t xml:space="preserve">Partington, M. (2021) </w:t>
      </w:r>
      <w:r w:rsidRPr="000C6D59">
        <w:rPr>
          <w:rFonts w:ascii="Arial" w:hAnsi="Arial" w:cs="Arial"/>
          <w:i/>
          <w:iCs/>
          <w:sz w:val="24"/>
          <w:szCs w:val="24"/>
        </w:rPr>
        <w:t>Introduction to the English Legal System</w:t>
      </w:r>
      <w:r w:rsidRPr="00852F6D">
        <w:rPr>
          <w:rFonts w:ascii="Arial" w:hAnsi="Arial" w:cs="Arial"/>
          <w:sz w:val="24"/>
          <w:szCs w:val="24"/>
        </w:rPr>
        <w:t xml:space="preserve">. 15th edn. Oxford University  </w:t>
      </w:r>
      <w:r w:rsidR="000B2355" w:rsidRPr="00852F6D">
        <w:rPr>
          <w:rFonts w:ascii="Arial" w:hAnsi="Arial" w:cs="Arial"/>
          <w:sz w:val="24"/>
          <w:szCs w:val="24"/>
        </w:rPr>
        <w:t xml:space="preserve">p. </w:t>
      </w:r>
      <w:r w:rsidRPr="00852F6D">
        <w:rPr>
          <w:rFonts w:ascii="Arial" w:hAnsi="Arial" w:cs="Arial"/>
          <w:sz w:val="24"/>
          <w:szCs w:val="24"/>
        </w:rPr>
        <w:t xml:space="preserve"> 47/48</w:t>
      </w:r>
    </w:p>
    <w:p w14:paraId="022B238D" w14:textId="7455484D" w:rsidR="00975D13" w:rsidRPr="00852F6D" w:rsidRDefault="00975D13" w:rsidP="00F914FA">
      <w:pPr>
        <w:rPr>
          <w:rFonts w:ascii="Arial" w:hAnsi="Arial" w:cs="Arial"/>
          <w:sz w:val="24"/>
          <w:szCs w:val="24"/>
        </w:rPr>
      </w:pPr>
      <w:r w:rsidRPr="00852F6D">
        <w:rPr>
          <w:rFonts w:ascii="Arial" w:hAnsi="Arial" w:cs="Arial"/>
          <w:sz w:val="24"/>
          <w:szCs w:val="24"/>
        </w:rPr>
        <w:t xml:space="preserve">Partington, M. (2021) </w:t>
      </w:r>
      <w:r w:rsidRPr="000C6D59">
        <w:rPr>
          <w:rFonts w:ascii="Arial" w:hAnsi="Arial" w:cs="Arial"/>
          <w:i/>
          <w:iCs/>
          <w:sz w:val="24"/>
          <w:szCs w:val="24"/>
        </w:rPr>
        <w:t>Introduction to the English Legal System</w:t>
      </w:r>
      <w:r w:rsidRPr="00852F6D">
        <w:rPr>
          <w:rFonts w:ascii="Arial" w:hAnsi="Arial" w:cs="Arial"/>
          <w:sz w:val="24"/>
          <w:szCs w:val="24"/>
        </w:rPr>
        <w:t xml:space="preserve">. 15th edn. Oxford University  </w:t>
      </w:r>
      <w:r w:rsidR="000B2355" w:rsidRPr="00852F6D">
        <w:rPr>
          <w:rFonts w:ascii="Arial" w:hAnsi="Arial" w:cs="Arial"/>
          <w:sz w:val="24"/>
          <w:szCs w:val="24"/>
        </w:rPr>
        <w:t xml:space="preserve">p. </w:t>
      </w:r>
      <w:r w:rsidRPr="00852F6D">
        <w:rPr>
          <w:rFonts w:ascii="Arial" w:hAnsi="Arial" w:cs="Arial"/>
          <w:sz w:val="24"/>
          <w:szCs w:val="24"/>
        </w:rPr>
        <w:t xml:space="preserve"> 31</w:t>
      </w:r>
    </w:p>
    <w:p w14:paraId="25E4209A" w14:textId="05B10A6F" w:rsidR="00975D13" w:rsidRPr="00852F6D" w:rsidRDefault="00975D13" w:rsidP="00F914FA">
      <w:pPr>
        <w:rPr>
          <w:rFonts w:ascii="Arial" w:hAnsi="Arial" w:cs="Arial"/>
          <w:sz w:val="24"/>
          <w:szCs w:val="24"/>
        </w:rPr>
      </w:pPr>
      <w:r w:rsidRPr="00852F6D">
        <w:rPr>
          <w:rFonts w:ascii="Arial" w:hAnsi="Arial" w:cs="Arial"/>
          <w:sz w:val="24"/>
          <w:szCs w:val="24"/>
        </w:rPr>
        <w:t xml:space="preserve">Partington, M. (2021) </w:t>
      </w:r>
      <w:r w:rsidRPr="000C6D59">
        <w:rPr>
          <w:rFonts w:ascii="Arial" w:hAnsi="Arial" w:cs="Arial"/>
          <w:i/>
          <w:iCs/>
          <w:sz w:val="24"/>
          <w:szCs w:val="24"/>
        </w:rPr>
        <w:t>Introduction to the English Legal System</w:t>
      </w:r>
      <w:r w:rsidRPr="00852F6D">
        <w:rPr>
          <w:rFonts w:ascii="Arial" w:hAnsi="Arial" w:cs="Arial"/>
          <w:sz w:val="24"/>
          <w:szCs w:val="24"/>
        </w:rPr>
        <w:t xml:space="preserve">. 15th edn. Oxford University  </w:t>
      </w:r>
      <w:r w:rsidR="000B2355" w:rsidRPr="00852F6D">
        <w:rPr>
          <w:rFonts w:ascii="Arial" w:hAnsi="Arial" w:cs="Arial"/>
          <w:sz w:val="24"/>
          <w:szCs w:val="24"/>
        </w:rPr>
        <w:t xml:space="preserve">p. </w:t>
      </w:r>
      <w:r w:rsidRPr="00852F6D">
        <w:rPr>
          <w:rFonts w:ascii="Arial" w:hAnsi="Arial" w:cs="Arial"/>
          <w:sz w:val="24"/>
          <w:szCs w:val="24"/>
        </w:rPr>
        <w:t xml:space="preserve"> 30</w:t>
      </w:r>
    </w:p>
    <w:p w14:paraId="0812F9DA" w14:textId="77777777" w:rsidR="001A5F9D" w:rsidRPr="00852F6D" w:rsidRDefault="00975D13" w:rsidP="001A5F9D">
      <w:pPr>
        <w:rPr>
          <w:rFonts w:ascii="Arial" w:hAnsi="Arial" w:cs="Arial"/>
          <w:sz w:val="24"/>
          <w:szCs w:val="24"/>
        </w:rPr>
      </w:pPr>
      <w:r w:rsidRPr="00852F6D">
        <w:rPr>
          <w:rFonts w:ascii="Arial" w:hAnsi="Arial" w:cs="Arial"/>
          <w:sz w:val="24"/>
          <w:szCs w:val="24"/>
        </w:rPr>
        <w:t xml:space="preserve">Partington, M. (2021) </w:t>
      </w:r>
      <w:r w:rsidRPr="00133079">
        <w:rPr>
          <w:rFonts w:ascii="Arial" w:hAnsi="Arial" w:cs="Arial"/>
          <w:i/>
          <w:iCs/>
          <w:sz w:val="24"/>
          <w:szCs w:val="24"/>
        </w:rPr>
        <w:t>Introduction to the English Legal System</w:t>
      </w:r>
      <w:r w:rsidRPr="00852F6D">
        <w:rPr>
          <w:rFonts w:ascii="Arial" w:hAnsi="Arial" w:cs="Arial"/>
          <w:sz w:val="24"/>
          <w:szCs w:val="24"/>
        </w:rPr>
        <w:t xml:space="preserve">. 15th edn. Oxford University  </w:t>
      </w:r>
      <w:r w:rsidR="000B2355" w:rsidRPr="00852F6D">
        <w:rPr>
          <w:rFonts w:ascii="Arial" w:hAnsi="Arial" w:cs="Arial"/>
          <w:sz w:val="24"/>
          <w:szCs w:val="24"/>
        </w:rPr>
        <w:t>p.</w:t>
      </w:r>
      <w:r w:rsidRPr="00852F6D">
        <w:rPr>
          <w:rFonts w:ascii="Arial" w:hAnsi="Arial" w:cs="Arial"/>
          <w:sz w:val="24"/>
          <w:szCs w:val="24"/>
        </w:rPr>
        <w:t xml:space="preserve"> 31/32</w:t>
      </w:r>
    </w:p>
    <w:p w14:paraId="48305380" w14:textId="4AC87A91" w:rsidR="00270ADF" w:rsidRDefault="00270ADF" w:rsidP="001A5F9D">
      <w:pPr>
        <w:rPr>
          <w:rFonts w:ascii="Arial" w:hAnsi="Arial" w:cs="Arial"/>
          <w:sz w:val="24"/>
          <w:szCs w:val="24"/>
        </w:rPr>
      </w:pPr>
      <w:r w:rsidRPr="00852F6D">
        <w:rPr>
          <w:rFonts w:ascii="Arial" w:eastAsia="Times New Roman" w:hAnsi="Arial" w:cs="Arial"/>
          <w:sz w:val="24"/>
          <w:szCs w:val="24"/>
          <w:lang w:eastAsia="en-GB"/>
        </w:rPr>
        <w:t xml:space="preserve">Participation, E. (no date) </w:t>
      </w:r>
      <w:r w:rsidRPr="00852F6D">
        <w:rPr>
          <w:rFonts w:ascii="Arial" w:eastAsia="Times New Roman" w:hAnsi="Arial" w:cs="Arial"/>
          <w:i/>
          <w:iCs/>
          <w:sz w:val="24"/>
          <w:szCs w:val="24"/>
          <w:lang w:eastAsia="en-GB"/>
        </w:rPr>
        <w:t>Constitutional Reform Act 2005</w:t>
      </w:r>
      <w:r w:rsidRPr="00852F6D">
        <w:rPr>
          <w:rFonts w:ascii="Arial" w:eastAsia="Times New Roman" w:hAnsi="Arial" w:cs="Arial"/>
          <w:sz w:val="24"/>
          <w:szCs w:val="24"/>
          <w:lang w:eastAsia="en-GB"/>
        </w:rPr>
        <w:t xml:space="preserve">. Available at: </w:t>
      </w:r>
      <w:hyperlink r:id="rId11" w:history="1">
        <w:r w:rsidR="00C5660D" w:rsidRPr="00852F6D">
          <w:rPr>
            <w:rStyle w:val="Hyperlink"/>
            <w:rFonts w:ascii="Arial" w:eastAsia="Times New Roman" w:hAnsi="Arial" w:cs="Arial"/>
            <w:sz w:val="24"/>
            <w:szCs w:val="24"/>
            <w:lang w:eastAsia="en-GB"/>
          </w:rPr>
          <w:t>https://www.legislation.gov.uk/ukpga/2005/4/section/3</w:t>
        </w:r>
      </w:hyperlink>
      <w:r w:rsidRPr="00852F6D">
        <w:rPr>
          <w:rFonts w:ascii="Arial" w:eastAsia="Times New Roman" w:hAnsi="Arial" w:cs="Arial"/>
          <w:sz w:val="24"/>
          <w:szCs w:val="24"/>
          <w:lang w:eastAsia="en-GB"/>
        </w:rPr>
        <w:t>.</w:t>
      </w:r>
      <w:r w:rsidR="00C5660D" w:rsidRPr="00852F6D">
        <w:rPr>
          <w:rFonts w:ascii="Arial" w:eastAsia="Times New Roman" w:hAnsi="Arial" w:cs="Arial"/>
          <w:sz w:val="24"/>
          <w:szCs w:val="24"/>
          <w:lang w:eastAsia="en-GB"/>
        </w:rPr>
        <w:t xml:space="preserve"> </w:t>
      </w:r>
      <w:r w:rsidR="00C5660D" w:rsidRPr="00852F6D">
        <w:rPr>
          <w:rFonts w:ascii="Arial" w:hAnsi="Arial" w:cs="Arial"/>
          <w:sz w:val="24"/>
          <w:szCs w:val="24"/>
        </w:rPr>
        <w:t>(Accessed: 20 February 2023)</w:t>
      </w:r>
    </w:p>
    <w:p w14:paraId="0A215C2F" w14:textId="79BF3965" w:rsidR="00133079" w:rsidRPr="00133079" w:rsidRDefault="00133079" w:rsidP="00133079">
      <w:pPr>
        <w:suppressAutoHyphens w:val="0"/>
        <w:autoSpaceDN/>
        <w:spacing w:after="0" w:line="480" w:lineRule="auto"/>
        <w:ind w:left="720" w:hanging="720"/>
        <w:rPr>
          <w:rFonts w:ascii="Arial" w:eastAsia="Times New Roman" w:hAnsi="Arial" w:cs="Arial"/>
          <w:sz w:val="24"/>
          <w:szCs w:val="24"/>
          <w:lang w:eastAsia="en-GB"/>
        </w:rPr>
      </w:pPr>
      <w:r w:rsidRPr="00133079">
        <w:rPr>
          <w:rFonts w:ascii="Arial" w:eastAsia="Times New Roman" w:hAnsi="Arial" w:cs="Arial"/>
          <w:sz w:val="24"/>
          <w:szCs w:val="24"/>
          <w:lang w:eastAsia="en-GB"/>
        </w:rPr>
        <w:t xml:space="preserve">Partington, M. (2021) </w:t>
      </w:r>
      <w:r w:rsidRPr="00133079">
        <w:rPr>
          <w:rFonts w:ascii="Arial" w:eastAsia="Times New Roman" w:hAnsi="Arial" w:cs="Arial"/>
          <w:i/>
          <w:iCs/>
          <w:sz w:val="24"/>
          <w:szCs w:val="24"/>
          <w:lang w:eastAsia="en-GB"/>
        </w:rPr>
        <w:t>Introduction to the English Legal System</w:t>
      </w:r>
      <w:r w:rsidRPr="00133079">
        <w:rPr>
          <w:rFonts w:ascii="Arial" w:eastAsia="Times New Roman" w:hAnsi="Arial" w:cs="Arial"/>
          <w:sz w:val="24"/>
          <w:szCs w:val="24"/>
          <w:lang w:eastAsia="en-GB"/>
        </w:rPr>
        <w:t>. 15th edn. Oxford</w:t>
      </w:r>
      <w:r w:rsidR="000C6D59">
        <w:rPr>
          <w:rFonts w:ascii="Arial" w:eastAsia="Times New Roman" w:hAnsi="Arial" w:cs="Arial"/>
          <w:sz w:val="24"/>
          <w:szCs w:val="24"/>
          <w:lang w:eastAsia="en-GB"/>
        </w:rPr>
        <w:t xml:space="preserve"> </w:t>
      </w:r>
      <w:r w:rsidRPr="00133079">
        <w:rPr>
          <w:rFonts w:ascii="Arial" w:eastAsia="Times New Roman" w:hAnsi="Arial" w:cs="Arial"/>
          <w:sz w:val="24"/>
          <w:szCs w:val="24"/>
          <w:lang w:eastAsia="en-GB"/>
        </w:rPr>
        <w:t>University Press</w:t>
      </w:r>
      <w:r>
        <w:rPr>
          <w:rFonts w:ascii="Arial" w:eastAsia="Times New Roman" w:hAnsi="Arial" w:cs="Arial"/>
          <w:sz w:val="24"/>
          <w:szCs w:val="24"/>
          <w:lang w:eastAsia="en-GB"/>
        </w:rPr>
        <w:t xml:space="preserve"> p.</w:t>
      </w:r>
      <w:r w:rsidR="000C6D59">
        <w:rPr>
          <w:rFonts w:ascii="Arial" w:eastAsia="Times New Roman" w:hAnsi="Arial" w:cs="Arial"/>
          <w:sz w:val="24"/>
          <w:szCs w:val="24"/>
          <w:lang w:eastAsia="en-GB"/>
        </w:rPr>
        <w:t>321</w:t>
      </w:r>
    </w:p>
    <w:p w14:paraId="6B11E924" w14:textId="6FC03A06" w:rsidR="00270ADF" w:rsidRPr="00852F6D" w:rsidRDefault="00C70781" w:rsidP="00F914FA">
      <w:pPr>
        <w:rPr>
          <w:rFonts w:ascii="Arial" w:hAnsi="Arial" w:cs="Arial"/>
          <w:sz w:val="24"/>
          <w:szCs w:val="24"/>
        </w:rPr>
      </w:pPr>
      <w:r w:rsidRPr="00852F6D">
        <w:rPr>
          <w:rFonts w:ascii="Arial" w:hAnsi="Arial" w:cs="Arial"/>
          <w:sz w:val="24"/>
          <w:szCs w:val="24"/>
        </w:rPr>
        <w:t>Trust, P. (2021</w:t>
      </w:r>
      <w:r w:rsidRPr="000C6D59">
        <w:rPr>
          <w:rFonts w:ascii="Arial" w:hAnsi="Arial" w:cs="Arial"/>
          <w:i/>
          <w:iCs/>
          <w:sz w:val="24"/>
          <w:szCs w:val="24"/>
        </w:rPr>
        <w:t>) Common Law And Civil Law:</w:t>
      </w:r>
      <w:r w:rsidRPr="00852F6D">
        <w:rPr>
          <w:rFonts w:ascii="Arial" w:hAnsi="Arial" w:cs="Arial"/>
          <w:sz w:val="24"/>
          <w:szCs w:val="24"/>
        </w:rPr>
        <w:t xml:space="preserve"> </w:t>
      </w:r>
      <w:r w:rsidRPr="000C6D59">
        <w:rPr>
          <w:rFonts w:ascii="Arial" w:hAnsi="Arial" w:cs="Arial"/>
          <w:i/>
          <w:iCs/>
          <w:sz w:val="24"/>
          <w:szCs w:val="24"/>
        </w:rPr>
        <w:t>The Key Differences</w:t>
      </w:r>
      <w:r w:rsidRPr="00852F6D">
        <w:rPr>
          <w:rFonts w:ascii="Arial" w:hAnsi="Arial" w:cs="Arial"/>
          <w:sz w:val="24"/>
          <w:szCs w:val="24"/>
        </w:rPr>
        <w:t xml:space="preserve">. Available at: </w:t>
      </w:r>
      <w:hyperlink r:id="rId12" w:history="1">
        <w:r w:rsidR="00C5660D" w:rsidRPr="00852F6D">
          <w:rPr>
            <w:rStyle w:val="Hyperlink"/>
            <w:rFonts w:ascii="Arial" w:hAnsi="Arial" w:cs="Arial"/>
            <w:sz w:val="24"/>
            <w:szCs w:val="24"/>
          </w:rPr>
          <w:t>https://www.pearse-trust.ie/blog/common-law-civil-law-differences</w:t>
        </w:r>
      </w:hyperlink>
      <w:r w:rsidRPr="00852F6D">
        <w:rPr>
          <w:rFonts w:ascii="Arial" w:hAnsi="Arial" w:cs="Arial"/>
          <w:sz w:val="24"/>
          <w:szCs w:val="24"/>
        </w:rPr>
        <w:t>.</w:t>
      </w:r>
      <w:r w:rsidR="00C5660D" w:rsidRPr="00852F6D">
        <w:rPr>
          <w:rFonts w:ascii="Arial" w:hAnsi="Arial" w:cs="Arial"/>
          <w:sz w:val="24"/>
          <w:szCs w:val="24"/>
        </w:rPr>
        <w:t xml:space="preserve"> (Accessed: 22 February 2023)</w:t>
      </w:r>
    </w:p>
    <w:p w14:paraId="689FA7C2" w14:textId="33D8B0A4" w:rsidR="00C70781" w:rsidRPr="00852F6D" w:rsidRDefault="00C70781" w:rsidP="00C70781">
      <w:pPr>
        <w:rPr>
          <w:rFonts w:ascii="Arial" w:hAnsi="Arial" w:cs="Arial"/>
          <w:sz w:val="24"/>
          <w:szCs w:val="24"/>
        </w:rPr>
      </w:pPr>
      <w:r w:rsidRPr="000C6D59">
        <w:rPr>
          <w:rFonts w:ascii="Arial" w:hAnsi="Arial" w:cs="Arial"/>
          <w:i/>
          <w:iCs/>
          <w:sz w:val="24"/>
          <w:szCs w:val="24"/>
        </w:rPr>
        <w:t>The English legal system (2018).</w:t>
      </w:r>
      <w:r w:rsidRPr="00852F6D">
        <w:rPr>
          <w:rFonts w:ascii="Arial" w:hAnsi="Arial" w:cs="Arial"/>
          <w:sz w:val="24"/>
          <w:szCs w:val="24"/>
        </w:rPr>
        <w:t xml:space="preserve"> Available at: </w:t>
      </w:r>
      <w:hyperlink r:id="rId13" w:history="1">
        <w:r w:rsidR="001A5F9D" w:rsidRPr="00852F6D">
          <w:rPr>
            <w:rStyle w:val="Hyperlink"/>
            <w:rFonts w:ascii="Arial" w:hAnsi="Arial" w:cs="Arial"/>
            <w:sz w:val="24"/>
            <w:szCs w:val="24"/>
          </w:rPr>
          <w:t>https://www.iclr.co.uk/knowledge/topics/the-english-legal-system/</w:t>
        </w:r>
      </w:hyperlink>
      <w:r w:rsidRPr="00852F6D">
        <w:rPr>
          <w:rFonts w:ascii="Arial" w:hAnsi="Arial" w:cs="Arial"/>
          <w:sz w:val="24"/>
          <w:szCs w:val="24"/>
        </w:rPr>
        <w:t>.</w:t>
      </w:r>
      <w:r w:rsidR="001A5F9D" w:rsidRPr="00852F6D">
        <w:rPr>
          <w:rFonts w:ascii="Arial" w:hAnsi="Arial" w:cs="Arial"/>
          <w:sz w:val="24"/>
          <w:szCs w:val="24"/>
        </w:rPr>
        <w:t xml:space="preserve"> (Accessed: 20 February 2023)</w:t>
      </w:r>
    </w:p>
    <w:p w14:paraId="362979AD" w14:textId="243D3182" w:rsidR="00C70781" w:rsidRPr="00852F6D" w:rsidRDefault="00C70781" w:rsidP="00F914FA">
      <w:pPr>
        <w:rPr>
          <w:rFonts w:ascii="Arial" w:hAnsi="Arial" w:cs="Arial"/>
          <w:sz w:val="24"/>
          <w:szCs w:val="24"/>
        </w:rPr>
      </w:pPr>
      <w:r w:rsidRPr="000C6D59">
        <w:rPr>
          <w:rFonts w:ascii="Arial" w:hAnsi="Arial" w:cs="Arial"/>
          <w:i/>
          <w:iCs/>
          <w:sz w:val="24"/>
          <w:szCs w:val="24"/>
        </w:rPr>
        <w:t>Understanding Legislation</w:t>
      </w:r>
      <w:r w:rsidRPr="00852F6D">
        <w:rPr>
          <w:rFonts w:ascii="Arial" w:hAnsi="Arial" w:cs="Arial"/>
          <w:sz w:val="24"/>
          <w:szCs w:val="24"/>
        </w:rPr>
        <w:t xml:space="preserve"> (no date). Available at: </w:t>
      </w:r>
      <w:hyperlink r:id="rId14" w:history="1">
        <w:r w:rsidR="001A5F9D" w:rsidRPr="00852F6D">
          <w:rPr>
            <w:rStyle w:val="Hyperlink"/>
            <w:rFonts w:ascii="Arial" w:hAnsi="Arial" w:cs="Arial"/>
            <w:sz w:val="24"/>
            <w:szCs w:val="24"/>
          </w:rPr>
          <w:t>https://www.legislation.gov.uk/understanding-legislation</w:t>
        </w:r>
      </w:hyperlink>
      <w:r w:rsidRPr="00852F6D">
        <w:rPr>
          <w:rFonts w:ascii="Arial" w:hAnsi="Arial" w:cs="Arial"/>
          <w:sz w:val="24"/>
          <w:szCs w:val="24"/>
        </w:rPr>
        <w:t>.</w:t>
      </w:r>
      <w:r w:rsidR="001A5F9D" w:rsidRPr="00852F6D">
        <w:rPr>
          <w:rFonts w:ascii="Arial" w:hAnsi="Arial" w:cs="Arial"/>
          <w:sz w:val="24"/>
          <w:szCs w:val="24"/>
        </w:rPr>
        <w:t xml:space="preserve"> (Accessed: 20 February 2023)</w:t>
      </w:r>
    </w:p>
    <w:p w14:paraId="472B00F3" w14:textId="0CD1E746" w:rsidR="004C23F0" w:rsidRPr="004C23F0" w:rsidRDefault="004C23F0" w:rsidP="004C23F0">
      <w:pPr>
        <w:suppressAutoHyphens w:val="0"/>
        <w:autoSpaceDN/>
        <w:spacing w:after="0" w:line="480" w:lineRule="auto"/>
        <w:ind w:left="720" w:hanging="720"/>
        <w:rPr>
          <w:rFonts w:ascii="Times New Roman" w:eastAsia="Times New Roman" w:hAnsi="Times New Roman"/>
          <w:sz w:val="24"/>
          <w:szCs w:val="24"/>
          <w:lang w:eastAsia="en-GB"/>
        </w:rPr>
      </w:pPr>
    </w:p>
    <w:p w14:paraId="0BAB53DB" w14:textId="77777777" w:rsidR="00601AD1" w:rsidRPr="00852F6D" w:rsidRDefault="00601AD1" w:rsidP="00F914FA">
      <w:pPr>
        <w:rPr>
          <w:rFonts w:ascii="Arial" w:hAnsi="Arial" w:cs="Arial"/>
          <w:sz w:val="24"/>
          <w:szCs w:val="24"/>
        </w:rPr>
      </w:pPr>
    </w:p>
    <w:p w14:paraId="3A008EF7" w14:textId="77777777" w:rsidR="00E442E9" w:rsidRPr="00852F6D" w:rsidRDefault="00E442E9" w:rsidP="00F914FA">
      <w:pPr>
        <w:rPr>
          <w:rFonts w:ascii="Arial" w:hAnsi="Arial" w:cs="Arial"/>
          <w:sz w:val="24"/>
          <w:szCs w:val="24"/>
        </w:rPr>
      </w:pPr>
    </w:p>
    <w:p w14:paraId="2A10A75D" w14:textId="77777777" w:rsidR="00975D13" w:rsidRPr="00852F6D" w:rsidRDefault="00975D13" w:rsidP="00F914FA">
      <w:pPr>
        <w:rPr>
          <w:rFonts w:ascii="Arial" w:hAnsi="Arial" w:cs="Arial"/>
          <w:sz w:val="24"/>
          <w:szCs w:val="24"/>
        </w:rPr>
      </w:pPr>
    </w:p>
    <w:p w14:paraId="5BF16E41" w14:textId="77777777" w:rsidR="00975D13" w:rsidRPr="00852F6D" w:rsidRDefault="00975D13" w:rsidP="00F914FA">
      <w:pPr>
        <w:rPr>
          <w:rFonts w:ascii="Arial" w:hAnsi="Arial" w:cs="Arial"/>
          <w:sz w:val="24"/>
          <w:szCs w:val="24"/>
        </w:rPr>
      </w:pPr>
    </w:p>
    <w:p w14:paraId="581F9ACA" w14:textId="77777777" w:rsidR="00975D13" w:rsidRPr="00852F6D" w:rsidRDefault="00975D13" w:rsidP="00F914FA">
      <w:pPr>
        <w:rPr>
          <w:rFonts w:ascii="Arial" w:hAnsi="Arial" w:cs="Arial"/>
          <w:sz w:val="24"/>
          <w:szCs w:val="24"/>
        </w:rPr>
      </w:pPr>
    </w:p>
    <w:p w14:paraId="4F8215CB" w14:textId="77777777" w:rsidR="00975D13" w:rsidRPr="000B2C94" w:rsidRDefault="00975D13" w:rsidP="00F914FA">
      <w:pPr>
        <w:rPr>
          <w:rFonts w:ascii="Arial" w:hAnsi="Arial" w:cs="Arial"/>
          <w:sz w:val="24"/>
          <w:szCs w:val="24"/>
        </w:rPr>
      </w:pPr>
    </w:p>
    <w:p w14:paraId="4C8AE17D" w14:textId="77777777" w:rsidR="00975D13" w:rsidRPr="000B2C94" w:rsidRDefault="00975D13" w:rsidP="00F914FA">
      <w:pPr>
        <w:rPr>
          <w:rFonts w:ascii="Arial" w:hAnsi="Arial" w:cs="Arial"/>
          <w:sz w:val="24"/>
          <w:szCs w:val="24"/>
        </w:rPr>
      </w:pPr>
    </w:p>
    <w:p w14:paraId="06F962F6" w14:textId="77777777" w:rsidR="00975D13" w:rsidRPr="000B2C94" w:rsidRDefault="00975D13" w:rsidP="00F914FA">
      <w:pPr>
        <w:rPr>
          <w:rFonts w:ascii="Arial" w:hAnsi="Arial" w:cs="Arial"/>
          <w:sz w:val="24"/>
          <w:szCs w:val="24"/>
        </w:rPr>
      </w:pPr>
    </w:p>
    <w:p w14:paraId="5482C8F2" w14:textId="77777777" w:rsidR="004E6B69" w:rsidRPr="000B2C94" w:rsidRDefault="004E6B69" w:rsidP="0011048E">
      <w:pPr>
        <w:rPr>
          <w:rFonts w:ascii="Arial" w:hAnsi="Arial" w:cs="Arial"/>
          <w:sz w:val="24"/>
          <w:szCs w:val="24"/>
        </w:rPr>
      </w:pPr>
    </w:p>
    <w:sectPr w:rsidR="004E6B69" w:rsidRPr="000B2C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86A24"/>
    <w:multiLevelType w:val="multilevel"/>
    <w:tmpl w:val="54A6E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AE0F18"/>
    <w:multiLevelType w:val="multilevel"/>
    <w:tmpl w:val="91784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4084526">
    <w:abstractNumId w:val="0"/>
  </w:num>
  <w:num w:numId="2" w16cid:durableId="12415262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92C"/>
    <w:rsid w:val="00011975"/>
    <w:rsid w:val="00020ED7"/>
    <w:rsid w:val="00030A4A"/>
    <w:rsid w:val="00036DFA"/>
    <w:rsid w:val="000540DB"/>
    <w:rsid w:val="00057087"/>
    <w:rsid w:val="00063F37"/>
    <w:rsid w:val="000665B5"/>
    <w:rsid w:val="000807DE"/>
    <w:rsid w:val="00083D68"/>
    <w:rsid w:val="0009045A"/>
    <w:rsid w:val="000A56F6"/>
    <w:rsid w:val="000A7F9D"/>
    <w:rsid w:val="000B2355"/>
    <w:rsid w:val="000B281F"/>
    <w:rsid w:val="000B2C94"/>
    <w:rsid w:val="000B4B66"/>
    <w:rsid w:val="000B70C4"/>
    <w:rsid w:val="000C6D59"/>
    <w:rsid w:val="000E4E4B"/>
    <w:rsid w:val="000F50F0"/>
    <w:rsid w:val="0011048E"/>
    <w:rsid w:val="0011079C"/>
    <w:rsid w:val="00116A4F"/>
    <w:rsid w:val="00133079"/>
    <w:rsid w:val="0013315C"/>
    <w:rsid w:val="00154FD6"/>
    <w:rsid w:val="00173329"/>
    <w:rsid w:val="00183101"/>
    <w:rsid w:val="001868E0"/>
    <w:rsid w:val="00191A7F"/>
    <w:rsid w:val="00194253"/>
    <w:rsid w:val="001A5F9D"/>
    <w:rsid w:val="001C1F8E"/>
    <w:rsid w:val="001C287B"/>
    <w:rsid w:val="001E6F45"/>
    <w:rsid w:val="001F5835"/>
    <w:rsid w:val="002036CC"/>
    <w:rsid w:val="002060F9"/>
    <w:rsid w:val="0025241E"/>
    <w:rsid w:val="00253304"/>
    <w:rsid w:val="00254513"/>
    <w:rsid w:val="00260A02"/>
    <w:rsid w:val="00267375"/>
    <w:rsid w:val="00270ADF"/>
    <w:rsid w:val="00271B78"/>
    <w:rsid w:val="00272BCA"/>
    <w:rsid w:val="002824BC"/>
    <w:rsid w:val="00290657"/>
    <w:rsid w:val="00292D93"/>
    <w:rsid w:val="002A7AEC"/>
    <w:rsid w:val="002B06DD"/>
    <w:rsid w:val="002B5899"/>
    <w:rsid w:val="002B73D1"/>
    <w:rsid w:val="002C5BE2"/>
    <w:rsid w:val="002D20A5"/>
    <w:rsid w:val="002D211D"/>
    <w:rsid w:val="002D41D9"/>
    <w:rsid w:val="002D79CF"/>
    <w:rsid w:val="002F10A8"/>
    <w:rsid w:val="002F3937"/>
    <w:rsid w:val="00317231"/>
    <w:rsid w:val="00327302"/>
    <w:rsid w:val="0033359F"/>
    <w:rsid w:val="003345E2"/>
    <w:rsid w:val="003534DB"/>
    <w:rsid w:val="0036338F"/>
    <w:rsid w:val="00385A23"/>
    <w:rsid w:val="00387F59"/>
    <w:rsid w:val="003959E4"/>
    <w:rsid w:val="00397CF8"/>
    <w:rsid w:val="003A4678"/>
    <w:rsid w:val="003B2403"/>
    <w:rsid w:val="003C21E2"/>
    <w:rsid w:val="003D18EC"/>
    <w:rsid w:val="003D2E25"/>
    <w:rsid w:val="003D3957"/>
    <w:rsid w:val="003F01E3"/>
    <w:rsid w:val="003F7719"/>
    <w:rsid w:val="004014D2"/>
    <w:rsid w:val="004062D8"/>
    <w:rsid w:val="00414EA1"/>
    <w:rsid w:val="0044158B"/>
    <w:rsid w:val="00443CCC"/>
    <w:rsid w:val="00474054"/>
    <w:rsid w:val="00485647"/>
    <w:rsid w:val="004A6685"/>
    <w:rsid w:val="004C23F0"/>
    <w:rsid w:val="004C42B9"/>
    <w:rsid w:val="004C722A"/>
    <w:rsid w:val="004D1627"/>
    <w:rsid w:val="004D6ECA"/>
    <w:rsid w:val="004E1A29"/>
    <w:rsid w:val="004E6B69"/>
    <w:rsid w:val="004F101A"/>
    <w:rsid w:val="004F3B19"/>
    <w:rsid w:val="004F6834"/>
    <w:rsid w:val="00501736"/>
    <w:rsid w:val="00515724"/>
    <w:rsid w:val="00515BBA"/>
    <w:rsid w:val="00520B5E"/>
    <w:rsid w:val="00524EDF"/>
    <w:rsid w:val="00534588"/>
    <w:rsid w:val="00562018"/>
    <w:rsid w:val="00565AF9"/>
    <w:rsid w:val="00566301"/>
    <w:rsid w:val="00575527"/>
    <w:rsid w:val="005828D8"/>
    <w:rsid w:val="00592720"/>
    <w:rsid w:val="005A04AD"/>
    <w:rsid w:val="005A1EEE"/>
    <w:rsid w:val="005A60DF"/>
    <w:rsid w:val="005B1F2A"/>
    <w:rsid w:val="005D1460"/>
    <w:rsid w:val="005F4C9A"/>
    <w:rsid w:val="00601AD1"/>
    <w:rsid w:val="00602C78"/>
    <w:rsid w:val="006153FC"/>
    <w:rsid w:val="006260F4"/>
    <w:rsid w:val="0063692C"/>
    <w:rsid w:val="006448BA"/>
    <w:rsid w:val="0064661A"/>
    <w:rsid w:val="00656F1D"/>
    <w:rsid w:val="00657345"/>
    <w:rsid w:val="00657ADF"/>
    <w:rsid w:val="0066717B"/>
    <w:rsid w:val="00675167"/>
    <w:rsid w:val="00680BBF"/>
    <w:rsid w:val="00681411"/>
    <w:rsid w:val="006A00A7"/>
    <w:rsid w:val="006A3B9D"/>
    <w:rsid w:val="006C6C62"/>
    <w:rsid w:val="006E7C33"/>
    <w:rsid w:val="00703F83"/>
    <w:rsid w:val="00713B4A"/>
    <w:rsid w:val="00734C1C"/>
    <w:rsid w:val="00740E0D"/>
    <w:rsid w:val="007429F0"/>
    <w:rsid w:val="00744DAC"/>
    <w:rsid w:val="007555FF"/>
    <w:rsid w:val="007563E6"/>
    <w:rsid w:val="00757845"/>
    <w:rsid w:val="00783523"/>
    <w:rsid w:val="007847AF"/>
    <w:rsid w:val="007C0EB5"/>
    <w:rsid w:val="007C205E"/>
    <w:rsid w:val="007C5A0C"/>
    <w:rsid w:val="007D5A55"/>
    <w:rsid w:val="007E4E6B"/>
    <w:rsid w:val="00816236"/>
    <w:rsid w:val="008370BF"/>
    <w:rsid w:val="00841F15"/>
    <w:rsid w:val="00852F6D"/>
    <w:rsid w:val="00866E5D"/>
    <w:rsid w:val="00885475"/>
    <w:rsid w:val="0089282D"/>
    <w:rsid w:val="0089373D"/>
    <w:rsid w:val="00894785"/>
    <w:rsid w:val="00895B8B"/>
    <w:rsid w:val="008A0E9E"/>
    <w:rsid w:val="008C00BB"/>
    <w:rsid w:val="008C1320"/>
    <w:rsid w:val="008C2745"/>
    <w:rsid w:val="008D18D7"/>
    <w:rsid w:val="009218CB"/>
    <w:rsid w:val="009232D8"/>
    <w:rsid w:val="0092628E"/>
    <w:rsid w:val="0092677B"/>
    <w:rsid w:val="00952662"/>
    <w:rsid w:val="00963C9D"/>
    <w:rsid w:val="00970D5B"/>
    <w:rsid w:val="00975D13"/>
    <w:rsid w:val="009A0851"/>
    <w:rsid w:val="009A098A"/>
    <w:rsid w:val="009B4403"/>
    <w:rsid w:val="009D5F91"/>
    <w:rsid w:val="009E1C62"/>
    <w:rsid w:val="009E3564"/>
    <w:rsid w:val="009F5EB1"/>
    <w:rsid w:val="00A27626"/>
    <w:rsid w:val="00A35C07"/>
    <w:rsid w:val="00A45072"/>
    <w:rsid w:val="00A52FCE"/>
    <w:rsid w:val="00A552A9"/>
    <w:rsid w:val="00A64038"/>
    <w:rsid w:val="00A652CC"/>
    <w:rsid w:val="00A656AA"/>
    <w:rsid w:val="00A66902"/>
    <w:rsid w:val="00A674B8"/>
    <w:rsid w:val="00A86950"/>
    <w:rsid w:val="00A96B82"/>
    <w:rsid w:val="00AA2EB6"/>
    <w:rsid w:val="00AA61BA"/>
    <w:rsid w:val="00AE31DF"/>
    <w:rsid w:val="00AE4317"/>
    <w:rsid w:val="00AF4470"/>
    <w:rsid w:val="00B237EF"/>
    <w:rsid w:val="00B264BD"/>
    <w:rsid w:val="00B51B88"/>
    <w:rsid w:val="00BA0619"/>
    <w:rsid w:val="00BD59A3"/>
    <w:rsid w:val="00BD7A52"/>
    <w:rsid w:val="00BE2B77"/>
    <w:rsid w:val="00BF0ED0"/>
    <w:rsid w:val="00C1475F"/>
    <w:rsid w:val="00C25762"/>
    <w:rsid w:val="00C30245"/>
    <w:rsid w:val="00C362EA"/>
    <w:rsid w:val="00C4401B"/>
    <w:rsid w:val="00C5272D"/>
    <w:rsid w:val="00C5660D"/>
    <w:rsid w:val="00C70781"/>
    <w:rsid w:val="00C73C0A"/>
    <w:rsid w:val="00C7518E"/>
    <w:rsid w:val="00CA02FB"/>
    <w:rsid w:val="00CA5F5D"/>
    <w:rsid w:val="00CA774A"/>
    <w:rsid w:val="00CB2411"/>
    <w:rsid w:val="00CC0B39"/>
    <w:rsid w:val="00CC3851"/>
    <w:rsid w:val="00CE10EA"/>
    <w:rsid w:val="00CE3A10"/>
    <w:rsid w:val="00CE7435"/>
    <w:rsid w:val="00CF1A3C"/>
    <w:rsid w:val="00D04EB8"/>
    <w:rsid w:val="00D05A09"/>
    <w:rsid w:val="00D102C2"/>
    <w:rsid w:val="00D1168A"/>
    <w:rsid w:val="00D362AE"/>
    <w:rsid w:val="00D56A7A"/>
    <w:rsid w:val="00D571CF"/>
    <w:rsid w:val="00D61AF2"/>
    <w:rsid w:val="00D67421"/>
    <w:rsid w:val="00D67FE1"/>
    <w:rsid w:val="00D7272B"/>
    <w:rsid w:val="00D72BBC"/>
    <w:rsid w:val="00D83AE3"/>
    <w:rsid w:val="00D8500D"/>
    <w:rsid w:val="00DA1366"/>
    <w:rsid w:val="00DA15AE"/>
    <w:rsid w:val="00DA1A45"/>
    <w:rsid w:val="00DA2B0D"/>
    <w:rsid w:val="00DD1141"/>
    <w:rsid w:val="00DF7665"/>
    <w:rsid w:val="00E209E9"/>
    <w:rsid w:val="00E3273D"/>
    <w:rsid w:val="00E442E9"/>
    <w:rsid w:val="00E536FC"/>
    <w:rsid w:val="00E82C4A"/>
    <w:rsid w:val="00E84534"/>
    <w:rsid w:val="00E8546F"/>
    <w:rsid w:val="00E87CA8"/>
    <w:rsid w:val="00E97083"/>
    <w:rsid w:val="00ED4662"/>
    <w:rsid w:val="00EE03DF"/>
    <w:rsid w:val="00F03C2D"/>
    <w:rsid w:val="00F208A4"/>
    <w:rsid w:val="00F42257"/>
    <w:rsid w:val="00F45193"/>
    <w:rsid w:val="00F85202"/>
    <w:rsid w:val="00F914FA"/>
    <w:rsid w:val="00F937EB"/>
    <w:rsid w:val="00FB3517"/>
    <w:rsid w:val="00FC1CDF"/>
    <w:rsid w:val="00FC7678"/>
    <w:rsid w:val="00FD57E1"/>
    <w:rsid w:val="00FD66D3"/>
    <w:rsid w:val="00FF10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7D70E"/>
  <w15:chartTrackingRefBased/>
  <w15:docId w15:val="{B6F21647-2293-4968-B65B-96A723D2E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301"/>
    <w:pPr>
      <w:suppressAutoHyphens/>
      <w:autoSpaceDN w:val="0"/>
      <w:spacing w:line="254" w:lineRule="auto"/>
    </w:pPr>
    <w:rPr>
      <w:rFonts w:ascii="Calibri" w:eastAsia="Calibri" w:hAnsi="Calibri" w:cs="Times New Roman"/>
    </w:rPr>
  </w:style>
  <w:style w:type="paragraph" w:styleId="Heading1">
    <w:name w:val="heading 1"/>
    <w:basedOn w:val="Normal"/>
    <w:next w:val="Normal"/>
    <w:link w:val="Heading1Char"/>
    <w:uiPriority w:val="9"/>
    <w:qFormat/>
    <w:rsid w:val="006C6C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6C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C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C6C62"/>
    <w:rPr>
      <w:rFonts w:asciiTheme="majorHAnsi" w:eastAsiaTheme="majorEastAsia" w:hAnsiTheme="majorHAnsi" w:cstheme="majorBidi"/>
      <w:color w:val="2F5496" w:themeColor="accent1" w:themeShade="BF"/>
      <w:sz w:val="26"/>
      <w:szCs w:val="26"/>
    </w:rPr>
  </w:style>
  <w:style w:type="character" w:styleId="SubtleReference">
    <w:name w:val="Subtle Reference"/>
    <w:basedOn w:val="DefaultParagraphFont"/>
    <w:uiPriority w:val="31"/>
    <w:qFormat/>
    <w:rsid w:val="006C6C62"/>
    <w:rPr>
      <w:smallCaps/>
      <w:color w:val="5A5A5A" w:themeColor="text1" w:themeTint="A5"/>
    </w:rPr>
  </w:style>
  <w:style w:type="paragraph" w:styleId="NormalWeb">
    <w:name w:val="Normal (Web)"/>
    <w:basedOn w:val="Normal"/>
    <w:uiPriority w:val="99"/>
    <w:rsid w:val="000F50F0"/>
    <w:pPr>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rsid w:val="00520B5E"/>
    <w:rPr>
      <w:color w:val="0000FF"/>
      <w:u w:val="single"/>
    </w:rPr>
  </w:style>
  <w:style w:type="character" w:styleId="IntenseReference">
    <w:name w:val="Intense Reference"/>
    <w:basedOn w:val="DefaultParagraphFont"/>
    <w:uiPriority w:val="32"/>
    <w:qFormat/>
    <w:rsid w:val="00271B78"/>
    <w:rPr>
      <w:b/>
      <w:bCs/>
      <w:smallCaps/>
      <w:color w:val="4472C4" w:themeColor="accent1"/>
      <w:spacing w:val="5"/>
    </w:rPr>
  </w:style>
  <w:style w:type="character" w:styleId="UnresolvedMention">
    <w:name w:val="Unresolved Mention"/>
    <w:basedOn w:val="DefaultParagraphFont"/>
    <w:uiPriority w:val="99"/>
    <w:semiHidden/>
    <w:unhideWhenUsed/>
    <w:rsid w:val="008A0E9E"/>
    <w:rPr>
      <w:color w:val="605E5C"/>
      <w:shd w:val="clear" w:color="auto" w:fill="E1DFDD"/>
    </w:rPr>
  </w:style>
  <w:style w:type="character" w:styleId="HTMLKeyboard">
    <w:name w:val="HTML Keyboard"/>
    <w:basedOn w:val="DefaultParagraphFont"/>
    <w:uiPriority w:val="99"/>
    <w:semiHidden/>
    <w:unhideWhenUsed/>
    <w:rsid w:val="00783523"/>
    <w:rPr>
      <w:rFonts w:ascii="Courier New" w:eastAsia="Times New Roman" w:hAnsi="Courier New" w:cs="Courier New"/>
      <w:sz w:val="20"/>
      <w:szCs w:val="20"/>
    </w:rPr>
  </w:style>
  <w:style w:type="character" w:styleId="Strong">
    <w:name w:val="Strong"/>
    <w:basedOn w:val="DefaultParagraphFont"/>
    <w:uiPriority w:val="22"/>
    <w:qFormat/>
    <w:rsid w:val="009218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6161">
      <w:bodyDiv w:val="1"/>
      <w:marLeft w:val="0"/>
      <w:marRight w:val="0"/>
      <w:marTop w:val="0"/>
      <w:marBottom w:val="0"/>
      <w:divBdr>
        <w:top w:val="none" w:sz="0" w:space="0" w:color="auto"/>
        <w:left w:val="none" w:sz="0" w:space="0" w:color="auto"/>
        <w:bottom w:val="none" w:sz="0" w:space="0" w:color="auto"/>
        <w:right w:val="none" w:sz="0" w:space="0" w:color="auto"/>
      </w:divBdr>
    </w:div>
    <w:div w:id="199100051">
      <w:bodyDiv w:val="1"/>
      <w:marLeft w:val="0"/>
      <w:marRight w:val="0"/>
      <w:marTop w:val="0"/>
      <w:marBottom w:val="0"/>
      <w:divBdr>
        <w:top w:val="none" w:sz="0" w:space="0" w:color="auto"/>
        <w:left w:val="none" w:sz="0" w:space="0" w:color="auto"/>
        <w:bottom w:val="none" w:sz="0" w:space="0" w:color="auto"/>
        <w:right w:val="none" w:sz="0" w:space="0" w:color="auto"/>
      </w:divBdr>
    </w:div>
    <w:div w:id="255940377">
      <w:bodyDiv w:val="1"/>
      <w:marLeft w:val="0"/>
      <w:marRight w:val="0"/>
      <w:marTop w:val="0"/>
      <w:marBottom w:val="0"/>
      <w:divBdr>
        <w:top w:val="none" w:sz="0" w:space="0" w:color="auto"/>
        <w:left w:val="none" w:sz="0" w:space="0" w:color="auto"/>
        <w:bottom w:val="none" w:sz="0" w:space="0" w:color="auto"/>
        <w:right w:val="none" w:sz="0" w:space="0" w:color="auto"/>
      </w:divBdr>
    </w:div>
    <w:div w:id="361134052">
      <w:bodyDiv w:val="1"/>
      <w:marLeft w:val="0"/>
      <w:marRight w:val="0"/>
      <w:marTop w:val="0"/>
      <w:marBottom w:val="0"/>
      <w:divBdr>
        <w:top w:val="none" w:sz="0" w:space="0" w:color="auto"/>
        <w:left w:val="none" w:sz="0" w:space="0" w:color="auto"/>
        <w:bottom w:val="none" w:sz="0" w:space="0" w:color="auto"/>
        <w:right w:val="none" w:sz="0" w:space="0" w:color="auto"/>
      </w:divBdr>
    </w:div>
    <w:div w:id="802234744">
      <w:bodyDiv w:val="1"/>
      <w:marLeft w:val="0"/>
      <w:marRight w:val="0"/>
      <w:marTop w:val="0"/>
      <w:marBottom w:val="0"/>
      <w:divBdr>
        <w:top w:val="none" w:sz="0" w:space="0" w:color="auto"/>
        <w:left w:val="none" w:sz="0" w:space="0" w:color="auto"/>
        <w:bottom w:val="none" w:sz="0" w:space="0" w:color="auto"/>
        <w:right w:val="none" w:sz="0" w:space="0" w:color="auto"/>
      </w:divBdr>
    </w:div>
    <w:div w:id="883754928">
      <w:bodyDiv w:val="1"/>
      <w:marLeft w:val="0"/>
      <w:marRight w:val="0"/>
      <w:marTop w:val="0"/>
      <w:marBottom w:val="0"/>
      <w:divBdr>
        <w:top w:val="none" w:sz="0" w:space="0" w:color="auto"/>
        <w:left w:val="none" w:sz="0" w:space="0" w:color="auto"/>
        <w:bottom w:val="none" w:sz="0" w:space="0" w:color="auto"/>
        <w:right w:val="none" w:sz="0" w:space="0" w:color="auto"/>
      </w:divBdr>
    </w:div>
    <w:div w:id="1237399989">
      <w:bodyDiv w:val="1"/>
      <w:marLeft w:val="0"/>
      <w:marRight w:val="0"/>
      <w:marTop w:val="0"/>
      <w:marBottom w:val="0"/>
      <w:divBdr>
        <w:top w:val="none" w:sz="0" w:space="0" w:color="auto"/>
        <w:left w:val="none" w:sz="0" w:space="0" w:color="auto"/>
        <w:bottom w:val="none" w:sz="0" w:space="0" w:color="auto"/>
        <w:right w:val="none" w:sz="0" w:space="0" w:color="auto"/>
      </w:divBdr>
    </w:div>
    <w:div w:id="1437821700">
      <w:bodyDiv w:val="1"/>
      <w:marLeft w:val="0"/>
      <w:marRight w:val="0"/>
      <w:marTop w:val="0"/>
      <w:marBottom w:val="0"/>
      <w:divBdr>
        <w:top w:val="none" w:sz="0" w:space="0" w:color="auto"/>
        <w:left w:val="none" w:sz="0" w:space="0" w:color="auto"/>
        <w:bottom w:val="none" w:sz="0" w:space="0" w:color="auto"/>
        <w:right w:val="none" w:sz="0" w:space="0" w:color="auto"/>
      </w:divBdr>
    </w:div>
    <w:div w:id="1599407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mmnavarrete/the-concept-of-civil-law-historical-dimension-96db20b74da0" TargetMode="External"/><Relationship Id="rId13" Type="http://schemas.openxmlformats.org/officeDocument/2006/relationships/hyperlink" Target="https://www.iclr.co.uk/knowledge/topics/the-english-legal-system/" TargetMode="External"/><Relationship Id="rId3" Type="http://schemas.openxmlformats.org/officeDocument/2006/relationships/settings" Target="settings.xml"/><Relationship Id="rId7" Type="http://schemas.openxmlformats.org/officeDocument/2006/relationships/hyperlink" Target="https://www.britannica.com/topic/common-law" TargetMode="External"/><Relationship Id="rId12" Type="http://schemas.openxmlformats.org/officeDocument/2006/relationships/hyperlink" Target="https://www.pearse-trust.ie/blog/common-law-civil-law-differenc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plato.stanford.edu/entries/montesquieu/" TargetMode="External"/><Relationship Id="rId11" Type="http://schemas.openxmlformats.org/officeDocument/2006/relationships/hyperlink" Target="https://www.legislation.gov.uk/ukpga/2005/4/section/3" TargetMode="External"/><Relationship Id="rId5" Type="http://schemas.openxmlformats.org/officeDocument/2006/relationships/hyperlink" Target="https://www.akdlawyers.com/what-is-the-legal-system/" TargetMode="External"/><Relationship Id="rId15" Type="http://schemas.openxmlformats.org/officeDocument/2006/relationships/fontTable" Target="fontTable.xml"/><Relationship Id="rId10" Type="http://schemas.openxmlformats.org/officeDocument/2006/relationships/hyperlink" Target="https://www.thelawyerportal.com/blog/civil-law-vs-criminal-law-what-you-need-to-know/" TargetMode="External"/><Relationship Id="rId4" Type="http://schemas.openxmlformats.org/officeDocument/2006/relationships/webSettings" Target="webSettings.xml"/><Relationship Id="rId9" Type="http://schemas.openxmlformats.org/officeDocument/2006/relationships/hyperlink" Target="https://www.iclr.co.uk/knowledge/topics/the-english-legal-system/" TargetMode="External"/><Relationship Id="rId14" Type="http://schemas.openxmlformats.org/officeDocument/2006/relationships/hyperlink" Target="https://www.legislation.gov.uk/understanding-legis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1809</Words>
  <Characters>10316</Characters>
  <Application>Microsoft Office Word</Application>
  <DocSecurity>0</DocSecurity>
  <Lines>85</Lines>
  <Paragraphs>24</Paragraphs>
  <ScaleCrop>false</ScaleCrop>
  <Company/>
  <LinksUpToDate>false</LinksUpToDate>
  <CharactersWithSpaces>12101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Filanenko</dc:creator>
  <cp:keywords/>
  <dc:description/>
  <cp:lastModifiedBy>Maria Filanenko</cp:lastModifiedBy>
  <cp:revision>194</cp:revision>
  <dcterms:created xsi:type="dcterms:W3CDTF">2023-02-26T16:13:00Z</dcterms:created>
  <dcterms:modified xsi:type="dcterms:W3CDTF">2023-03-06T09:43:00Z</dcterms:modified>
</cp:coreProperties>
</file>