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C88178" w14:textId="77777777" w:rsidR="00453E37" w:rsidRDefault="00000000">
      <w:pPr>
        <w:spacing w:before="2400" w:after="120"/>
        <w:jc w:val="center"/>
      </w:pPr>
      <w:r>
        <w:rPr>
          <w:rFonts w:ascii="Arial" w:eastAsia="Arial" w:hAnsi="Arial" w:cs="Arial"/>
          <w:b/>
          <w:bCs/>
          <w:color w:val="1F4E79"/>
          <w:sz w:val="48"/>
          <w:szCs w:val="48"/>
        </w:rPr>
        <w:t>PROJECT MANAGEMENT PLAN</w:t>
      </w:r>
    </w:p>
    <w:p w14:paraId="251BA027" w14:textId="77777777" w:rsidR="00453E37" w:rsidRDefault="00453E37">
      <w:pPr>
        <w:pBdr>
          <w:bottom w:val="single" w:sz="6" w:space="1" w:color="1F4E79"/>
        </w:pBdr>
      </w:pPr>
    </w:p>
    <w:p w14:paraId="2FDBBD8E" w14:textId="77777777" w:rsidR="00453E37" w:rsidRDefault="00000000">
      <w:pPr>
        <w:spacing w:before="200"/>
        <w:jc w:val="center"/>
      </w:pPr>
      <w:r>
        <w:rPr>
          <w:rFonts w:ascii="Arial" w:eastAsia="Arial" w:hAnsi="Arial" w:cs="Arial"/>
          <w:b/>
          <w:bCs/>
          <w:color w:val="2E75B6"/>
          <w:sz w:val="36"/>
          <w:szCs w:val="36"/>
        </w:rPr>
        <w:t>Redevelopment of the Central Transport Hub</w:t>
      </w:r>
    </w:p>
    <w:p w14:paraId="1C03ABB5" w14:textId="77777777" w:rsidR="00453E37" w:rsidRDefault="00000000">
      <w:pPr>
        <w:spacing w:before="80"/>
        <w:jc w:val="center"/>
      </w:pPr>
      <w:r>
        <w:rPr>
          <w:i/>
          <w:iCs/>
        </w:rPr>
        <w:t>A Major Metropolitan City, United Kingdom</w:t>
      </w:r>
    </w:p>
    <w:p w14:paraId="53DEFE4B" w14:textId="77777777" w:rsidR="00453E37" w:rsidRDefault="00453E37"/>
    <w:p w14:paraId="2CCE5E49" w14:textId="1E105C31" w:rsidR="00453E37" w:rsidRDefault="009A5BBA">
      <w:pPr>
        <w:spacing w:before="200"/>
        <w:jc w:val="center"/>
      </w:pPr>
      <w:r>
        <w:t>Radu Mihail Popovici</w:t>
      </w:r>
    </w:p>
    <w:p w14:paraId="74124F78" w14:textId="77777777" w:rsidR="009A5BBA" w:rsidRDefault="009A5BBA">
      <w:pPr>
        <w:spacing w:before="200"/>
        <w:jc w:val="center"/>
      </w:pPr>
    </w:p>
    <w:p w14:paraId="505ABAF9" w14:textId="15D3E150" w:rsidR="009A5BBA" w:rsidRDefault="009A5BBA">
      <w:pPr>
        <w:spacing w:before="200"/>
        <w:jc w:val="center"/>
      </w:pPr>
      <w:r>
        <w:t>2424015</w:t>
      </w:r>
    </w:p>
    <w:p w14:paraId="663CC421" w14:textId="77777777" w:rsidR="009A5BBA" w:rsidRDefault="009A5BBA">
      <w:pPr>
        <w:spacing w:before="200"/>
        <w:jc w:val="center"/>
      </w:pPr>
    </w:p>
    <w:p w14:paraId="0403E499" w14:textId="4253D832" w:rsidR="00453E37" w:rsidRDefault="009A5BBA">
      <w:pPr>
        <w:spacing w:before="40" w:after="40"/>
        <w:jc w:val="center"/>
      </w:pPr>
      <w:r>
        <w:t>LCLM5003_Project Management</w:t>
      </w:r>
    </w:p>
    <w:p w14:paraId="24657F66" w14:textId="3A1F409D" w:rsidR="00453E37" w:rsidRDefault="00453E37">
      <w:pPr>
        <w:spacing w:before="40" w:after="40"/>
        <w:jc w:val="center"/>
      </w:pPr>
    </w:p>
    <w:p w14:paraId="23849AC3" w14:textId="4075A02E" w:rsidR="009A5BBA" w:rsidRPr="009A5BBA" w:rsidRDefault="009A5BBA">
      <w:pPr>
        <w:spacing w:before="40" w:after="40"/>
        <w:jc w:val="center"/>
      </w:pPr>
      <w:r w:rsidRPr="009A5BBA">
        <w:t>Dr Kareem Sani</w:t>
      </w:r>
    </w:p>
    <w:p w14:paraId="640F9D90" w14:textId="77777777" w:rsidR="00453E37" w:rsidRDefault="00000000">
      <w:r>
        <w:br w:type="page"/>
      </w:r>
    </w:p>
    <w:p w14:paraId="461C78E0" w14:textId="77777777" w:rsidR="00453E37" w:rsidRDefault="00000000">
      <w:pPr>
        <w:pStyle w:val="Heading1"/>
      </w:pPr>
      <w:r>
        <w:rPr>
          <w:color w:val="1F4E79"/>
        </w:rPr>
        <w:lastRenderedPageBreak/>
        <w:t>Contents</w:t>
      </w:r>
    </w:p>
    <w:p w14:paraId="4D5601DD" w14:textId="77777777" w:rsidR="00453E37" w:rsidRDefault="00453E37">
      <w:pPr>
        <w:pBdr>
          <w:bottom w:val="single" w:sz="6" w:space="1" w:color="1F4E79"/>
        </w:pBdr>
      </w:pPr>
    </w:p>
    <w:p w14:paraId="779268FA" w14:textId="77777777" w:rsidR="00453E37" w:rsidRDefault="00453E37"/>
    <w:p w14:paraId="46D23C07" w14:textId="77777777" w:rsidR="00453E37" w:rsidRDefault="00000000">
      <w:pPr>
        <w:spacing w:before="60" w:after="60"/>
      </w:pPr>
      <w:r>
        <w:t>1. Introduction</w:t>
      </w:r>
    </w:p>
    <w:p w14:paraId="0A55A01A" w14:textId="77777777" w:rsidR="00453E37" w:rsidRDefault="00000000">
      <w:pPr>
        <w:spacing w:before="60" w:after="60"/>
      </w:pPr>
      <w:r>
        <w:t>2. Project Description</w:t>
      </w:r>
    </w:p>
    <w:p w14:paraId="11EBCAD5" w14:textId="77777777" w:rsidR="00453E37" w:rsidRDefault="00000000">
      <w:pPr>
        <w:spacing w:before="60" w:after="60"/>
      </w:pPr>
      <w:r>
        <w:t>3. Scope</w:t>
      </w:r>
    </w:p>
    <w:p w14:paraId="1DD10880" w14:textId="77777777" w:rsidR="00453E37" w:rsidRDefault="00000000">
      <w:pPr>
        <w:spacing w:before="60" w:after="60"/>
      </w:pPr>
      <w:r>
        <w:t>4. Work Breakdown Structure (WBS)</w:t>
      </w:r>
    </w:p>
    <w:p w14:paraId="773FD609" w14:textId="77777777" w:rsidR="00453E37" w:rsidRDefault="00000000">
      <w:pPr>
        <w:spacing w:before="60" w:after="60"/>
      </w:pPr>
      <w:r>
        <w:t>5. Quad Chart</w:t>
      </w:r>
    </w:p>
    <w:p w14:paraId="670318AB" w14:textId="77777777" w:rsidR="00453E37" w:rsidRDefault="00000000">
      <w:pPr>
        <w:spacing w:before="60" w:after="60"/>
      </w:pPr>
      <w:r>
        <w:t>6. Gantt Chart</w:t>
      </w:r>
    </w:p>
    <w:p w14:paraId="7CD64CA2" w14:textId="77777777" w:rsidR="00453E37" w:rsidRDefault="00000000">
      <w:pPr>
        <w:spacing w:before="60" w:after="60"/>
      </w:pPr>
      <w:r>
        <w:t>7. Stakeholder Involvement</w:t>
      </w:r>
    </w:p>
    <w:p w14:paraId="4446CE00" w14:textId="77777777" w:rsidR="00453E37" w:rsidRDefault="00000000">
      <w:pPr>
        <w:spacing w:before="60" w:after="60"/>
      </w:pPr>
      <w:r>
        <w:t>8. Allocation of Resources</w:t>
      </w:r>
    </w:p>
    <w:p w14:paraId="6B59A63F" w14:textId="77777777" w:rsidR="00453E37" w:rsidRDefault="00000000">
      <w:pPr>
        <w:spacing w:before="60" w:after="60"/>
      </w:pPr>
      <w:r>
        <w:t>9. Risk Analysis</w:t>
      </w:r>
    </w:p>
    <w:p w14:paraId="694BAD54" w14:textId="5BBBEA1E" w:rsidR="00453E37" w:rsidRDefault="00000000">
      <w:pPr>
        <w:spacing w:before="60" w:after="60"/>
      </w:pPr>
      <w:r>
        <w:t>10. Conclusion</w:t>
      </w:r>
      <w:r w:rsidR="00BC5E04">
        <w:br/>
        <w:t>11. Introspective Essay</w:t>
      </w:r>
    </w:p>
    <w:p w14:paraId="174565D5" w14:textId="77777777" w:rsidR="00453E37" w:rsidRDefault="00000000">
      <w:pPr>
        <w:spacing w:before="60" w:after="60"/>
      </w:pPr>
      <w:r>
        <w:t>References</w:t>
      </w:r>
    </w:p>
    <w:p w14:paraId="5C604896" w14:textId="77777777" w:rsidR="00453E37" w:rsidRDefault="00000000">
      <w:r>
        <w:br w:type="page"/>
      </w:r>
    </w:p>
    <w:p w14:paraId="74CD82C6" w14:textId="77777777" w:rsidR="00453E37" w:rsidRDefault="00000000">
      <w:pPr>
        <w:pStyle w:val="Heading1"/>
      </w:pPr>
      <w:r>
        <w:rPr>
          <w:color w:val="1F4E79"/>
        </w:rPr>
        <w:lastRenderedPageBreak/>
        <w:t>1. Introduction</w:t>
      </w:r>
    </w:p>
    <w:p w14:paraId="0B1ECF6F" w14:textId="77777777" w:rsidR="00453E37" w:rsidRDefault="00453E37">
      <w:pPr>
        <w:pBdr>
          <w:bottom w:val="single" w:sz="6" w:space="1" w:color="1F4E79"/>
        </w:pBdr>
      </w:pPr>
    </w:p>
    <w:p w14:paraId="38087F36" w14:textId="77777777" w:rsidR="00453E37" w:rsidRDefault="00453E37"/>
    <w:p w14:paraId="390502B3" w14:textId="77777777" w:rsidR="00453E37" w:rsidRDefault="00000000">
      <w:pPr>
        <w:spacing w:before="80" w:after="160"/>
        <w:jc w:val="both"/>
      </w:pPr>
      <w:r>
        <w:t>The closure of a major metropolitan transport hub in November 2025 has created significant disruption across the urban landscape of the city. Originally constructed over 40 years ago, the central hub no longer satisfies contemporary safety legislation, accessibility requirements, or environmental standards. The structural inspection, which triggered the closure, revealed critical deficiencies that render continued operation untenable (National Audit Office, 2020). The ensuing operational vacuum has exposed the fragility of the city's transport network, with cascading effects on commuter mobility, freight logistics, local business viability, and the broader regional economy.</w:t>
      </w:r>
    </w:p>
    <w:p w14:paraId="10455CD4" w14:textId="77777777" w:rsidR="00453E37" w:rsidRDefault="00000000">
      <w:pPr>
        <w:spacing w:before="80" w:after="160"/>
        <w:jc w:val="both"/>
      </w:pPr>
      <w:r>
        <w:t>This Project Management Plan (PMP) sets out the structured approach to the redevelopment of the central transport hub — the most strategically significant of the four available project options. The plan draws upon established project management methodologies, including PRINCE2, the PMI PMBOK framework, and APM Body of Knowledge, to deliver a comprehensive redevelopment within scope, time, cost, and quality parameters (Office of Government Commerce, 2009; Project Management Institute, 2021; Association for Project Management, 2019). The plan is directed at the relevant stakeholders, including the Local Authority, Transport Secretary, Network Rail, transport operators, and the wider public, who hold a vested interest in the successful and timely restoration of the hub.</w:t>
      </w:r>
    </w:p>
    <w:p w14:paraId="5006F5A6" w14:textId="77777777" w:rsidR="00453E37" w:rsidRDefault="00453E37"/>
    <w:p w14:paraId="360AC9D5" w14:textId="77777777" w:rsidR="00453E37" w:rsidRDefault="00000000">
      <w:pPr>
        <w:pStyle w:val="Heading1"/>
      </w:pPr>
      <w:r>
        <w:rPr>
          <w:color w:val="1F4E79"/>
        </w:rPr>
        <w:t>2. Project Description</w:t>
      </w:r>
    </w:p>
    <w:p w14:paraId="56EDB2C4" w14:textId="77777777" w:rsidR="00453E37" w:rsidRDefault="00453E37">
      <w:pPr>
        <w:pBdr>
          <w:bottom w:val="single" w:sz="6" w:space="1" w:color="1F4E79"/>
        </w:pBdr>
      </w:pPr>
    </w:p>
    <w:p w14:paraId="77EFE07E" w14:textId="77777777" w:rsidR="00453E37" w:rsidRDefault="00453E37"/>
    <w:p w14:paraId="48843311" w14:textId="77777777" w:rsidR="00453E37" w:rsidRDefault="00000000">
      <w:pPr>
        <w:spacing w:before="80" w:after="160"/>
        <w:jc w:val="both"/>
      </w:pPr>
      <w:r>
        <w:t>The project entails the full-scale redevelopment of the central transport hub to restore it as the primary multimodal interchange within the city. The redeveloped hub will serve rail, bus, and freight logistics, while integrating digital infrastructure, achieving net-zero operational carbon, and delivering fully inclusive, accessible design. The project is assigned an estimated total budget of £48 million and a programme duration of 36 months.</w:t>
      </w:r>
    </w:p>
    <w:p w14:paraId="12A7DF3B" w14:textId="77777777" w:rsidR="00453E37" w:rsidRDefault="00000000">
      <w:pPr>
        <w:spacing w:before="80" w:after="160"/>
        <w:jc w:val="both"/>
      </w:pPr>
      <w:r>
        <w:t>The project is justified on multiple grounds. First, from a strategic public services perspective, the hub underpins the city's transport connectivity and economic activity. Its continued closure represents an unacceptable cost to commuters, businesses, and the supply chain. Second, the redevelopment presents a generational opportunity to align transport infrastructure with contemporary environmental policy commitments, including the Department for Transport's Transport Decarbonisation Plan (Department for Transport, 2023). Third, permanent redevelopment offers long-term value for money compared with temporary or piecemeal alternatives; a fully modernised hub will serve the city for the next 40 to 50 years.</w:t>
      </w:r>
    </w:p>
    <w:p w14:paraId="4D2B9BEC" w14:textId="77777777" w:rsidR="00453E37" w:rsidRDefault="00000000">
      <w:pPr>
        <w:spacing w:before="80" w:after="160"/>
        <w:jc w:val="both"/>
      </w:pPr>
      <w:r>
        <w:t>The project is selected over options (b), (c), and (d) because it addresses the root cause of the problem — obsolete and unsafe physical infrastructure — rather than mitigating its consequences. While digital modernisation (option c) and sustainable redesign (option d) are embedded as components within this project, they alone do not restore transport capacity. A temporary multimodal solution (option b) provides only short-term relief at disproportionate long-term cost (Bent Flyvbjerg, 2014).</w:t>
      </w:r>
    </w:p>
    <w:p w14:paraId="1D097D23" w14:textId="77777777" w:rsidR="00453E37" w:rsidRDefault="00453E37"/>
    <w:p w14:paraId="1012575F" w14:textId="77777777" w:rsidR="00453E37" w:rsidRDefault="00000000">
      <w:pPr>
        <w:pStyle w:val="Heading1"/>
      </w:pPr>
      <w:r>
        <w:rPr>
          <w:color w:val="1F4E79"/>
        </w:rPr>
        <w:lastRenderedPageBreak/>
        <w:t>3. Scope</w:t>
      </w:r>
    </w:p>
    <w:p w14:paraId="2AAE9F12" w14:textId="77777777" w:rsidR="00453E37" w:rsidRDefault="00453E37">
      <w:pPr>
        <w:pBdr>
          <w:bottom w:val="single" w:sz="6" w:space="1" w:color="1F4E79"/>
        </w:pBdr>
      </w:pPr>
    </w:p>
    <w:p w14:paraId="08193AED" w14:textId="77777777" w:rsidR="00453E37" w:rsidRDefault="00453E37"/>
    <w:p w14:paraId="4AF65137" w14:textId="3BEDBDA8" w:rsidR="00453E37" w:rsidRDefault="00000000" w:rsidP="009A5BBA">
      <w:pPr>
        <w:pStyle w:val="Heading2"/>
        <w:numPr>
          <w:ilvl w:val="1"/>
          <w:numId w:val="4"/>
        </w:numPr>
      </w:pPr>
      <w:r>
        <w:rPr>
          <w:color w:val="2E75B6"/>
        </w:rPr>
        <w:t>Scope Inclusions</w:t>
      </w:r>
    </w:p>
    <w:p w14:paraId="669690E2" w14:textId="77777777" w:rsidR="00453E37" w:rsidRDefault="00000000">
      <w:pPr>
        <w:spacing w:before="80" w:after="160"/>
        <w:jc w:val="both"/>
      </w:pPr>
      <w:r>
        <w:t>The project scope encompasses the following:</w:t>
      </w:r>
    </w:p>
    <w:p w14:paraId="39410924" w14:textId="2B7FB686" w:rsidR="00453E37" w:rsidRDefault="00000000" w:rsidP="009A5BBA">
      <w:pPr>
        <w:pStyle w:val="ListParagraph"/>
        <w:numPr>
          <w:ilvl w:val="0"/>
          <w:numId w:val="3"/>
        </w:numPr>
        <w:spacing w:before="40" w:after="40"/>
      </w:pPr>
      <w:r>
        <w:t>Demolition and site clearance of the existing hub structure</w:t>
      </w:r>
    </w:p>
    <w:p w14:paraId="0F087828" w14:textId="77A980D7" w:rsidR="00453E37" w:rsidRDefault="00000000" w:rsidP="009A5BBA">
      <w:pPr>
        <w:pStyle w:val="ListParagraph"/>
        <w:numPr>
          <w:ilvl w:val="0"/>
          <w:numId w:val="3"/>
        </w:numPr>
        <w:spacing w:before="40" w:after="40"/>
      </w:pPr>
      <w:r>
        <w:t>Full architectural and structural design of the new terminal building</w:t>
      </w:r>
    </w:p>
    <w:p w14:paraId="52F65459" w14:textId="2A5A1CBA" w:rsidR="00453E37" w:rsidRDefault="00000000" w:rsidP="009A5BBA">
      <w:pPr>
        <w:pStyle w:val="ListParagraph"/>
        <w:numPr>
          <w:ilvl w:val="0"/>
          <w:numId w:val="3"/>
        </w:numPr>
        <w:spacing w:before="40" w:after="40"/>
      </w:pPr>
      <w:r>
        <w:t>Construction of rail, bus, and freight interchange facilities</w:t>
      </w:r>
    </w:p>
    <w:p w14:paraId="4F0EAE8D" w14:textId="30BC198D" w:rsidR="00453E37" w:rsidRDefault="00000000" w:rsidP="009A5BBA">
      <w:pPr>
        <w:pStyle w:val="ListParagraph"/>
        <w:numPr>
          <w:ilvl w:val="0"/>
          <w:numId w:val="3"/>
        </w:numPr>
        <w:spacing w:before="40" w:after="40"/>
      </w:pPr>
      <w:r>
        <w:t>Installation of passenger amenities, retail units, and accessible facilities</w:t>
      </w:r>
    </w:p>
    <w:p w14:paraId="014B375C" w14:textId="23C3879C" w:rsidR="00453E37" w:rsidRDefault="00000000" w:rsidP="009A5BBA">
      <w:pPr>
        <w:pStyle w:val="ListParagraph"/>
        <w:numPr>
          <w:ilvl w:val="0"/>
          <w:numId w:val="3"/>
        </w:numPr>
        <w:spacing w:before="40" w:after="40"/>
      </w:pPr>
      <w:r>
        <w:t>Digital infrastructure, including smart passenger flow systems, real-time information displays, and Wi-Fi connectivity</w:t>
      </w:r>
    </w:p>
    <w:p w14:paraId="3D97799F" w14:textId="66D4C1A6" w:rsidR="00453E37" w:rsidRDefault="00000000" w:rsidP="009A5BBA">
      <w:pPr>
        <w:pStyle w:val="ListParagraph"/>
        <w:numPr>
          <w:ilvl w:val="0"/>
          <w:numId w:val="3"/>
        </w:numPr>
        <w:spacing w:before="40" w:after="40"/>
      </w:pPr>
      <w:r>
        <w:t>Renewable energy systems and low-carbon building fabric to target BREEAM Excellent</w:t>
      </w:r>
    </w:p>
    <w:p w14:paraId="7721A140" w14:textId="451F010D" w:rsidR="00453E37" w:rsidRDefault="00000000" w:rsidP="009A5BBA">
      <w:pPr>
        <w:pStyle w:val="ListParagraph"/>
        <w:numPr>
          <w:ilvl w:val="0"/>
          <w:numId w:val="3"/>
        </w:numPr>
        <w:spacing w:before="40" w:after="40"/>
      </w:pPr>
      <w:r>
        <w:t>Step-free access throughout all platforms, entrances, and concourses</w:t>
      </w:r>
    </w:p>
    <w:p w14:paraId="60340D68" w14:textId="0D4E14AC" w:rsidR="00453E37" w:rsidRDefault="00000000" w:rsidP="009A5BBA">
      <w:pPr>
        <w:pStyle w:val="ListParagraph"/>
        <w:numPr>
          <w:ilvl w:val="0"/>
          <w:numId w:val="3"/>
        </w:numPr>
        <w:spacing w:before="40" w:after="40"/>
      </w:pPr>
      <w:r>
        <w:t>External works, landscaping, and active travel infrastructure</w:t>
      </w:r>
    </w:p>
    <w:p w14:paraId="47F3440B" w14:textId="77777777" w:rsidR="00453E37" w:rsidRDefault="00453E37"/>
    <w:p w14:paraId="5A863E19" w14:textId="3916DA0B" w:rsidR="00453E37" w:rsidRDefault="00000000" w:rsidP="009A5BBA">
      <w:pPr>
        <w:pStyle w:val="Heading2"/>
        <w:numPr>
          <w:ilvl w:val="1"/>
          <w:numId w:val="4"/>
        </w:numPr>
      </w:pPr>
      <w:r>
        <w:rPr>
          <w:color w:val="2E75B6"/>
        </w:rPr>
        <w:t>Scope Exclusions</w:t>
      </w:r>
    </w:p>
    <w:p w14:paraId="6B0938B2" w14:textId="77777777" w:rsidR="00453E37" w:rsidRDefault="00000000">
      <w:pPr>
        <w:spacing w:before="80" w:after="160"/>
        <w:jc w:val="both"/>
      </w:pPr>
      <w:r>
        <w:t>The following items fall outside the project boundary:</w:t>
      </w:r>
    </w:p>
    <w:p w14:paraId="5BD0E8EB" w14:textId="73CF380C" w:rsidR="00453E37" w:rsidRDefault="00000000" w:rsidP="009A5BBA">
      <w:pPr>
        <w:pStyle w:val="ListParagraph"/>
        <w:numPr>
          <w:ilvl w:val="0"/>
          <w:numId w:val="3"/>
        </w:numPr>
        <w:spacing w:before="40" w:after="40"/>
      </w:pPr>
      <w:r>
        <w:t>Upgrades to the wider rail or bus network beyond the hub's site boundary</w:t>
      </w:r>
    </w:p>
    <w:p w14:paraId="78845AB5" w14:textId="680AEDC3" w:rsidR="00453E37" w:rsidRDefault="00000000" w:rsidP="009A5BBA">
      <w:pPr>
        <w:pStyle w:val="ListParagraph"/>
        <w:numPr>
          <w:ilvl w:val="0"/>
          <w:numId w:val="3"/>
        </w:numPr>
        <w:spacing w:before="40" w:after="40"/>
      </w:pPr>
      <w:r>
        <w:t>Procurement or operation of rolling stock or bus fleet</w:t>
      </w:r>
    </w:p>
    <w:p w14:paraId="0898BBB5" w14:textId="19C2D6B5" w:rsidR="00453E37" w:rsidRDefault="00000000" w:rsidP="009A5BBA">
      <w:pPr>
        <w:pStyle w:val="ListParagraph"/>
        <w:numPr>
          <w:ilvl w:val="0"/>
          <w:numId w:val="3"/>
        </w:numPr>
        <w:spacing w:before="40" w:after="40"/>
      </w:pPr>
      <w:r>
        <w:t>Long-term facilities management (post-handover operational responsibility)</w:t>
      </w:r>
    </w:p>
    <w:p w14:paraId="6665BC3C" w14:textId="05FA80D1" w:rsidR="00453E37" w:rsidRDefault="00000000" w:rsidP="009A5BBA">
      <w:pPr>
        <w:pStyle w:val="ListParagraph"/>
        <w:numPr>
          <w:ilvl w:val="0"/>
          <w:numId w:val="3"/>
        </w:numPr>
        <w:spacing w:before="40" w:after="40"/>
      </w:pPr>
      <w:r>
        <w:t>Construction of additional car parking facilities beyond the site perimeter</w:t>
      </w:r>
    </w:p>
    <w:p w14:paraId="67F32D73" w14:textId="77777777" w:rsidR="00453E37" w:rsidRDefault="00453E37"/>
    <w:p w14:paraId="772384F1" w14:textId="77777777" w:rsidR="00453E37" w:rsidRDefault="00000000">
      <w:pPr>
        <w:pStyle w:val="Heading2"/>
      </w:pPr>
      <w:r>
        <w:rPr>
          <w:color w:val="2E75B6"/>
        </w:rPr>
        <w:t>3.3 Scope Boundaries and Constraints</w:t>
      </w:r>
    </w:p>
    <w:p w14:paraId="28B00E88" w14:textId="77777777" w:rsidR="00453E37" w:rsidRDefault="00000000">
      <w:pPr>
        <w:spacing w:before="80" w:after="160"/>
        <w:jc w:val="both"/>
      </w:pPr>
      <w:r>
        <w:t>The project operates within a fixed budget envelope of £48 million, a 36-month programme, and the statutory planning framework of the Local Planning Authority (LPA). All works are subject to Network Rail Technical Standards, the Equality Act 2010, and the Construction (Design and Management) Regulations 2015. Any changes to scope require formal approval through the Change Control process in accordance with PRINCE2 governance (Office of Government Commerce, 2009).</w:t>
      </w:r>
    </w:p>
    <w:p w14:paraId="052A505A" w14:textId="77777777" w:rsidR="00453E37" w:rsidRDefault="00453E37"/>
    <w:p w14:paraId="4359311C" w14:textId="77777777" w:rsidR="00453E37" w:rsidRDefault="00000000">
      <w:pPr>
        <w:pStyle w:val="Heading1"/>
      </w:pPr>
      <w:r>
        <w:rPr>
          <w:color w:val="1F4E79"/>
        </w:rPr>
        <w:t>4. Work Breakdown Structure (WBS)</w:t>
      </w:r>
    </w:p>
    <w:p w14:paraId="4FBDE3A6" w14:textId="77777777" w:rsidR="00453E37" w:rsidRDefault="00453E37">
      <w:pPr>
        <w:pBdr>
          <w:bottom w:val="single" w:sz="6" w:space="1" w:color="1F4E79"/>
        </w:pBdr>
      </w:pPr>
    </w:p>
    <w:p w14:paraId="42D34766" w14:textId="77777777" w:rsidR="00453E37" w:rsidRDefault="00453E37"/>
    <w:p w14:paraId="3E66E3B4" w14:textId="77777777" w:rsidR="00453E37" w:rsidRDefault="00000000">
      <w:pPr>
        <w:spacing w:before="80" w:after="160"/>
        <w:jc w:val="both"/>
      </w:pPr>
      <w:r>
        <w:t>The Work Breakdown Structure (WBS) is a hierarchical decomposition of the total scope into manageable work packages (Project Management Institute, 2021). Table 4 presents the WBS for the central transport hub redevelopment, organised across six top-level deliverable groups. This structure enables systematic assignment of resources, responsibilities, and budgets, and provides the foundation for scheduling (Maylor, 2010). Each work package is discrete and measurable, facilitating progress monitoring throughout the project lifecycle.</w:t>
      </w:r>
    </w:p>
    <w:p w14:paraId="0C3A4D74" w14:textId="77777777" w:rsidR="00453E37" w:rsidRDefault="00453E37"/>
    <w:p w14:paraId="33BA258C" w14:textId="77777777" w:rsidR="00453E37" w:rsidRDefault="00000000">
      <w:pPr>
        <w:spacing w:before="120"/>
        <w:jc w:val="center"/>
      </w:pPr>
      <w:r>
        <w:rPr>
          <w:b/>
          <w:bCs/>
          <w:sz w:val="22"/>
          <w:szCs w:val="22"/>
        </w:rPr>
        <w:t>Table 4: Work Breakdown Structure (WBS)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000"/>
        <w:gridCol w:w="2600"/>
        <w:gridCol w:w="5400"/>
      </w:tblGrid>
      <w:tr w:rsidR="00453E37" w14:paraId="161D3E9B"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073F2D80" w14:textId="77777777" w:rsidR="00453E37" w:rsidRDefault="00000000">
            <w:pPr>
              <w:jc w:val="center"/>
            </w:pPr>
            <w:r>
              <w:rPr>
                <w:rFonts w:ascii="Arial" w:eastAsia="Arial" w:hAnsi="Arial" w:cs="Arial"/>
                <w:b/>
                <w:bCs/>
                <w:color w:val="FFFFFF"/>
                <w:sz w:val="20"/>
                <w:szCs w:val="20"/>
              </w:rPr>
              <w:t>WBS Code</w:t>
            </w:r>
          </w:p>
        </w:tc>
        <w:tc>
          <w:tcPr>
            <w:tcW w:w="26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1DC13F79" w14:textId="77777777" w:rsidR="00453E37" w:rsidRDefault="00000000">
            <w:pPr>
              <w:jc w:val="center"/>
            </w:pPr>
            <w:r>
              <w:rPr>
                <w:rFonts w:ascii="Arial" w:eastAsia="Arial" w:hAnsi="Arial" w:cs="Arial"/>
                <w:b/>
                <w:bCs/>
                <w:color w:val="FFFFFF"/>
                <w:sz w:val="20"/>
                <w:szCs w:val="20"/>
              </w:rPr>
              <w:t>Work Package</w:t>
            </w:r>
          </w:p>
        </w:tc>
        <w:tc>
          <w:tcPr>
            <w:tcW w:w="54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19ACD2BC" w14:textId="77777777" w:rsidR="00453E37" w:rsidRDefault="00000000">
            <w:pPr>
              <w:jc w:val="center"/>
            </w:pPr>
            <w:r>
              <w:rPr>
                <w:rFonts w:ascii="Arial" w:eastAsia="Arial" w:hAnsi="Arial" w:cs="Arial"/>
                <w:b/>
                <w:bCs/>
                <w:color w:val="FFFFFF"/>
                <w:sz w:val="20"/>
                <w:szCs w:val="20"/>
              </w:rPr>
              <w:t>Description</w:t>
            </w:r>
          </w:p>
        </w:tc>
      </w:tr>
      <w:tr w:rsidR="00453E37" w14:paraId="485ED3CC"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7AF77EA5" w14:textId="77777777" w:rsidR="00453E37" w:rsidRDefault="00000000">
            <w:r>
              <w:rPr>
                <w:rFonts w:ascii="Arial" w:eastAsia="Arial" w:hAnsi="Arial" w:cs="Arial"/>
                <w:b/>
                <w:bCs/>
                <w:color w:val="FFFFFF"/>
                <w:sz w:val="20"/>
                <w:szCs w:val="20"/>
              </w:rPr>
              <w:t>1.0</w:t>
            </w:r>
          </w:p>
        </w:tc>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03C284F1" w14:textId="77777777" w:rsidR="00453E37" w:rsidRDefault="00000000">
            <w:r>
              <w:rPr>
                <w:rFonts w:ascii="Arial" w:eastAsia="Arial" w:hAnsi="Arial" w:cs="Arial"/>
                <w:b/>
                <w:bCs/>
                <w:color w:val="FFFFFF"/>
                <w:sz w:val="20"/>
                <w:szCs w:val="20"/>
              </w:rPr>
              <w:t>PROJECT INITIATION</w:t>
            </w:r>
          </w:p>
        </w:tc>
        <w:tc>
          <w:tcPr>
            <w:tcW w:w="5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5872D4E9" w14:textId="77777777" w:rsidR="00453E37" w:rsidRDefault="00453E37"/>
        </w:tc>
      </w:tr>
      <w:tr w:rsidR="00453E37" w14:paraId="2EBEE8A7"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8F01B30" w14:textId="77777777" w:rsidR="00453E37" w:rsidRDefault="00000000">
            <w:r>
              <w:rPr>
                <w:rFonts w:ascii="Arial" w:eastAsia="Arial" w:hAnsi="Arial" w:cs="Arial"/>
                <w:color w:val="000000"/>
                <w:sz w:val="20"/>
                <w:szCs w:val="20"/>
              </w:rPr>
              <w:t>1.1</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E4FF7BA" w14:textId="77777777" w:rsidR="00453E37" w:rsidRDefault="00000000">
            <w:r>
              <w:rPr>
                <w:rFonts w:ascii="Arial" w:eastAsia="Arial" w:hAnsi="Arial" w:cs="Arial"/>
                <w:color w:val="000000"/>
                <w:sz w:val="20"/>
                <w:szCs w:val="20"/>
              </w:rPr>
              <w:t>Project Charter</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CDF54A4" w14:textId="77777777" w:rsidR="00453E37" w:rsidRDefault="00000000">
            <w:r>
              <w:rPr>
                <w:rFonts w:ascii="Arial" w:eastAsia="Arial" w:hAnsi="Arial" w:cs="Arial"/>
                <w:color w:val="000000"/>
                <w:sz w:val="20"/>
                <w:szCs w:val="20"/>
              </w:rPr>
              <w:t>Formal authority to commence project</w:t>
            </w:r>
          </w:p>
        </w:tc>
      </w:tr>
      <w:tr w:rsidR="00453E37" w14:paraId="00B705E3"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CF016AC" w14:textId="77777777" w:rsidR="00453E37" w:rsidRDefault="00000000">
            <w:r>
              <w:rPr>
                <w:rFonts w:ascii="Arial" w:eastAsia="Arial" w:hAnsi="Arial" w:cs="Arial"/>
                <w:color w:val="000000"/>
                <w:sz w:val="20"/>
                <w:szCs w:val="20"/>
              </w:rPr>
              <w:t>1.2</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51A2B3AD" w14:textId="77777777" w:rsidR="00453E37" w:rsidRDefault="00000000">
            <w:r>
              <w:rPr>
                <w:rFonts w:ascii="Arial" w:eastAsia="Arial" w:hAnsi="Arial" w:cs="Arial"/>
                <w:color w:val="000000"/>
                <w:sz w:val="20"/>
                <w:szCs w:val="20"/>
              </w:rPr>
              <w:t>Stakeholder Identification</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9D3E2F7" w14:textId="77777777" w:rsidR="00453E37" w:rsidRDefault="00000000">
            <w:r>
              <w:rPr>
                <w:rFonts w:ascii="Arial" w:eastAsia="Arial" w:hAnsi="Arial" w:cs="Arial"/>
                <w:color w:val="000000"/>
                <w:sz w:val="20"/>
                <w:szCs w:val="20"/>
              </w:rPr>
              <w:t>Map all stakeholders; conduct power-interest analysis</w:t>
            </w:r>
          </w:p>
        </w:tc>
      </w:tr>
      <w:tr w:rsidR="00453E37" w14:paraId="324A168F"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8697503" w14:textId="77777777" w:rsidR="00453E37" w:rsidRDefault="00000000">
            <w:r>
              <w:rPr>
                <w:rFonts w:ascii="Arial" w:eastAsia="Arial" w:hAnsi="Arial" w:cs="Arial"/>
                <w:color w:val="000000"/>
                <w:sz w:val="20"/>
                <w:szCs w:val="20"/>
              </w:rPr>
              <w:t>1.3</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0BAB9A0" w14:textId="77777777" w:rsidR="00453E37" w:rsidRDefault="00000000">
            <w:r>
              <w:rPr>
                <w:rFonts w:ascii="Arial" w:eastAsia="Arial" w:hAnsi="Arial" w:cs="Arial"/>
                <w:color w:val="000000"/>
                <w:sz w:val="20"/>
                <w:szCs w:val="20"/>
              </w:rPr>
              <w:t>Feasibility &amp; Options Appraisal</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67003AF" w14:textId="77777777" w:rsidR="00453E37" w:rsidRDefault="00000000">
            <w:r>
              <w:rPr>
                <w:rFonts w:ascii="Arial" w:eastAsia="Arial" w:hAnsi="Arial" w:cs="Arial"/>
                <w:color w:val="000000"/>
                <w:sz w:val="20"/>
                <w:szCs w:val="20"/>
              </w:rPr>
              <w:t>Structural surveys; optioneering; cost-benefit analysis</w:t>
            </w:r>
          </w:p>
        </w:tc>
      </w:tr>
      <w:tr w:rsidR="00453E37" w14:paraId="1BB2A475"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5F503873" w14:textId="77777777" w:rsidR="00453E37" w:rsidRDefault="00000000">
            <w:r>
              <w:rPr>
                <w:rFonts w:ascii="Arial" w:eastAsia="Arial" w:hAnsi="Arial" w:cs="Arial"/>
                <w:b/>
                <w:bCs/>
                <w:color w:val="FFFFFF"/>
                <w:sz w:val="20"/>
                <w:szCs w:val="20"/>
              </w:rPr>
              <w:t>2.0</w:t>
            </w:r>
          </w:p>
        </w:tc>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23927F14" w14:textId="77777777" w:rsidR="00453E37" w:rsidRDefault="00000000">
            <w:r>
              <w:rPr>
                <w:rFonts w:ascii="Arial" w:eastAsia="Arial" w:hAnsi="Arial" w:cs="Arial"/>
                <w:b/>
                <w:bCs/>
                <w:color w:val="FFFFFF"/>
                <w:sz w:val="20"/>
                <w:szCs w:val="20"/>
              </w:rPr>
              <w:t>PLANNING &amp; DESIGN</w:t>
            </w:r>
          </w:p>
        </w:tc>
        <w:tc>
          <w:tcPr>
            <w:tcW w:w="5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4621D9F0" w14:textId="77777777" w:rsidR="00453E37" w:rsidRDefault="00453E37"/>
        </w:tc>
      </w:tr>
      <w:tr w:rsidR="00453E37" w14:paraId="7F2900BC"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F5BCEEF" w14:textId="77777777" w:rsidR="00453E37" w:rsidRDefault="00000000">
            <w:r>
              <w:rPr>
                <w:rFonts w:ascii="Arial" w:eastAsia="Arial" w:hAnsi="Arial" w:cs="Arial"/>
                <w:color w:val="000000"/>
                <w:sz w:val="20"/>
                <w:szCs w:val="20"/>
              </w:rPr>
              <w:t>2.1</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01E63AA" w14:textId="77777777" w:rsidR="00453E37" w:rsidRDefault="00000000">
            <w:r>
              <w:rPr>
                <w:rFonts w:ascii="Arial" w:eastAsia="Arial" w:hAnsi="Arial" w:cs="Arial"/>
                <w:color w:val="000000"/>
                <w:sz w:val="20"/>
                <w:szCs w:val="20"/>
              </w:rPr>
              <w:t>Concept Design</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8E25D7A" w14:textId="77777777" w:rsidR="00453E37" w:rsidRDefault="00000000">
            <w:r>
              <w:rPr>
                <w:rFonts w:ascii="Arial" w:eastAsia="Arial" w:hAnsi="Arial" w:cs="Arial"/>
                <w:color w:val="000000"/>
                <w:sz w:val="20"/>
                <w:szCs w:val="20"/>
              </w:rPr>
              <w:t>Outline architectural and structural design proposals</w:t>
            </w:r>
          </w:p>
        </w:tc>
      </w:tr>
      <w:tr w:rsidR="00453E37" w14:paraId="0A78E83A"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30E3052" w14:textId="77777777" w:rsidR="00453E37" w:rsidRDefault="00000000">
            <w:r>
              <w:rPr>
                <w:rFonts w:ascii="Arial" w:eastAsia="Arial" w:hAnsi="Arial" w:cs="Arial"/>
                <w:color w:val="000000"/>
                <w:sz w:val="20"/>
                <w:szCs w:val="20"/>
              </w:rPr>
              <w:t>2.2</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26095BA" w14:textId="77777777" w:rsidR="00453E37" w:rsidRDefault="00000000">
            <w:r>
              <w:rPr>
                <w:rFonts w:ascii="Arial" w:eastAsia="Arial" w:hAnsi="Arial" w:cs="Arial"/>
                <w:color w:val="000000"/>
                <w:sz w:val="20"/>
                <w:szCs w:val="20"/>
              </w:rPr>
              <w:t>Planning Application</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E5CD58A" w14:textId="77777777" w:rsidR="00453E37" w:rsidRDefault="00000000">
            <w:r>
              <w:rPr>
                <w:rFonts w:ascii="Arial" w:eastAsia="Arial" w:hAnsi="Arial" w:cs="Arial"/>
                <w:color w:val="000000"/>
                <w:sz w:val="20"/>
                <w:szCs w:val="20"/>
              </w:rPr>
              <w:t>Preparation and submission of planning documentation</w:t>
            </w:r>
          </w:p>
        </w:tc>
      </w:tr>
      <w:tr w:rsidR="00453E37" w14:paraId="041E474C"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B71AB6C" w14:textId="77777777" w:rsidR="00453E37" w:rsidRDefault="00000000">
            <w:r>
              <w:rPr>
                <w:rFonts w:ascii="Arial" w:eastAsia="Arial" w:hAnsi="Arial" w:cs="Arial"/>
                <w:color w:val="000000"/>
                <w:sz w:val="20"/>
                <w:szCs w:val="20"/>
              </w:rPr>
              <w:t>2.3</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2CA2A79" w14:textId="77777777" w:rsidR="00453E37" w:rsidRDefault="00000000">
            <w:r>
              <w:rPr>
                <w:rFonts w:ascii="Arial" w:eastAsia="Arial" w:hAnsi="Arial" w:cs="Arial"/>
                <w:color w:val="000000"/>
                <w:sz w:val="20"/>
                <w:szCs w:val="20"/>
              </w:rPr>
              <w:t>Detailed Design</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0CC2E70" w14:textId="77777777" w:rsidR="00453E37" w:rsidRDefault="00000000">
            <w:r>
              <w:rPr>
                <w:rFonts w:ascii="Arial" w:eastAsia="Arial" w:hAnsi="Arial" w:cs="Arial"/>
                <w:color w:val="000000"/>
                <w:sz w:val="20"/>
                <w:szCs w:val="20"/>
              </w:rPr>
              <w:t>Technical drawings, BIM model development, specifications</w:t>
            </w:r>
          </w:p>
        </w:tc>
      </w:tr>
      <w:tr w:rsidR="00453E37" w14:paraId="3A97670B"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8A1E276" w14:textId="77777777" w:rsidR="00453E37" w:rsidRDefault="00000000">
            <w:r>
              <w:rPr>
                <w:rFonts w:ascii="Arial" w:eastAsia="Arial" w:hAnsi="Arial" w:cs="Arial"/>
                <w:color w:val="000000"/>
                <w:sz w:val="20"/>
                <w:szCs w:val="20"/>
              </w:rPr>
              <w:t>2.4</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5799705" w14:textId="77777777" w:rsidR="00453E37" w:rsidRDefault="00000000">
            <w:r>
              <w:rPr>
                <w:rFonts w:ascii="Arial" w:eastAsia="Arial" w:hAnsi="Arial" w:cs="Arial"/>
                <w:color w:val="000000"/>
                <w:sz w:val="20"/>
                <w:szCs w:val="20"/>
              </w:rPr>
              <w:t>Procurement Strategy</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4A35F99" w14:textId="77777777" w:rsidR="00453E37" w:rsidRDefault="00000000">
            <w:r>
              <w:rPr>
                <w:rFonts w:ascii="Arial" w:eastAsia="Arial" w:hAnsi="Arial" w:cs="Arial"/>
                <w:color w:val="000000"/>
                <w:sz w:val="20"/>
                <w:szCs w:val="20"/>
              </w:rPr>
              <w:t>Tender documentation; contractor selection; contracts</w:t>
            </w:r>
          </w:p>
        </w:tc>
      </w:tr>
      <w:tr w:rsidR="00453E37" w14:paraId="5F973407"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5D58F194" w14:textId="77777777" w:rsidR="00453E37" w:rsidRDefault="00000000">
            <w:r>
              <w:rPr>
                <w:rFonts w:ascii="Arial" w:eastAsia="Arial" w:hAnsi="Arial" w:cs="Arial"/>
                <w:b/>
                <w:bCs/>
                <w:color w:val="FFFFFF"/>
                <w:sz w:val="20"/>
                <w:szCs w:val="20"/>
              </w:rPr>
              <w:t>3.0</w:t>
            </w:r>
          </w:p>
        </w:tc>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383899C7" w14:textId="77777777" w:rsidR="00453E37" w:rsidRDefault="00000000">
            <w:r>
              <w:rPr>
                <w:rFonts w:ascii="Arial" w:eastAsia="Arial" w:hAnsi="Arial" w:cs="Arial"/>
                <w:b/>
                <w:bCs/>
                <w:color w:val="FFFFFF"/>
                <w:sz w:val="20"/>
                <w:szCs w:val="20"/>
              </w:rPr>
              <w:t>PRE-CONSTRUCTION</w:t>
            </w:r>
          </w:p>
        </w:tc>
        <w:tc>
          <w:tcPr>
            <w:tcW w:w="5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6E70270E" w14:textId="77777777" w:rsidR="00453E37" w:rsidRDefault="00453E37"/>
        </w:tc>
      </w:tr>
      <w:tr w:rsidR="00453E37" w14:paraId="0DCEE686"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6B3D8C5" w14:textId="77777777" w:rsidR="00453E37" w:rsidRDefault="00000000">
            <w:r>
              <w:rPr>
                <w:rFonts w:ascii="Arial" w:eastAsia="Arial" w:hAnsi="Arial" w:cs="Arial"/>
                <w:color w:val="000000"/>
                <w:sz w:val="20"/>
                <w:szCs w:val="20"/>
              </w:rPr>
              <w:t>3.1</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C8FCA71" w14:textId="77777777" w:rsidR="00453E37" w:rsidRDefault="00000000">
            <w:r>
              <w:rPr>
                <w:rFonts w:ascii="Arial" w:eastAsia="Arial" w:hAnsi="Arial" w:cs="Arial"/>
                <w:color w:val="000000"/>
                <w:sz w:val="20"/>
                <w:szCs w:val="20"/>
              </w:rPr>
              <w:t>Site Preparation &amp; Enabling Works</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35638D4" w14:textId="77777777" w:rsidR="00453E37" w:rsidRDefault="00000000">
            <w:r>
              <w:rPr>
                <w:rFonts w:ascii="Arial" w:eastAsia="Arial" w:hAnsi="Arial" w:cs="Arial"/>
                <w:color w:val="000000"/>
                <w:sz w:val="20"/>
                <w:szCs w:val="20"/>
              </w:rPr>
              <w:t>Demolition, site clearance, utilities diversions</w:t>
            </w:r>
          </w:p>
        </w:tc>
      </w:tr>
      <w:tr w:rsidR="00453E37" w14:paraId="57868E0C"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56E5D6C" w14:textId="77777777" w:rsidR="00453E37" w:rsidRDefault="00000000">
            <w:r>
              <w:rPr>
                <w:rFonts w:ascii="Arial" w:eastAsia="Arial" w:hAnsi="Arial" w:cs="Arial"/>
                <w:color w:val="000000"/>
                <w:sz w:val="20"/>
                <w:szCs w:val="20"/>
              </w:rPr>
              <w:t>3.2</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602E1AA" w14:textId="77777777" w:rsidR="00453E37" w:rsidRDefault="00000000">
            <w:r>
              <w:rPr>
                <w:rFonts w:ascii="Arial" w:eastAsia="Arial" w:hAnsi="Arial" w:cs="Arial"/>
                <w:color w:val="000000"/>
                <w:sz w:val="20"/>
                <w:szCs w:val="20"/>
              </w:rPr>
              <w:t>Temporary Transport Measures</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797D9AD" w14:textId="77777777" w:rsidR="00453E37" w:rsidRDefault="00000000">
            <w:r>
              <w:rPr>
                <w:rFonts w:ascii="Arial" w:eastAsia="Arial" w:hAnsi="Arial" w:cs="Arial"/>
                <w:color w:val="000000"/>
                <w:sz w:val="20"/>
                <w:szCs w:val="20"/>
              </w:rPr>
              <w:t>Coordination of alternative commuter routes</w:t>
            </w:r>
          </w:p>
        </w:tc>
      </w:tr>
      <w:tr w:rsidR="00453E37" w14:paraId="55841C3A"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0045825" w14:textId="77777777" w:rsidR="00453E37" w:rsidRDefault="00000000">
            <w:r>
              <w:rPr>
                <w:rFonts w:ascii="Arial" w:eastAsia="Arial" w:hAnsi="Arial" w:cs="Arial"/>
                <w:color w:val="000000"/>
                <w:sz w:val="20"/>
                <w:szCs w:val="20"/>
              </w:rPr>
              <w:t>3.3</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1B671F6" w14:textId="77777777" w:rsidR="00453E37" w:rsidRDefault="00000000">
            <w:r>
              <w:rPr>
                <w:rFonts w:ascii="Arial" w:eastAsia="Arial" w:hAnsi="Arial" w:cs="Arial"/>
                <w:color w:val="000000"/>
                <w:sz w:val="20"/>
                <w:szCs w:val="20"/>
              </w:rPr>
              <w:t>Environmental Baseline Studies</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F3EC122" w14:textId="77777777" w:rsidR="00453E37" w:rsidRDefault="00000000">
            <w:r>
              <w:rPr>
                <w:rFonts w:ascii="Arial" w:eastAsia="Arial" w:hAnsi="Arial" w:cs="Arial"/>
                <w:color w:val="000000"/>
                <w:sz w:val="20"/>
                <w:szCs w:val="20"/>
              </w:rPr>
              <w:t>Ecological survey; contamination assessment</w:t>
            </w:r>
          </w:p>
        </w:tc>
      </w:tr>
      <w:tr w:rsidR="00453E37" w14:paraId="2E801F1C"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483BC60B" w14:textId="77777777" w:rsidR="00453E37" w:rsidRDefault="00000000">
            <w:r>
              <w:rPr>
                <w:rFonts w:ascii="Arial" w:eastAsia="Arial" w:hAnsi="Arial" w:cs="Arial"/>
                <w:b/>
                <w:bCs/>
                <w:color w:val="FFFFFF"/>
                <w:sz w:val="20"/>
                <w:szCs w:val="20"/>
              </w:rPr>
              <w:t>4.0</w:t>
            </w:r>
          </w:p>
        </w:tc>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38298031" w14:textId="77777777" w:rsidR="00453E37" w:rsidRDefault="00000000">
            <w:r>
              <w:rPr>
                <w:rFonts w:ascii="Arial" w:eastAsia="Arial" w:hAnsi="Arial" w:cs="Arial"/>
                <w:b/>
                <w:bCs/>
                <w:color w:val="FFFFFF"/>
                <w:sz w:val="20"/>
                <w:szCs w:val="20"/>
              </w:rPr>
              <w:t>CONSTRUCTION</w:t>
            </w:r>
          </w:p>
        </w:tc>
        <w:tc>
          <w:tcPr>
            <w:tcW w:w="5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2B27BCBB" w14:textId="77777777" w:rsidR="00453E37" w:rsidRDefault="00453E37"/>
        </w:tc>
      </w:tr>
      <w:tr w:rsidR="00453E37" w14:paraId="342687FD"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4365276" w14:textId="77777777" w:rsidR="00453E37" w:rsidRDefault="00000000">
            <w:r>
              <w:rPr>
                <w:rFonts w:ascii="Arial" w:eastAsia="Arial" w:hAnsi="Arial" w:cs="Arial"/>
                <w:color w:val="000000"/>
                <w:sz w:val="20"/>
                <w:szCs w:val="20"/>
              </w:rPr>
              <w:t>4.1</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30631D0" w14:textId="77777777" w:rsidR="00453E37" w:rsidRDefault="00000000">
            <w:r>
              <w:rPr>
                <w:rFonts w:ascii="Arial" w:eastAsia="Arial" w:hAnsi="Arial" w:cs="Arial"/>
                <w:color w:val="000000"/>
                <w:sz w:val="20"/>
                <w:szCs w:val="20"/>
              </w:rPr>
              <w:t>Substructure Works</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FB1D434" w14:textId="77777777" w:rsidR="00453E37" w:rsidRDefault="00000000">
            <w:r>
              <w:rPr>
                <w:rFonts w:ascii="Arial" w:eastAsia="Arial" w:hAnsi="Arial" w:cs="Arial"/>
                <w:color w:val="000000"/>
                <w:sz w:val="20"/>
                <w:szCs w:val="20"/>
              </w:rPr>
              <w:t>Foundations, drainage, groundworks</w:t>
            </w:r>
          </w:p>
        </w:tc>
      </w:tr>
      <w:tr w:rsidR="00453E37" w14:paraId="6E17A81D"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53BB81F" w14:textId="77777777" w:rsidR="00453E37" w:rsidRDefault="00000000">
            <w:r>
              <w:rPr>
                <w:rFonts w:ascii="Arial" w:eastAsia="Arial" w:hAnsi="Arial" w:cs="Arial"/>
                <w:color w:val="000000"/>
                <w:sz w:val="20"/>
                <w:szCs w:val="20"/>
              </w:rPr>
              <w:t>4.2</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F13547B" w14:textId="77777777" w:rsidR="00453E37" w:rsidRDefault="00000000">
            <w:r>
              <w:rPr>
                <w:rFonts w:ascii="Arial" w:eastAsia="Arial" w:hAnsi="Arial" w:cs="Arial"/>
                <w:color w:val="000000"/>
                <w:sz w:val="20"/>
                <w:szCs w:val="20"/>
              </w:rPr>
              <w:t>Superstructure &amp; Frame</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39CB6A5" w14:textId="77777777" w:rsidR="00453E37" w:rsidRDefault="00000000">
            <w:r>
              <w:rPr>
                <w:rFonts w:ascii="Arial" w:eastAsia="Arial" w:hAnsi="Arial" w:cs="Arial"/>
                <w:color w:val="000000"/>
                <w:sz w:val="20"/>
                <w:szCs w:val="20"/>
              </w:rPr>
              <w:t>Structural steel/concrete frame; cladding; roofing</w:t>
            </w:r>
          </w:p>
        </w:tc>
      </w:tr>
      <w:tr w:rsidR="00453E37" w14:paraId="7E6DCE44"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C994803" w14:textId="77777777" w:rsidR="00453E37" w:rsidRDefault="00000000">
            <w:r>
              <w:rPr>
                <w:rFonts w:ascii="Arial" w:eastAsia="Arial" w:hAnsi="Arial" w:cs="Arial"/>
                <w:color w:val="000000"/>
                <w:sz w:val="20"/>
                <w:szCs w:val="20"/>
              </w:rPr>
              <w:t>4.3</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F6C6F16" w14:textId="77777777" w:rsidR="00453E37" w:rsidRDefault="00000000">
            <w:r>
              <w:rPr>
                <w:rFonts w:ascii="Arial" w:eastAsia="Arial" w:hAnsi="Arial" w:cs="Arial"/>
                <w:color w:val="000000"/>
                <w:sz w:val="20"/>
                <w:szCs w:val="20"/>
              </w:rPr>
              <w:t>Fit-Out &amp; MEP Services</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DEE6A38" w14:textId="77777777" w:rsidR="00453E37" w:rsidRDefault="00000000">
            <w:r>
              <w:rPr>
                <w:rFonts w:ascii="Arial" w:eastAsia="Arial" w:hAnsi="Arial" w:cs="Arial"/>
                <w:color w:val="000000"/>
                <w:sz w:val="20"/>
                <w:szCs w:val="20"/>
              </w:rPr>
              <w:t>Passenger facilities, ticketing systems, mechanical/electrical</w:t>
            </w:r>
          </w:p>
        </w:tc>
      </w:tr>
      <w:tr w:rsidR="00453E37" w14:paraId="404C1B39"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58F046F" w14:textId="77777777" w:rsidR="00453E37" w:rsidRDefault="00000000">
            <w:r>
              <w:rPr>
                <w:rFonts w:ascii="Arial" w:eastAsia="Arial" w:hAnsi="Arial" w:cs="Arial"/>
                <w:color w:val="000000"/>
                <w:sz w:val="20"/>
                <w:szCs w:val="20"/>
              </w:rPr>
              <w:t>4.4</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AA9E85E" w14:textId="77777777" w:rsidR="00453E37" w:rsidRDefault="00000000">
            <w:r>
              <w:rPr>
                <w:rFonts w:ascii="Arial" w:eastAsia="Arial" w:hAnsi="Arial" w:cs="Arial"/>
                <w:color w:val="000000"/>
                <w:sz w:val="20"/>
                <w:szCs w:val="20"/>
              </w:rPr>
              <w:t>Digital &amp; Connectivity Infrastructure</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3445A62" w14:textId="77777777" w:rsidR="00453E37" w:rsidRDefault="00000000">
            <w:r>
              <w:rPr>
                <w:rFonts w:ascii="Arial" w:eastAsia="Arial" w:hAnsi="Arial" w:cs="Arial"/>
                <w:color w:val="000000"/>
                <w:sz w:val="20"/>
                <w:szCs w:val="20"/>
              </w:rPr>
              <w:t>Smart systems, wayfinding, CCTV, Wi-Fi networks</w:t>
            </w:r>
          </w:p>
        </w:tc>
      </w:tr>
      <w:tr w:rsidR="00453E37" w14:paraId="66F18C6E"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2BD2755" w14:textId="77777777" w:rsidR="00453E37" w:rsidRDefault="00000000">
            <w:r>
              <w:rPr>
                <w:rFonts w:ascii="Arial" w:eastAsia="Arial" w:hAnsi="Arial" w:cs="Arial"/>
                <w:color w:val="000000"/>
                <w:sz w:val="20"/>
                <w:szCs w:val="20"/>
              </w:rPr>
              <w:t>4.5</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D9AC89C" w14:textId="77777777" w:rsidR="00453E37" w:rsidRDefault="00000000">
            <w:r>
              <w:rPr>
                <w:rFonts w:ascii="Arial" w:eastAsia="Arial" w:hAnsi="Arial" w:cs="Arial"/>
                <w:color w:val="000000"/>
                <w:sz w:val="20"/>
                <w:szCs w:val="20"/>
              </w:rPr>
              <w:t>Accessibility &amp; Landscaping</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60EF59E" w14:textId="77777777" w:rsidR="00453E37" w:rsidRDefault="00000000">
            <w:r>
              <w:rPr>
                <w:rFonts w:ascii="Arial" w:eastAsia="Arial" w:hAnsi="Arial" w:cs="Arial"/>
                <w:color w:val="000000"/>
                <w:sz w:val="20"/>
                <w:szCs w:val="20"/>
              </w:rPr>
              <w:t>Step-free access routes, tactile paving, external works</w:t>
            </w:r>
          </w:p>
        </w:tc>
      </w:tr>
      <w:tr w:rsidR="00453E37" w14:paraId="2AA4302A"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5BA55697" w14:textId="77777777" w:rsidR="00453E37" w:rsidRDefault="00000000">
            <w:r>
              <w:rPr>
                <w:rFonts w:ascii="Arial" w:eastAsia="Arial" w:hAnsi="Arial" w:cs="Arial"/>
                <w:b/>
                <w:bCs/>
                <w:color w:val="FFFFFF"/>
                <w:sz w:val="20"/>
                <w:szCs w:val="20"/>
              </w:rPr>
              <w:t>5.0</w:t>
            </w:r>
          </w:p>
        </w:tc>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70F7B7A5" w14:textId="77777777" w:rsidR="00453E37" w:rsidRDefault="00000000">
            <w:r>
              <w:rPr>
                <w:rFonts w:ascii="Arial" w:eastAsia="Arial" w:hAnsi="Arial" w:cs="Arial"/>
                <w:b/>
                <w:bCs/>
                <w:color w:val="FFFFFF"/>
                <w:sz w:val="20"/>
                <w:szCs w:val="20"/>
              </w:rPr>
              <w:t>COMMISSIONING &amp; HANDOVER</w:t>
            </w:r>
          </w:p>
        </w:tc>
        <w:tc>
          <w:tcPr>
            <w:tcW w:w="5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6A4D1825" w14:textId="77777777" w:rsidR="00453E37" w:rsidRDefault="00453E37"/>
        </w:tc>
      </w:tr>
      <w:tr w:rsidR="00453E37" w14:paraId="0B6F0F57"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7D8843C" w14:textId="77777777" w:rsidR="00453E37" w:rsidRDefault="00000000">
            <w:r>
              <w:rPr>
                <w:rFonts w:ascii="Arial" w:eastAsia="Arial" w:hAnsi="Arial" w:cs="Arial"/>
                <w:color w:val="000000"/>
                <w:sz w:val="20"/>
                <w:szCs w:val="20"/>
              </w:rPr>
              <w:t>5.1</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855EEDA" w14:textId="77777777" w:rsidR="00453E37" w:rsidRDefault="00000000">
            <w:r>
              <w:rPr>
                <w:rFonts w:ascii="Arial" w:eastAsia="Arial" w:hAnsi="Arial" w:cs="Arial"/>
                <w:color w:val="000000"/>
                <w:sz w:val="20"/>
                <w:szCs w:val="20"/>
              </w:rPr>
              <w:t>Systems Testing &amp; Integration</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3B9012E" w14:textId="77777777" w:rsidR="00453E37" w:rsidRDefault="00000000">
            <w:r>
              <w:rPr>
                <w:rFonts w:ascii="Arial" w:eastAsia="Arial" w:hAnsi="Arial" w:cs="Arial"/>
                <w:color w:val="000000"/>
                <w:sz w:val="20"/>
                <w:szCs w:val="20"/>
              </w:rPr>
              <w:t>Full commissioning of transport systems and digital assets</w:t>
            </w:r>
          </w:p>
        </w:tc>
      </w:tr>
      <w:tr w:rsidR="00453E37" w14:paraId="61D666BD"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EAC36FA" w14:textId="77777777" w:rsidR="00453E37" w:rsidRDefault="00000000">
            <w:r>
              <w:rPr>
                <w:rFonts w:ascii="Arial" w:eastAsia="Arial" w:hAnsi="Arial" w:cs="Arial"/>
                <w:color w:val="000000"/>
                <w:sz w:val="20"/>
                <w:szCs w:val="20"/>
              </w:rPr>
              <w:lastRenderedPageBreak/>
              <w:t>5.2</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FC5DB66" w14:textId="77777777" w:rsidR="00453E37" w:rsidRDefault="00000000">
            <w:r>
              <w:rPr>
                <w:rFonts w:ascii="Arial" w:eastAsia="Arial" w:hAnsi="Arial" w:cs="Arial"/>
                <w:color w:val="000000"/>
                <w:sz w:val="20"/>
                <w:szCs w:val="20"/>
              </w:rPr>
              <w:t>Snagging &amp; Defects Resolution</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47EDC4E" w14:textId="77777777" w:rsidR="00453E37" w:rsidRDefault="00000000">
            <w:r>
              <w:rPr>
                <w:rFonts w:ascii="Arial" w:eastAsia="Arial" w:hAnsi="Arial" w:cs="Arial"/>
                <w:color w:val="000000"/>
                <w:sz w:val="20"/>
                <w:szCs w:val="20"/>
              </w:rPr>
              <w:t>Quality inspections; remedial works</w:t>
            </w:r>
          </w:p>
        </w:tc>
      </w:tr>
      <w:tr w:rsidR="00453E37" w14:paraId="08AC764C"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93048A8" w14:textId="77777777" w:rsidR="00453E37" w:rsidRDefault="00000000">
            <w:r>
              <w:rPr>
                <w:rFonts w:ascii="Arial" w:eastAsia="Arial" w:hAnsi="Arial" w:cs="Arial"/>
                <w:color w:val="000000"/>
                <w:sz w:val="20"/>
                <w:szCs w:val="20"/>
              </w:rPr>
              <w:t>5.3</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C6059BB" w14:textId="77777777" w:rsidR="00453E37" w:rsidRDefault="00000000">
            <w:r>
              <w:rPr>
                <w:rFonts w:ascii="Arial" w:eastAsia="Arial" w:hAnsi="Arial" w:cs="Arial"/>
                <w:color w:val="000000"/>
                <w:sz w:val="20"/>
                <w:szCs w:val="20"/>
              </w:rPr>
              <w:t>Regulatory Sign-Off</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75F28C9" w14:textId="77777777" w:rsidR="00453E37" w:rsidRDefault="00000000">
            <w:r>
              <w:rPr>
                <w:rFonts w:ascii="Arial" w:eastAsia="Arial" w:hAnsi="Arial" w:cs="Arial"/>
                <w:color w:val="000000"/>
                <w:sz w:val="20"/>
                <w:szCs w:val="20"/>
              </w:rPr>
              <w:t>Safety certification; accessibility compliance sign-off</w:t>
            </w:r>
          </w:p>
        </w:tc>
      </w:tr>
      <w:tr w:rsidR="00453E37" w14:paraId="1FEB6748"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B42FBD4" w14:textId="77777777" w:rsidR="00453E37" w:rsidRDefault="00000000">
            <w:r>
              <w:rPr>
                <w:rFonts w:ascii="Arial" w:eastAsia="Arial" w:hAnsi="Arial" w:cs="Arial"/>
                <w:color w:val="000000"/>
                <w:sz w:val="20"/>
                <w:szCs w:val="20"/>
              </w:rPr>
              <w:t>5.4</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3C3D307" w14:textId="77777777" w:rsidR="00453E37" w:rsidRDefault="00000000">
            <w:r>
              <w:rPr>
                <w:rFonts w:ascii="Arial" w:eastAsia="Arial" w:hAnsi="Arial" w:cs="Arial"/>
                <w:color w:val="000000"/>
                <w:sz w:val="20"/>
                <w:szCs w:val="20"/>
              </w:rPr>
              <w:t>Operational Handover</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A83734E" w14:textId="77777777" w:rsidR="00453E37" w:rsidRDefault="00000000">
            <w:r>
              <w:rPr>
                <w:rFonts w:ascii="Arial" w:eastAsia="Arial" w:hAnsi="Arial" w:cs="Arial"/>
                <w:color w:val="000000"/>
                <w:sz w:val="20"/>
                <w:szCs w:val="20"/>
              </w:rPr>
              <w:t>Transfer to transport operators; staff training</w:t>
            </w:r>
          </w:p>
        </w:tc>
      </w:tr>
      <w:tr w:rsidR="00453E37" w14:paraId="7B2B7DB1"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24E5F705" w14:textId="77777777" w:rsidR="00453E37" w:rsidRDefault="00000000">
            <w:r>
              <w:rPr>
                <w:rFonts w:ascii="Arial" w:eastAsia="Arial" w:hAnsi="Arial" w:cs="Arial"/>
                <w:b/>
                <w:bCs/>
                <w:color w:val="FFFFFF"/>
                <w:sz w:val="20"/>
                <w:szCs w:val="20"/>
              </w:rPr>
              <w:t>6.0</w:t>
            </w:r>
          </w:p>
        </w:tc>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254247B2" w14:textId="77777777" w:rsidR="00453E37" w:rsidRDefault="00000000">
            <w:r>
              <w:rPr>
                <w:rFonts w:ascii="Arial" w:eastAsia="Arial" w:hAnsi="Arial" w:cs="Arial"/>
                <w:b/>
                <w:bCs/>
                <w:color w:val="FFFFFF"/>
                <w:sz w:val="20"/>
                <w:szCs w:val="20"/>
              </w:rPr>
              <w:t>PROJECT CLOSURE</w:t>
            </w:r>
          </w:p>
        </w:tc>
        <w:tc>
          <w:tcPr>
            <w:tcW w:w="5400" w:type="dxa"/>
            <w:tcBorders>
              <w:top w:val="single" w:sz="1" w:space="0" w:color="AAAAAA"/>
              <w:left w:val="single" w:sz="1" w:space="0" w:color="AAAAAA"/>
              <w:bottom w:val="single" w:sz="1" w:space="0" w:color="AAAAAA"/>
              <w:right w:val="single" w:sz="1" w:space="0" w:color="AAAAAA"/>
            </w:tcBorders>
            <w:shd w:val="clear" w:color="auto" w:fill="2E75B6"/>
            <w:tcMar>
              <w:top w:w="80" w:type="dxa"/>
              <w:left w:w="140" w:type="dxa"/>
              <w:bottom w:w="80" w:type="dxa"/>
              <w:right w:w="140" w:type="dxa"/>
            </w:tcMar>
          </w:tcPr>
          <w:p w14:paraId="7AC53913" w14:textId="77777777" w:rsidR="00453E37" w:rsidRDefault="00453E37"/>
        </w:tc>
      </w:tr>
      <w:tr w:rsidR="00453E37" w14:paraId="509E5BD2"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E81EFCD" w14:textId="77777777" w:rsidR="00453E37" w:rsidRDefault="00000000">
            <w:r>
              <w:rPr>
                <w:rFonts w:ascii="Arial" w:eastAsia="Arial" w:hAnsi="Arial" w:cs="Arial"/>
                <w:color w:val="000000"/>
                <w:sz w:val="20"/>
                <w:szCs w:val="20"/>
              </w:rPr>
              <w:t>6.1</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9D97917" w14:textId="77777777" w:rsidR="00453E37" w:rsidRDefault="00000000">
            <w:r>
              <w:rPr>
                <w:rFonts w:ascii="Arial" w:eastAsia="Arial" w:hAnsi="Arial" w:cs="Arial"/>
                <w:color w:val="000000"/>
                <w:sz w:val="20"/>
                <w:szCs w:val="20"/>
              </w:rPr>
              <w:t>Post-Occupancy Evaluation</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7075D97" w14:textId="77777777" w:rsidR="00453E37" w:rsidRDefault="00000000">
            <w:r>
              <w:rPr>
                <w:rFonts w:ascii="Arial" w:eastAsia="Arial" w:hAnsi="Arial" w:cs="Arial"/>
                <w:color w:val="000000"/>
                <w:sz w:val="20"/>
                <w:szCs w:val="20"/>
              </w:rPr>
              <w:t>Performance review against KPIs</w:t>
            </w:r>
          </w:p>
        </w:tc>
      </w:tr>
      <w:tr w:rsidR="00453E37" w14:paraId="745515D5"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6356BB1" w14:textId="77777777" w:rsidR="00453E37" w:rsidRDefault="00000000">
            <w:r>
              <w:rPr>
                <w:rFonts w:ascii="Arial" w:eastAsia="Arial" w:hAnsi="Arial" w:cs="Arial"/>
                <w:color w:val="000000"/>
                <w:sz w:val="20"/>
                <w:szCs w:val="20"/>
              </w:rPr>
              <w:t>6.2</w:t>
            </w:r>
          </w:p>
        </w:tc>
        <w:tc>
          <w:tcPr>
            <w:tcW w:w="2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A714E6D" w14:textId="77777777" w:rsidR="00453E37" w:rsidRDefault="00000000">
            <w:r>
              <w:rPr>
                <w:rFonts w:ascii="Arial" w:eastAsia="Arial" w:hAnsi="Arial" w:cs="Arial"/>
                <w:color w:val="000000"/>
                <w:sz w:val="20"/>
                <w:szCs w:val="20"/>
              </w:rPr>
              <w:t>Lessons Learned</w:t>
            </w:r>
          </w:p>
        </w:tc>
        <w:tc>
          <w:tcPr>
            <w:tcW w:w="5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57DA7F5E" w14:textId="77777777" w:rsidR="00453E37" w:rsidRDefault="00000000">
            <w:r>
              <w:rPr>
                <w:rFonts w:ascii="Arial" w:eastAsia="Arial" w:hAnsi="Arial" w:cs="Arial"/>
                <w:color w:val="000000"/>
                <w:sz w:val="20"/>
                <w:szCs w:val="20"/>
              </w:rPr>
              <w:t>Documented review for future projects</w:t>
            </w:r>
          </w:p>
        </w:tc>
      </w:tr>
      <w:tr w:rsidR="00453E37" w14:paraId="666F7237" w14:textId="77777777">
        <w:tblPrEx>
          <w:tblCellMar>
            <w:top w:w="0" w:type="dxa"/>
            <w:bottom w:w="0" w:type="dxa"/>
          </w:tblCellMar>
        </w:tblPrEx>
        <w:tc>
          <w:tcPr>
            <w:tcW w:w="1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F3380AA" w14:textId="77777777" w:rsidR="00453E37" w:rsidRDefault="00000000">
            <w:r>
              <w:rPr>
                <w:rFonts w:ascii="Arial" w:eastAsia="Arial" w:hAnsi="Arial" w:cs="Arial"/>
                <w:color w:val="000000"/>
                <w:sz w:val="20"/>
                <w:szCs w:val="20"/>
              </w:rPr>
              <w:t>6.3</w:t>
            </w:r>
          </w:p>
        </w:tc>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5DBF65C" w14:textId="77777777" w:rsidR="00453E37" w:rsidRDefault="00000000">
            <w:r>
              <w:rPr>
                <w:rFonts w:ascii="Arial" w:eastAsia="Arial" w:hAnsi="Arial" w:cs="Arial"/>
                <w:color w:val="000000"/>
                <w:sz w:val="20"/>
                <w:szCs w:val="20"/>
              </w:rPr>
              <w:t>Final Accounts &amp; Close-Out Report</w:t>
            </w:r>
          </w:p>
        </w:tc>
        <w:tc>
          <w:tcPr>
            <w:tcW w:w="5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2872A53" w14:textId="77777777" w:rsidR="00453E37" w:rsidRDefault="00000000">
            <w:r>
              <w:rPr>
                <w:rFonts w:ascii="Arial" w:eastAsia="Arial" w:hAnsi="Arial" w:cs="Arial"/>
                <w:color w:val="000000"/>
                <w:sz w:val="20"/>
                <w:szCs w:val="20"/>
              </w:rPr>
              <w:t>Financial reconciliation; formal project closure</w:t>
            </w:r>
          </w:p>
        </w:tc>
      </w:tr>
    </w:tbl>
    <w:p w14:paraId="5C7D8D6F" w14:textId="77777777" w:rsidR="00453E37" w:rsidRDefault="00453E37"/>
    <w:p w14:paraId="57A7B2EA" w14:textId="77777777" w:rsidR="00453E37" w:rsidRDefault="00000000">
      <w:pPr>
        <w:pStyle w:val="Heading1"/>
      </w:pPr>
      <w:r>
        <w:rPr>
          <w:color w:val="1F4E79"/>
        </w:rPr>
        <w:t>5. Quad Chart</w:t>
      </w:r>
    </w:p>
    <w:p w14:paraId="5787A1CF" w14:textId="77777777" w:rsidR="00453E37" w:rsidRDefault="00453E37">
      <w:pPr>
        <w:pBdr>
          <w:bottom w:val="single" w:sz="6" w:space="1" w:color="1F4E79"/>
        </w:pBdr>
      </w:pPr>
    </w:p>
    <w:p w14:paraId="09576422" w14:textId="77777777" w:rsidR="00453E37" w:rsidRDefault="00453E37"/>
    <w:p w14:paraId="78A92F56" w14:textId="29C5E77F" w:rsidR="00453E37" w:rsidRDefault="00000000">
      <w:pPr>
        <w:spacing w:before="80" w:after="160"/>
        <w:jc w:val="both"/>
      </w:pPr>
      <w:r>
        <w:t>The Quad Chart (Figure 2) provides a single-page executive summary of the four primary project control parameters: scope, schedule, cost, performance</w:t>
      </w:r>
      <w:r w:rsidR="001F0E54">
        <w:t xml:space="preserve"> and </w:t>
      </w:r>
      <w:r>
        <w:t>quality. This tool is widely used in programme management to communicate project status at a glance to senior stakeholders (Kerzner, 2022). The project targets a BREEAM Excellent rating, 100% step-free access, a 40% increase in passenger throughput capacity, and net-zero operational carbon by 2030.</w:t>
      </w:r>
    </w:p>
    <w:p w14:paraId="0D89DEEC" w14:textId="77777777" w:rsidR="00453E37" w:rsidRDefault="00453E37"/>
    <w:p w14:paraId="7D39ADC4" w14:textId="77777777" w:rsidR="00453E37" w:rsidRDefault="00000000">
      <w:pPr>
        <w:spacing w:before="80" w:after="160"/>
        <w:jc w:val="center"/>
      </w:pPr>
      <w:r>
        <w:rPr>
          <w:b/>
          <w:bCs/>
          <w:sz w:val="22"/>
          <w:szCs w:val="22"/>
        </w:rPr>
        <w:t>Figure 2: Quad Chart – Central Transport Hub Redevelopment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80"/>
        <w:gridCol w:w="4680"/>
      </w:tblGrid>
      <w:tr w:rsidR="00453E37" w14:paraId="0755FB1D" w14:textId="77777777">
        <w:tblPrEx>
          <w:tblCellMar>
            <w:top w:w="0" w:type="dxa"/>
            <w:bottom w:w="0" w:type="dxa"/>
          </w:tblCellMar>
        </w:tblPrEx>
        <w:tc>
          <w:tcPr>
            <w:tcW w:w="4680" w:type="dxa"/>
            <w:tcBorders>
              <w:top w:val="single" w:sz="1" w:space="0" w:color="AAAAAA"/>
              <w:left w:val="single" w:sz="1" w:space="0" w:color="AAAAAA"/>
              <w:bottom w:val="single" w:sz="1" w:space="0" w:color="AAAAAA"/>
              <w:right w:val="single" w:sz="1" w:space="0" w:color="AAAAAA"/>
            </w:tcBorders>
            <w:shd w:val="clear" w:color="auto" w:fill="DEEAF1"/>
            <w:tcMar>
              <w:top w:w="160" w:type="dxa"/>
              <w:left w:w="180" w:type="dxa"/>
              <w:bottom w:w="160" w:type="dxa"/>
              <w:right w:w="180" w:type="dxa"/>
            </w:tcMar>
          </w:tcPr>
          <w:p w14:paraId="28CC3496" w14:textId="77777777" w:rsidR="00453E37" w:rsidRDefault="00000000">
            <w:pPr>
              <w:spacing w:after="100"/>
              <w:jc w:val="center"/>
            </w:pPr>
            <w:r>
              <w:rPr>
                <w:rFonts w:ascii="Arial" w:eastAsia="Arial" w:hAnsi="Arial" w:cs="Arial"/>
                <w:b/>
                <w:bCs/>
                <w:color w:val="1F4E79"/>
                <w:sz w:val="22"/>
                <w:szCs w:val="22"/>
              </w:rPr>
              <w:t>SCOPE</w:t>
            </w:r>
          </w:p>
          <w:p w14:paraId="3D0A260D" w14:textId="77777777" w:rsidR="00453E37" w:rsidRDefault="00000000" w:rsidP="009A5BBA">
            <w:pPr>
              <w:pStyle w:val="ListParagraph"/>
              <w:numPr>
                <w:ilvl w:val="0"/>
                <w:numId w:val="4"/>
              </w:numPr>
              <w:spacing w:before="30" w:after="30"/>
            </w:pPr>
            <w:r>
              <w:rPr>
                <w:sz w:val="20"/>
                <w:szCs w:val="20"/>
              </w:rPr>
              <w:t>Full redevelopment of central transport hub</w:t>
            </w:r>
          </w:p>
          <w:p w14:paraId="4962861B" w14:textId="77777777" w:rsidR="00453E37" w:rsidRDefault="00000000" w:rsidP="009A5BBA">
            <w:pPr>
              <w:pStyle w:val="ListParagraph"/>
              <w:numPr>
                <w:ilvl w:val="0"/>
                <w:numId w:val="4"/>
              </w:numPr>
              <w:spacing w:before="30" w:after="30"/>
            </w:pPr>
            <w:r>
              <w:rPr>
                <w:sz w:val="20"/>
                <w:szCs w:val="20"/>
              </w:rPr>
              <w:t>Rail, bus and freight interchange capacity</w:t>
            </w:r>
          </w:p>
          <w:p w14:paraId="63BF9B4A" w14:textId="77777777" w:rsidR="00453E37" w:rsidRDefault="00000000" w:rsidP="009A5BBA">
            <w:pPr>
              <w:pStyle w:val="ListParagraph"/>
              <w:numPr>
                <w:ilvl w:val="0"/>
                <w:numId w:val="4"/>
              </w:numPr>
              <w:spacing w:before="30" w:after="30"/>
            </w:pPr>
            <w:r>
              <w:rPr>
                <w:sz w:val="20"/>
                <w:szCs w:val="20"/>
              </w:rPr>
              <w:t>Passenger facilities and step-free access</w:t>
            </w:r>
          </w:p>
          <w:p w14:paraId="48B54BC9" w14:textId="77777777" w:rsidR="00453E37" w:rsidRDefault="00000000" w:rsidP="009A5BBA">
            <w:pPr>
              <w:pStyle w:val="ListParagraph"/>
              <w:numPr>
                <w:ilvl w:val="0"/>
                <w:numId w:val="4"/>
              </w:numPr>
              <w:spacing w:before="30" w:after="30"/>
            </w:pPr>
            <w:r>
              <w:rPr>
                <w:sz w:val="20"/>
                <w:szCs w:val="20"/>
              </w:rPr>
              <w:t>Digital infrastructure and smart systems</w:t>
            </w:r>
          </w:p>
          <w:p w14:paraId="6E29390E" w14:textId="77777777" w:rsidR="00453E37" w:rsidRDefault="00000000" w:rsidP="009A5BBA">
            <w:pPr>
              <w:pStyle w:val="ListParagraph"/>
              <w:numPr>
                <w:ilvl w:val="0"/>
                <w:numId w:val="4"/>
              </w:numPr>
              <w:spacing w:before="30" w:after="30"/>
            </w:pPr>
            <w:r>
              <w:rPr>
                <w:sz w:val="20"/>
                <w:szCs w:val="20"/>
              </w:rPr>
              <w:t>Environmental sustainability measures</w:t>
            </w:r>
          </w:p>
        </w:tc>
        <w:tc>
          <w:tcPr>
            <w:tcW w:w="4680" w:type="dxa"/>
            <w:tcBorders>
              <w:top w:val="single" w:sz="1" w:space="0" w:color="AAAAAA"/>
              <w:left w:val="single" w:sz="1" w:space="0" w:color="AAAAAA"/>
              <w:bottom w:val="single" w:sz="1" w:space="0" w:color="AAAAAA"/>
              <w:right w:val="single" w:sz="1" w:space="0" w:color="AAAAAA"/>
            </w:tcBorders>
            <w:shd w:val="clear" w:color="auto" w:fill="E2EFDA"/>
            <w:tcMar>
              <w:top w:w="160" w:type="dxa"/>
              <w:left w:w="180" w:type="dxa"/>
              <w:bottom w:w="160" w:type="dxa"/>
              <w:right w:w="180" w:type="dxa"/>
            </w:tcMar>
          </w:tcPr>
          <w:p w14:paraId="3E7EC286" w14:textId="77777777" w:rsidR="00453E37" w:rsidRDefault="00000000">
            <w:pPr>
              <w:spacing w:after="100"/>
              <w:jc w:val="center"/>
            </w:pPr>
            <w:r>
              <w:rPr>
                <w:rFonts w:ascii="Arial" w:eastAsia="Arial" w:hAnsi="Arial" w:cs="Arial"/>
                <w:b/>
                <w:bCs/>
                <w:color w:val="1F4E79"/>
                <w:sz w:val="22"/>
                <w:szCs w:val="22"/>
              </w:rPr>
              <w:t>SCHEDULE</w:t>
            </w:r>
          </w:p>
          <w:p w14:paraId="1FF97303" w14:textId="77777777" w:rsidR="00453E37" w:rsidRDefault="00000000" w:rsidP="009A5BBA">
            <w:pPr>
              <w:pStyle w:val="ListParagraph"/>
              <w:numPr>
                <w:ilvl w:val="0"/>
                <w:numId w:val="4"/>
              </w:numPr>
              <w:spacing w:before="30" w:after="30"/>
            </w:pPr>
            <w:r>
              <w:rPr>
                <w:sz w:val="20"/>
                <w:szCs w:val="20"/>
              </w:rPr>
              <w:t>Total programme: 36 months</w:t>
            </w:r>
          </w:p>
          <w:p w14:paraId="3FBDF5E2" w14:textId="77777777" w:rsidR="00453E37" w:rsidRDefault="00000000" w:rsidP="009A5BBA">
            <w:pPr>
              <w:pStyle w:val="ListParagraph"/>
              <w:numPr>
                <w:ilvl w:val="0"/>
                <w:numId w:val="4"/>
              </w:numPr>
              <w:spacing w:before="30" w:after="30"/>
            </w:pPr>
            <w:r>
              <w:rPr>
                <w:sz w:val="20"/>
                <w:szCs w:val="20"/>
              </w:rPr>
              <w:t>Phase 1 – Initiation &amp; Design: Months 1–8</w:t>
            </w:r>
          </w:p>
          <w:p w14:paraId="758EB6FD" w14:textId="77777777" w:rsidR="00453E37" w:rsidRDefault="00000000" w:rsidP="009A5BBA">
            <w:pPr>
              <w:pStyle w:val="ListParagraph"/>
              <w:numPr>
                <w:ilvl w:val="0"/>
                <w:numId w:val="4"/>
              </w:numPr>
              <w:spacing w:before="30" w:after="30"/>
            </w:pPr>
            <w:r>
              <w:rPr>
                <w:sz w:val="20"/>
                <w:szCs w:val="20"/>
              </w:rPr>
              <w:t>Phase 2 – Pre-Construction: Months 7–12</w:t>
            </w:r>
          </w:p>
          <w:p w14:paraId="7F0F0A95" w14:textId="77777777" w:rsidR="00453E37" w:rsidRDefault="00000000" w:rsidP="009A5BBA">
            <w:pPr>
              <w:pStyle w:val="ListParagraph"/>
              <w:numPr>
                <w:ilvl w:val="0"/>
                <w:numId w:val="4"/>
              </w:numPr>
              <w:spacing w:before="30" w:after="30"/>
            </w:pPr>
            <w:r>
              <w:rPr>
                <w:sz w:val="20"/>
                <w:szCs w:val="20"/>
              </w:rPr>
              <w:t>Phase 3 – Construction: Months 11–32</w:t>
            </w:r>
          </w:p>
          <w:p w14:paraId="7F15EDF0" w14:textId="77777777" w:rsidR="00453E37" w:rsidRDefault="00000000" w:rsidP="009A5BBA">
            <w:pPr>
              <w:pStyle w:val="ListParagraph"/>
              <w:numPr>
                <w:ilvl w:val="0"/>
                <w:numId w:val="4"/>
              </w:numPr>
              <w:spacing w:before="30" w:after="30"/>
            </w:pPr>
            <w:r>
              <w:rPr>
                <w:sz w:val="20"/>
                <w:szCs w:val="20"/>
              </w:rPr>
              <w:t>Phase 4 – Commissioning: Months 30–36</w:t>
            </w:r>
          </w:p>
        </w:tc>
      </w:tr>
      <w:tr w:rsidR="00453E37" w14:paraId="48EEA7D9" w14:textId="77777777">
        <w:tblPrEx>
          <w:tblCellMar>
            <w:top w:w="0" w:type="dxa"/>
            <w:bottom w:w="0" w:type="dxa"/>
          </w:tblCellMar>
        </w:tblPrEx>
        <w:tc>
          <w:tcPr>
            <w:tcW w:w="4680" w:type="dxa"/>
            <w:tcBorders>
              <w:top w:val="single" w:sz="1" w:space="0" w:color="AAAAAA"/>
              <w:left w:val="single" w:sz="1" w:space="0" w:color="AAAAAA"/>
              <w:bottom w:val="single" w:sz="1" w:space="0" w:color="AAAAAA"/>
              <w:right w:val="single" w:sz="1" w:space="0" w:color="AAAAAA"/>
            </w:tcBorders>
            <w:shd w:val="clear" w:color="auto" w:fill="FCE4D6"/>
            <w:tcMar>
              <w:top w:w="160" w:type="dxa"/>
              <w:left w:w="180" w:type="dxa"/>
              <w:bottom w:w="160" w:type="dxa"/>
              <w:right w:w="180" w:type="dxa"/>
            </w:tcMar>
          </w:tcPr>
          <w:p w14:paraId="088F42CF" w14:textId="77777777" w:rsidR="00453E37" w:rsidRDefault="00000000">
            <w:pPr>
              <w:spacing w:after="100"/>
              <w:jc w:val="center"/>
            </w:pPr>
            <w:r>
              <w:rPr>
                <w:rFonts w:ascii="Arial" w:eastAsia="Arial" w:hAnsi="Arial" w:cs="Arial"/>
                <w:b/>
                <w:bCs/>
                <w:color w:val="1F4E79"/>
                <w:sz w:val="22"/>
                <w:szCs w:val="22"/>
              </w:rPr>
              <w:t>COST</w:t>
            </w:r>
          </w:p>
          <w:p w14:paraId="7B02A64F" w14:textId="6DB3972F" w:rsidR="00453E37" w:rsidRDefault="00000000" w:rsidP="009A5BBA">
            <w:pPr>
              <w:pStyle w:val="ListParagraph"/>
              <w:numPr>
                <w:ilvl w:val="0"/>
                <w:numId w:val="4"/>
              </w:numPr>
              <w:spacing w:before="30" w:after="30"/>
            </w:pPr>
            <w:r>
              <w:rPr>
                <w:sz w:val="20"/>
                <w:szCs w:val="20"/>
              </w:rPr>
              <w:t xml:space="preserve">Estimated total budget: </w:t>
            </w:r>
            <w:r w:rsidR="001F0E54">
              <w:rPr>
                <w:sz w:val="20"/>
                <w:szCs w:val="20"/>
              </w:rPr>
              <w:t>£</w:t>
            </w:r>
            <w:r>
              <w:rPr>
                <w:sz w:val="20"/>
                <w:szCs w:val="20"/>
              </w:rPr>
              <w:t>48 million</w:t>
            </w:r>
          </w:p>
          <w:p w14:paraId="2FB31DDC" w14:textId="77777777" w:rsidR="00453E37" w:rsidRDefault="00000000" w:rsidP="009A5BBA">
            <w:pPr>
              <w:pStyle w:val="ListParagraph"/>
              <w:numPr>
                <w:ilvl w:val="0"/>
                <w:numId w:val="4"/>
              </w:numPr>
              <w:spacing w:before="30" w:after="30"/>
            </w:pPr>
            <w:r>
              <w:rPr>
                <w:sz w:val="20"/>
                <w:szCs w:val="20"/>
              </w:rPr>
              <w:t>Design and professional fees: £2.4 million</w:t>
            </w:r>
          </w:p>
          <w:p w14:paraId="058D4FD3" w14:textId="77777777" w:rsidR="00453E37" w:rsidRDefault="00000000" w:rsidP="009A5BBA">
            <w:pPr>
              <w:pStyle w:val="ListParagraph"/>
              <w:numPr>
                <w:ilvl w:val="0"/>
                <w:numId w:val="4"/>
              </w:numPr>
              <w:spacing w:before="30" w:after="30"/>
            </w:pPr>
            <w:r>
              <w:rPr>
                <w:sz w:val="20"/>
                <w:szCs w:val="20"/>
              </w:rPr>
              <w:t>Construction works: £38 million</w:t>
            </w:r>
          </w:p>
          <w:p w14:paraId="193C0F65" w14:textId="77777777" w:rsidR="00453E37" w:rsidRDefault="00000000" w:rsidP="009A5BBA">
            <w:pPr>
              <w:pStyle w:val="ListParagraph"/>
              <w:numPr>
                <w:ilvl w:val="0"/>
                <w:numId w:val="4"/>
              </w:numPr>
              <w:spacing w:before="30" w:after="30"/>
            </w:pPr>
            <w:r>
              <w:rPr>
                <w:sz w:val="20"/>
                <w:szCs w:val="20"/>
              </w:rPr>
              <w:t>Fit-out and systems: £1.6 million</w:t>
            </w:r>
          </w:p>
          <w:p w14:paraId="302762F2" w14:textId="77777777" w:rsidR="00453E37" w:rsidRDefault="00000000" w:rsidP="009A5BBA">
            <w:pPr>
              <w:pStyle w:val="ListParagraph"/>
              <w:numPr>
                <w:ilvl w:val="0"/>
                <w:numId w:val="4"/>
              </w:numPr>
              <w:spacing w:before="30" w:after="30"/>
            </w:pPr>
            <w:r>
              <w:rPr>
                <w:sz w:val="20"/>
                <w:szCs w:val="20"/>
              </w:rPr>
              <w:t>Contingency (13%): £6 million</w:t>
            </w:r>
          </w:p>
        </w:tc>
        <w:tc>
          <w:tcPr>
            <w:tcW w:w="4680" w:type="dxa"/>
            <w:tcBorders>
              <w:top w:val="single" w:sz="1" w:space="0" w:color="AAAAAA"/>
              <w:left w:val="single" w:sz="1" w:space="0" w:color="AAAAAA"/>
              <w:bottom w:val="single" w:sz="1" w:space="0" w:color="AAAAAA"/>
              <w:right w:val="single" w:sz="1" w:space="0" w:color="AAAAAA"/>
            </w:tcBorders>
            <w:shd w:val="clear" w:color="auto" w:fill="FFF2CC"/>
            <w:tcMar>
              <w:top w:w="160" w:type="dxa"/>
              <w:left w:w="180" w:type="dxa"/>
              <w:bottom w:w="160" w:type="dxa"/>
              <w:right w:w="180" w:type="dxa"/>
            </w:tcMar>
          </w:tcPr>
          <w:p w14:paraId="720B9BCD" w14:textId="77777777" w:rsidR="00453E37" w:rsidRDefault="00000000">
            <w:pPr>
              <w:spacing w:after="100"/>
              <w:jc w:val="center"/>
            </w:pPr>
            <w:r>
              <w:rPr>
                <w:rFonts w:ascii="Arial" w:eastAsia="Arial" w:hAnsi="Arial" w:cs="Arial"/>
                <w:b/>
                <w:bCs/>
                <w:color w:val="1F4E79"/>
                <w:sz w:val="22"/>
                <w:szCs w:val="22"/>
              </w:rPr>
              <w:t>PERFORMANCE / QUALITY</w:t>
            </w:r>
          </w:p>
          <w:p w14:paraId="42650906" w14:textId="77777777" w:rsidR="00453E37" w:rsidRDefault="00000000" w:rsidP="009A5BBA">
            <w:pPr>
              <w:pStyle w:val="ListParagraph"/>
              <w:numPr>
                <w:ilvl w:val="0"/>
                <w:numId w:val="4"/>
              </w:numPr>
              <w:spacing w:before="30" w:after="30"/>
            </w:pPr>
            <w:r>
              <w:rPr>
                <w:sz w:val="20"/>
                <w:szCs w:val="20"/>
              </w:rPr>
              <w:t>BREEAM Excellent rating target</w:t>
            </w:r>
          </w:p>
          <w:p w14:paraId="39180744" w14:textId="77777777" w:rsidR="00453E37" w:rsidRDefault="00000000" w:rsidP="009A5BBA">
            <w:pPr>
              <w:pStyle w:val="ListParagraph"/>
              <w:numPr>
                <w:ilvl w:val="0"/>
                <w:numId w:val="4"/>
              </w:numPr>
              <w:spacing w:before="30" w:after="30"/>
            </w:pPr>
            <w:r>
              <w:rPr>
                <w:sz w:val="20"/>
                <w:szCs w:val="20"/>
              </w:rPr>
              <w:t>100% step-free access across all platforms</w:t>
            </w:r>
          </w:p>
          <w:p w14:paraId="69DB9E9B" w14:textId="77777777" w:rsidR="00453E37" w:rsidRDefault="00000000" w:rsidP="009A5BBA">
            <w:pPr>
              <w:pStyle w:val="ListParagraph"/>
              <w:numPr>
                <w:ilvl w:val="0"/>
                <w:numId w:val="4"/>
              </w:numPr>
              <w:spacing w:before="30" w:after="30"/>
            </w:pPr>
            <w:r>
              <w:rPr>
                <w:sz w:val="20"/>
                <w:szCs w:val="20"/>
              </w:rPr>
              <w:t>Passenger throughput capacity increase of 40%</w:t>
            </w:r>
          </w:p>
          <w:p w14:paraId="29609785" w14:textId="77777777" w:rsidR="00453E37" w:rsidRDefault="00000000" w:rsidP="009A5BBA">
            <w:pPr>
              <w:pStyle w:val="ListParagraph"/>
              <w:numPr>
                <w:ilvl w:val="0"/>
                <w:numId w:val="4"/>
              </w:numPr>
              <w:spacing w:before="30" w:after="30"/>
            </w:pPr>
            <w:r>
              <w:rPr>
                <w:sz w:val="20"/>
                <w:szCs w:val="20"/>
              </w:rPr>
              <w:t>Net-zero operational carbon by 2030</w:t>
            </w:r>
          </w:p>
          <w:p w14:paraId="79A1A2C7" w14:textId="77777777" w:rsidR="00453E37" w:rsidRDefault="00000000" w:rsidP="009A5BBA">
            <w:pPr>
              <w:pStyle w:val="ListParagraph"/>
              <w:numPr>
                <w:ilvl w:val="0"/>
                <w:numId w:val="4"/>
              </w:numPr>
              <w:spacing w:before="30" w:after="30"/>
            </w:pPr>
            <w:r>
              <w:rPr>
                <w:sz w:val="20"/>
                <w:szCs w:val="20"/>
              </w:rPr>
              <w:t>99.5% system uptime on digital assets</w:t>
            </w:r>
          </w:p>
        </w:tc>
      </w:tr>
    </w:tbl>
    <w:p w14:paraId="06AA1DE8" w14:textId="77777777" w:rsidR="00453E37" w:rsidRDefault="00453E37"/>
    <w:p w14:paraId="4749FA3D" w14:textId="77777777" w:rsidR="00453E37" w:rsidRDefault="00000000">
      <w:pPr>
        <w:pStyle w:val="Heading1"/>
      </w:pPr>
      <w:r>
        <w:rPr>
          <w:color w:val="1F4E79"/>
        </w:rPr>
        <w:t>6. Gantt Chart</w:t>
      </w:r>
    </w:p>
    <w:p w14:paraId="7C11CF65" w14:textId="77777777" w:rsidR="00453E37" w:rsidRDefault="00453E37">
      <w:pPr>
        <w:pBdr>
          <w:bottom w:val="single" w:sz="6" w:space="1" w:color="1F4E79"/>
        </w:pBdr>
      </w:pPr>
    </w:p>
    <w:p w14:paraId="524E62B5" w14:textId="77777777" w:rsidR="00453E37" w:rsidRDefault="00453E37"/>
    <w:p w14:paraId="242D8DE7" w14:textId="77777777" w:rsidR="00453E37" w:rsidRDefault="00000000">
      <w:pPr>
        <w:spacing w:before="80" w:after="160"/>
        <w:jc w:val="both"/>
      </w:pPr>
      <w:r>
        <w:t>The Gantt Chart (Figure 3) illustrates the planned programme across the 36-month project duration, broken into phases and work packages aligned with the WBS. The chart identifies the sequence and overlaps of activities, enabling the project team to manage dependencies, resource loading, and critical path activities (Kerzner, 2022). Key interdependencies include the requirement for planning consent (Phase 2) before construction mobilisation (Phase 4), and the completion of structural works before fit-out commences. The programme incorporates float within non-critical activities to accommodate risk and change. Temporary transport measures (Work Package 3.2) are scheduled to commence in Month 8 and run through to Month 13, ensuring commuter continuity throughout the early construction phase.</w:t>
      </w:r>
    </w:p>
    <w:p w14:paraId="02A989B9" w14:textId="77777777" w:rsidR="00453E37" w:rsidRDefault="00453E37"/>
    <w:p w14:paraId="3D153787" w14:textId="77777777" w:rsidR="00453E37" w:rsidRDefault="00000000">
      <w:pPr>
        <w:spacing w:before="80" w:after="160"/>
        <w:jc w:val="center"/>
      </w:pPr>
      <w:r>
        <w:rPr>
          <w:b/>
          <w:bCs/>
          <w:sz w:val="22"/>
          <w:szCs w:val="22"/>
        </w:rPr>
        <w:t>Figure 3: Gantt Chart – Central Transport Hub Redevelopment Programme (36 Months)</w:t>
      </w:r>
    </w:p>
    <w:tbl>
      <w:tblPr>
        <w:tblW w:w="93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38"/>
        <w:gridCol w:w="178"/>
        <w:gridCol w:w="178"/>
        <w:gridCol w:w="178"/>
        <w:gridCol w:w="178"/>
        <w:gridCol w:w="178"/>
        <w:gridCol w:w="178"/>
        <w:gridCol w:w="178"/>
        <w:gridCol w:w="178"/>
        <w:gridCol w:w="178"/>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gridCol w:w="196"/>
      </w:tblGrid>
      <w:tr w:rsidR="00453E37" w14:paraId="3A2442C8"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72000E29" w14:textId="77777777" w:rsidR="00453E37" w:rsidRDefault="00000000">
            <w:pPr>
              <w:jc w:val="center"/>
            </w:pPr>
            <w:r>
              <w:rPr>
                <w:rFonts w:ascii="Arial" w:eastAsia="Arial" w:hAnsi="Arial" w:cs="Arial"/>
                <w:b/>
                <w:bCs/>
                <w:color w:val="FFFFFF"/>
                <w:sz w:val="20"/>
                <w:szCs w:val="20"/>
              </w:rPr>
              <w:t>Work Package / Activity</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072C1CC1" w14:textId="77777777" w:rsidR="00453E37" w:rsidRDefault="00000000">
            <w:pPr>
              <w:jc w:val="center"/>
            </w:pPr>
            <w:r>
              <w:rPr>
                <w:rFonts w:ascii="Arial" w:eastAsia="Arial" w:hAnsi="Arial" w:cs="Arial"/>
                <w:b/>
                <w:bCs/>
                <w:color w:val="FFFFFF"/>
                <w:sz w:val="14"/>
                <w:szCs w:val="14"/>
              </w:rPr>
              <w:t>1</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4257D448" w14:textId="77777777" w:rsidR="00453E37" w:rsidRDefault="00000000">
            <w:pPr>
              <w:jc w:val="center"/>
            </w:pPr>
            <w:r>
              <w:rPr>
                <w:rFonts w:ascii="Arial" w:eastAsia="Arial" w:hAnsi="Arial" w:cs="Arial"/>
                <w:b/>
                <w:bCs/>
                <w:color w:val="FFFFFF"/>
                <w:sz w:val="14"/>
                <w:szCs w:val="14"/>
              </w:rPr>
              <w:t>2</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3E77A287" w14:textId="77777777" w:rsidR="00453E37" w:rsidRDefault="00000000">
            <w:pPr>
              <w:jc w:val="center"/>
            </w:pPr>
            <w:r>
              <w:rPr>
                <w:rFonts w:ascii="Arial" w:eastAsia="Arial" w:hAnsi="Arial" w:cs="Arial"/>
                <w:b/>
                <w:bCs/>
                <w:color w:val="FFFFFF"/>
                <w:sz w:val="14"/>
                <w:szCs w:val="14"/>
              </w:rPr>
              <w:t>3</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0EA2DCC1" w14:textId="77777777" w:rsidR="00453E37" w:rsidRDefault="00000000">
            <w:pPr>
              <w:jc w:val="center"/>
            </w:pPr>
            <w:r>
              <w:rPr>
                <w:rFonts w:ascii="Arial" w:eastAsia="Arial" w:hAnsi="Arial" w:cs="Arial"/>
                <w:b/>
                <w:bCs/>
                <w:color w:val="FFFFFF"/>
                <w:sz w:val="14"/>
                <w:szCs w:val="14"/>
              </w:rPr>
              <w:t>4</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18FB8513" w14:textId="77777777" w:rsidR="00453E37" w:rsidRDefault="00000000">
            <w:pPr>
              <w:jc w:val="center"/>
            </w:pPr>
            <w:r>
              <w:rPr>
                <w:rFonts w:ascii="Arial" w:eastAsia="Arial" w:hAnsi="Arial" w:cs="Arial"/>
                <w:b/>
                <w:bCs/>
                <w:color w:val="FFFFFF"/>
                <w:sz w:val="14"/>
                <w:szCs w:val="14"/>
              </w:rPr>
              <w:t>5</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042CDCC8" w14:textId="77777777" w:rsidR="00453E37" w:rsidRDefault="00000000">
            <w:pPr>
              <w:jc w:val="center"/>
            </w:pPr>
            <w:r>
              <w:rPr>
                <w:rFonts w:ascii="Arial" w:eastAsia="Arial" w:hAnsi="Arial" w:cs="Arial"/>
                <w:b/>
                <w:bCs/>
                <w:color w:val="FFFFFF"/>
                <w:sz w:val="14"/>
                <w:szCs w:val="14"/>
              </w:rPr>
              <w:t>6</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481EA4F2" w14:textId="77777777" w:rsidR="00453E37" w:rsidRDefault="00000000">
            <w:pPr>
              <w:jc w:val="center"/>
            </w:pPr>
            <w:r>
              <w:rPr>
                <w:rFonts w:ascii="Arial" w:eastAsia="Arial" w:hAnsi="Arial" w:cs="Arial"/>
                <w:b/>
                <w:bCs/>
                <w:color w:val="FFFFFF"/>
                <w:sz w:val="14"/>
                <w:szCs w:val="14"/>
              </w:rPr>
              <w:t>7</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5AAAABE8" w14:textId="77777777" w:rsidR="00453E37" w:rsidRDefault="00000000">
            <w:pPr>
              <w:jc w:val="center"/>
            </w:pPr>
            <w:r>
              <w:rPr>
                <w:rFonts w:ascii="Arial" w:eastAsia="Arial" w:hAnsi="Arial" w:cs="Arial"/>
                <w:b/>
                <w:bCs/>
                <w:color w:val="FFFFFF"/>
                <w:sz w:val="14"/>
                <w:szCs w:val="14"/>
              </w:rPr>
              <w:t>8</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091D4DF" w14:textId="77777777" w:rsidR="00453E37" w:rsidRDefault="00000000">
            <w:pPr>
              <w:jc w:val="center"/>
            </w:pPr>
            <w:r>
              <w:rPr>
                <w:rFonts w:ascii="Arial" w:eastAsia="Arial" w:hAnsi="Arial" w:cs="Arial"/>
                <w:b/>
                <w:bCs/>
                <w:color w:val="FFFFFF"/>
                <w:sz w:val="14"/>
                <w:szCs w:val="14"/>
              </w:rPr>
              <w:t>9</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55A056F0" w14:textId="77777777" w:rsidR="00453E37" w:rsidRDefault="00000000">
            <w:pPr>
              <w:jc w:val="center"/>
            </w:pPr>
            <w:r>
              <w:rPr>
                <w:rFonts w:ascii="Arial" w:eastAsia="Arial" w:hAnsi="Arial" w:cs="Arial"/>
                <w:b/>
                <w:bCs/>
                <w:color w:val="FFFFFF"/>
                <w:sz w:val="14"/>
                <w:szCs w:val="14"/>
              </w:rPr>
              <w:t>10</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03340C8F" w14:textId="77777777" w:rsidR="00453E37" w:rsidRDefault="00000000">
            <w:pPr>
              <w:jc w:val="center"/>
            </w:pPr>
            <w:r>
              <w:rPr>
                <w:rFonts w:ascii="Arial" w:eastAsia="Arial" w:hAnsi="Arial" w:cs="Arial"/>
                <w:b/>
                <w:bCs/>
                <w:color w:val="FFFFFF"/>
                <w:sz w:val="14"/>
                <w:szCs w:val="14"/>
              </w:rPr>
              <w:t>11</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7ED2757B" w14:textId="77777777" w:rsidR="00453E37" w:rsidRDefault="00000000">
            <w:pPr>
              <w:jc w:val="center"/>
            </w:pPr>
            <w:r>
              <w:rPr>
                <w:rFonts w:ascii="Arial" w:eastAsia="Arial" w:hAnsi="Arial" w:cs="Arial"/>
                <w:b/>
                <w:bCs/>
                <w:color w:val="FFFFFF"/>
                <w:sz w:val="14"/>
                <w:szCs w:val="14"/>
              </w:rPr>
              <w:t>12</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AF1DDFA" w14:textId="77777777" w:rsidR="00453E37" w:rsidRDefault="00000000">
            <w:pPr>
              <w:jc w:val="center"/>
            </w:pPr>
            <w:r>
              <w:rPr>
                <w:rFonts w:ascii="Arial" w:eastAsia="Arial" w:hAnsi="Arial" w:cs="Arial"/>
                <w:b/>
                <w:bCs/>
                <w:color w:val="FFFFFF"/>
                <w:sz w:val="14"/>
                <w:szCs w:val="14"/>
              </w:rPr>
              <w:t>13</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5BDDBF1F" w14:textId="77777777" w:rsidR="00453E37" w:rsidRDefault="00000000">
            <w:pPr>
              <w:jc w:val="center"/>
            </w:pPr>
            <w:r>
              <w:rPr>
                <w:rFonts w:ascii="Arial" w:eastAsia="Arial" w:hAnsi="Arial" w:cs="Arial"/>
                <w:b/>
                <w:bCs/>
                <w:color w:val="FFFFFF"/>
                <w:sz w:val="14"/>
                <w:szCs w:val="14"/>
              </w:rPr>
              <w:t>14</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4F9F97A" w14:textId="77777777" w:rsidR="00453E37" w:rsidRDefault="00000000">
            <w:pPr>
              <w:jc w:val="center"/>
            </w:pPr>
            <w:r>
              <w:rPr>
                <w:rFonts w:ascii="Arial" w:eastAsia="Arial" w:hAnsi="Arial" w:cs="Arial"/>
                <w:b/>
                <w:bCs/>
                <w:color w:val="FFFFFF"/>
                <w:sz w:val="14"/>
                <w:szCs w:val="14"/>
              </w:rPr>
              <w:t>15</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4E4A8C4" w14:textId="77777777" w:rsidR="00453E37" w:rsidRDefault="00000000">
            <w:pPr>
              <w:jc w:val="center"/>
            </w:pPr>
            <w:r>
              <w:rPr>
                <w:rFonts w:ascii="Arial" w:eastAsia="Arial" w:hAnsi="Arial" w:cs="Arial"/>
                <w:b/>
                <w:bCs/>
                <w:color w:val="FFFFFF"/>
                <w:sz w:val="14"/>
                <w:szCs w:val="14"/>
              </w:rPr>
              <w:t>16</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332B532D" w14:textId="77777777" w:rsidR="00453E37" w:rsidRDefault="00000000">
            <w:pPr>
              <w:jc w:val="center"/>
            </w:pPr>
            <w:r>
              <w:rPr>
                <w:rFonts w:ascii="Arial" w:eastAsia="Arial" w:hAnsi="Arial" w:cs="Arial"/>
                <w:b/>
                <w:bCs/>
                <w:color w:val="FFFFFF"/>
                <w:sz w:val="14"/>
                <w:szCs w:val="14"/>
              </w:rPr>
              <w:t>17</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2022B560" w14:textId="77777777" w:rsidR="00453E37" w:rsidRDefault="00000000">
            <w:pPr>
              <w:jc w:val="center"/>
            </w:pPr>
            <w:r>
              <w:rPr>
                <w:rFonts w:ascii="Arial" w:eastAsia="Arial" w:hAnsi="Arial" w:cs="Arial"/>
                <w:b/>
                <w:bCs/>
                <w:color w:val="FFFFFF"/>
                <w:sz w:val="14"/>
                <w:szCs w:val="14"/>
              </w:rPr>
              <w:t>18</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E94D70C" w14:textId="77777777" w:rsidR="00453E37" w:rsidRDefault="00000000">
            <w:pPr>
              <w:jc w:val="center"/>
            </w:pPr>
            <w:r>
              <w:rPr>
                <w:rFonts w:ascii="Arial" w:eastAsia="Arial" w:hAnsi="Arial" w:cs="Arial"/>
                <w:b/>
                <w:bCs/>
                <w:color w:val="FFFFFF"/>
                <w:sz w:val="14"/>
                <w:szCs w:val="14"/>
              </w:rPr>
              <w:t>19</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5F0AE9E2" w14:textId="77777777" w:rsidR="00453E37" w:rsidRDefault="00000000">
            <w:pPr>
              <w:jc w:val="center"/>
            </w:pPr>
            <w:r>
              <w:rPr>
                <w:rFonts w:ascii="Arial" w:eastAsia="Arial" w:hAnsi="Arial" w:cs="Arial"/>
                <w:b/>
                <w:bCs/>
                <w:color w:val="FFFFFF"/>
                <w:sz w:val="14"/>
                <w:szCs w:val="14"/>
              </w:rPr>
              <w:t>20</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40BB6D20" w14:textId="77777777" w:rsidR="00453E37" w:rsidRDefault="00000000">
            <w:pPr>
              <w:jc w:val="center"/>
            </w:pPr>
            <w:r>
              <w:rPr>
                <w:rFonts w:ascii="Arial" w:eastAsia="Arial" w:hAnsi="Arial" w:cs="Arial"/>
                <w:b/>
                <w:bCs/>
                <w:color w:val="FFFFFF"/>
                <w:sz w:val="14"/>
                <w:szCs w:val="14"/>
              </w:rPr>
              <w:t>21</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71563F49" w14:textId="77777777" w:rsidR="00453E37" w:rsidRDefault="00000000">
            <w:pPr>
              <w:jc w:val="center"/>
            </w:pPr>
            <w:r>
              <w:rPr>
                <w:rFonts w:ascii="Arial" w:eastAsia="Arial" w:hAnsi="Arial" w:cs="Arial"/>
                <w:b/>
                <w:bCs/>
                <w:color w:val="FFFFFF"/>
                <w:sz w:val="14"/>
                <w:szCs w:val="14"/>
              </w:rPr>
              <w:t>22</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14C6CB7C" w14:textId="77777777" w:rsidR="00453E37" w:rsidRDefault="00000000">
            <w:pPr>
              <w:jc w:val="center"/>
            </w:pPr>
            <w:r>
              <w:rPr>
                <w:rFonts w:ascii="Arial" w:eastAsia="Arial" w:hAnsi="Arial" w:cs="Arial"/>
                <w:b/>
                <w:bCs/>
                <w:color w:val="FFFFFF"/>
                <w:sz w:val="14"/>
                <w:szCs w:val="14"/>
              </w:rPr>
              <w:t>23</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2979002E" w14:textId="77777777" w:rsidR="00453E37" w:rsidRDefault="00000000">
            <w:pPr>
              <w:jc w:val="center"/>
            </w:pPr>
            <w:r>
              <w:rPr>
                <w:rFonts w:ascii="Arial" w:eastAsia="Arial" w:hAnsi="Arial" w:cs="Arial"/>
                <w:b/>
                <w:bCs/>
                <w:color w:val="FFFFFF"/>
                <w:sz w:val="14"/>
                <w:szCs w:val="14"/>
              </w:rPr>
              <w:t>24</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2208BE07" w14:textId="77777777" w:rsidR="00453E37" w:rsidRDefault="00000000">
            <w:pPr>
              <w:jc w:val="center"/>
            </w:pPr>
            <w:r>
              <w:rPr>
                <w:rFonts w:ascii="Arial" w:eastAsia="Arial" w:hAnsi="Arial" w:cs="Arial"/>
                <w:b/>
                <w:bCs/>
                <w:color w:val="FFFFFF"/>
                <w:sz w:val="14"/>
                <w:szCs w:val="14"/>
              </w:rPr>
              <w:t>25</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446ED9CD" w14:textId="77777777" w:rsidR="00453E37" w:rsidRDefault="00000000">
            <w:pPr>
              <w:jc w:val="center"/>
            </w:pPr>
            <w:r>
              <w:rPr>
                <w:rFonts w:ascii="Arial" w:eastAsia="Arial" w:hAnsi="Arial" w:cs="Arial"/>
                <w:b/>
                <w:bCs/>
                <w:color w:val="FFFFFF"/>
                <w:sz w:val="14"/>
                <w:szCs w:val="14"/>
              </w:rPr>
              <w:t>26</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BA65D58" w14:textId="77777777" w:rsidR="00453E37" w:rsidRDefault="00000000">
            <w:pPr>
              <w:jc w:val="center"/>
            </w:pPr>
            <w:r>
              <w:rPr>
                <w:rFonts w:ascii="Arial" w:eastAsia="Arial" w:hAnsi="Arial" w:cs="Arial"/>
                <w:b/>
                <w:bCs/>
                <w:color w:val="FFFFFF"/>
                <w:sz w:val="14"/>
                <w:szCs w:val="14"/>
              </w:rPr>
              <w:t>27</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857EAEF" w14:textId="77777777" w:rsidR="00453E37" w:rsidRDefault="00000000">
            <w:pPr>
              <w:jc w:val="center"/>
            </w:pPr>
            <w:r>
              <w:rPr>
                <w:rFonts w:ascii="Arial" w:eastAsia="Arial" w:hAnsi="Arial" w:cs="Arial"/>
                <w:b/>
                <w:bCs/>
                <w:color w:val="FFFFFF"/>
                <w:sz w:val="14"/>
                <w:szCs w:val="14"/>
              </w:rPr>
              <w:t>28</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0FDCB74E" w14:textId="77777777" w:rsidR="00453E37" w:rsidRDefault="00000000">
            <w:pPr>
              <w:jc w:val="center"/>
            </w:pPr>
            <w:r>
              <w:rPr>
                <w:rFonts w:ascii="Arial" w:eastAsia="Arial" w:hAnsi="Arial" w:cs="Arial"/>
                <w:b/>
                <w:bCs/>
                <w:color w:val="FFFFFF"/>
                <w:sz w:val="14"/>
                <w:szCs w:val="14"/>
              </w:rPr>
              <w:t>29</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2170F511" w14:textId="77777777" w:rsidR="00453E37" w:rsidRDefault="00000000">
            <w:pPr>
              <w:jc w:val="center"/>
            </w:pPr>
            <w:r>
              <w:rPr>
                <w:rFonts w:ascii="Arial" w:eastAsia="Arial" w:hAnsi="Arial" w:cs="Arial"/>
                <w:b/>
                <w:bCs/>
                <w:color w:val="FFFFFF"/>
                <w:sz w:val="14"/>
                <w:szCs w:val="14"/>
              </w:rPr>
              <w:t>30</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05765CD4" w14:textId="77777777" w:rsidR="00453E37" w:rsidRDefault="00000000">
            <w:pPr>
              <w:jc w:val="center"/>
            </w:pPr>
            <w:r>
              <w:rPr>
                <w:rFonts w:ascii="Arial" w:eastAsia="Arial" w:hAnsi="Arial" w:cs="Arial"/>
                <w:b/>
                <w:bCs/>
                <w:color w:val="FFFFFF"/>
                <w:sz w:val="14"/>
                <w:szCs w:val="14"/>
              </w:rPr>
              <w:t>31</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28D3E7B7" w14:textId="77777777" w:rsidR="00453E37" w:rsidRDefault="00000000">
            <w:pPr>
              <w:jc w:val="center"/>
            </w:pPr>
            <w:r>
              <w:rPr>
                <w:rFonts w:ascii="Arial" w:eastAsia="Arial" w:hAnsi="Arial" w:cs="Arial"/>
                <w:b/>
                <w:bCs/>
                <w:color w:val="FFFFFF"/>
                <w:sz w:val="14"/>
                <w:szCs w:val="14"/>
              </w:rPr>
              <w:t>32</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646D21E2" w14:textId="77777777" w:rsidR="00453E37" w:rsidRDefault="00000000">
            <w:pPr>
              <w:jc w:val="center"/>
            </w:pPr>
            <w:r>
              <w:rPr>
                <w:rFonts w:ascii="Arial" w:eastAsia="Arial" w:hAnsi="Arial" w:cs="Arial"/>
                <w:b/>
                <w:bCs/>
                <w:color w:val="FFFFFF"/>
                <w:sz w:val="14"/>
                <w:szCs w:val="14"/>
              </w:rPr>
              <w:t>33</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49B9C31A" w14:textId="77777777" w:rsidR="00453E37" w:rsidRDefault="00000000">
            <w:pPr>
              <w:jc w:val="center"/>
            </w:pPr>
            <w:r>
              <w:rPr>
                <w:rFonts w:ascii="Arial" w:eastAsia="Arial" w:hAnsi="Arial" w:cs="Arial"/>
                <w:b/>
                <w:bCs/>
                <w:color w:val="FFFFFF"/>
                <w:sz w:val="14"/>
                <w:szCs w:val="14"/>
              </w:rPr>
              <w:t>34</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767E9AC7" w14:textId="77777777" w:rsidR="00453E37" w:rsidRDefault="00000000">
            <w:pPr>
              <w:jc w:val="center"/>
            </w:pPr>
            <w:r>
              <w:rPr>
                <w:rFonts w:ascii="Arial" w:eastAsia="Arial" w:hAnsi="Arial" w:cs="Arial"/>
                <w:b/>
                <w:bCs/>
                <w:color w:val="FFFFFF"/>
                <w:sz w:val="14"/>
                <w:szCs w:val="14"/>
              </w:rPr>
              <w:t>35</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40" w:type="dxa"/>
              <w:left w:w="20" w:type="dxa"/>
              <w:bottom w:w="40" w:type="dxa"/>
              <w:right w:w="20" w:type="dxa"/>
            </w:tcMar>
          </w:tcPr>
          <w:p w14:paraId="7204B86E" w14:textId="77777777" w:rsidR="00453E37" w:rsidRDefault="00000000">
            <w:pPr>
              <w:jc w:val="center"/>
            </w:pPr>
            <w:r>
              <w:rPr>
                <w:rFonts w:ascii="Arial" w:eastAsia="Arial" w:hAnsi="Arial" w:cs="Arial"/>
                <w:b/>
                <w:bCs/>
                <w:color w:val="FFFFFF"/>
                <w:sz w:val="14"/>
                <w:szCs w:val="14"/>
              </w:rPr>
              <w:t>36</w:t>
            </w:r>
          </w:p>
        </w:tc>
      </w:tr>
      <w:tr w:rsidR="00453E37" w14:paraId="19D8D9B7"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40" w:type="dxa"/>
              <w:left w:w="100" w:type="dxa"/>
              <w:bottom w:w="40" w:type="dxa"/>
              <w:right w:w="60" w:type="dxa"/>
            </w:tcMar>
          </w:tcPr>
          <w:p w14:paraId="1C22BF03" w14:textId="77777777" w:rsidR="00453E37" w:rsidRDefault="00000000">
            <w:r>
              <w:rPr>
                <w:rFonts w:ascii="Arial" w:eastAsia="Arial" w:hAnsi="Arial" w:cs="Arial"/>
                <w:b/>
                <w:bCs/>
                <w:color w:val="FFFFFF"/>
                <w:sz w:val="16"/>
                <w:szCs w:val="16"/>
              </w:rPr>
              <w:t>1. Project Initiation</w:t>
            </w:r>
          </w:p>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7C068D1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225F6B4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1A30DA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74FCCD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B71E95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10650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C01660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B4379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8C5914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E62CFB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FC897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D64E2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2599AC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294D05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20A5F7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2FD56B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BF465F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9F8E3D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C498C8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CA177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970778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AA56BF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72B2C2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E4AD7E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84A523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64043D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A78979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F5BF33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8F494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4FABB4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1F04DA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ADF705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8E4577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AFC8F7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6182E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8BB05C2" w14:textId="77777777" w:rsidR="00453E37" w:rsidRDefault="00453E37"/>
        </w:tc>
      </w:tr>
      <w:tr w:rsidR="00453E37" w14:paraId="63F6BCF2"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2F250D16" w14:textId="77777777" w:rsidR="00453E37" w:rsidRDefault="00000000">
            <w:r>
              <w:rPr>
                <w:rFonts w:ascii="Arial" w:eastAsia="Arial" w:hAnsi="Arial" w:cs="Arial"/>
                <w:color w:val="000000"/>
                <w:sz w:val="16"/>
                <w:szCs w:val="16"/>
              </w:rPr>
              <w:t>1.1 Project Charter</w:t>
            </w:r>
          </w:p>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3B73C30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30DF30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9314DA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37DC28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A9CCFB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CD8B5E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0C761B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BFD956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A59996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A5E464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DBBE1E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BD6EE6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F85C7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A4D102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97093B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EE073B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3C49E1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8F15AA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E3090E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8333FD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124D9D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DC5286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FABCC7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CCFAAE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5DD1A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E55D4E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DD5DBF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0646D1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7BA0DC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7B07AB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861AA4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5CD7AA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6E6EF8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47FAA8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0BD64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CCCB2DE" w14:textId="77777777" w:rsidR="00453E37" w:rsidRDefault="00453E37"/>
        </w:tc>
      </w:tr>
      <w:tr w:rsidR="00453E37" w14:paraId="37AC2821"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0BBB8900" w14:textId="77777777" w:rsidR="00453E37" w:rsidRDefault="00000000">
            <w:r>
              <w:rPr>
                <w:rFonts w:ascii="Arial" w:eastAsia="Arial" w:hAnsi="Arial" w:cs="Arial"/>
                <w:color w:val="000000"/>
                <w:sz w:val="16"/>
                <w:szCs w:val="16"/>
              </w:rPr>
              <w:t>1.2 Stakeholder Mapping</w:t>
            </w:r>
          </w:p>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34838CD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35BF8ED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0D6B8E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8811D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C4794A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11F2C8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3FB162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28E707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D7EA22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E1FD98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6EA14B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D28D10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1E79D4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D89C5A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97039C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164BA3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047C72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CB0562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3E6AD8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39AE75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8A98DE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BB6CC6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ECDAA8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313954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1515F1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9B8C6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094A36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14D2C4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8A7E6A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474B5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621F9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06BE7D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6A9804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FAA78C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9E886D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888EAFF" w14:textId="77777777" w:rsidR="00453E37" w:rsidRDefault="00453E37"/>
        </w:tc>
      </w:tr>
      <w:tr w:rsidR="00453E37" w14:paraId="31FEA6C5"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628C5E9D" w14:textId="77777777" w:rsidR="00453E37" w:rsidRDefault="00000000">
            <w:r>
              <w:rPr>
                <w:rFonts w:ascii="Arial" w:eastAsia="Arial" w:hAnsi="Arial" w:cs="Arial"/>
                <w:color w:val="000000"/>
                <w:sz w:val="16"/>
                <w:szCs w:val="16"/>
              </w:rPr>
              <w:t>1.3 Feasibility Study</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E16AB1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6AD729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7119BF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9982FE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E72E2C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8738E3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422BEB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3FB9FA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72827A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A85F9A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0C82A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A1CFDD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542DEC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169184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7D597D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82FCFF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D4A89B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F92919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4E832C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AF1163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DED597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58D701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E11D7A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D8A1AF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6389FA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551155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2AD996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8E1FD2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0BA602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907392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52801C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AD9181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57F152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75B8CB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E31A1D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119B341" w14:textId="77777777" w:rsidR="00453E37" w:rsidRDefault="00453E37"/>
        </w:tc>
      </w:tr>
      <w:tr w:rsidR="00453E37" w14:paraId="7870E2FF"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40" w:type="dxa"/>
              <w:left w:w="100" w:type="dxa"/>
              <w:bottom w:w="40" w:type="dxa"/>
              <w:right w:w="60" w:type="dxa"/>
            </w:tcMar>
          </w:tcPr>
          <w:p w14:paraId="1150AB76" w14:textId="77777777" w:rsidR="00453E37" w:rsidRDefault="00000000">
            <w:r>
              <w:rPr>
                <w:rFonts w:ascii="Arial" w:eastAsia="Arial" w:hAnsi="Arial" w:cs="Arial"/>
                <w:b/>
                <w:bCs/>
                <w:color w:val="FFFFFF"/>
                <w:sz w:val="16"/>
                <w:szCs w:val="16"/>
              </w:rPr>
              <w:t>2. Planning &amp; Design</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ECE83D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3A3BA6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2B31B95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2DA0D90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0EB212B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084F36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779EEE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BD03C1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0E9DFC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DDD185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5FB59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697488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4C6B22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5AD116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B808B3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D69495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B2F8DA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A5B4EC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BEB4C0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CD10AC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A964FE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38416D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D6C888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7BF524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1C44B7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28F7CE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5B87D7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1B32C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1AFDFC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328925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683AEB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4D1698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0CB61B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6FE63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0DEE1A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183CD89" w14:textId="77777777" w:rsidR="00453E37" w:rsidRDefault="00453E37"/>
        </w:tc>
      </w:tr>
      <w:tr w:rsidR="00453E37" w14:paraId="79AF6165"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1DC155DD" w14:textId="77777777" w:rsidR="00453E37" w:rsidRDefault="00000000">
            <w:r>
              <w:rPr>
                <w:rFonts w:ascii="Arial" w:eastAsia="Arial" w:hAnsi="Arial" w:cs="Arial"/>
                <w:color w:val="000000"/>
                <w:sz w:val="16"/>
                <w:szCs w:val="16"/>
              </w:rPr>
              <w:t>2.1 Concept Design</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D07B14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28371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0D6992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3BECD5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9D8E18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0506D6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881EA3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B0281F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A3FC51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796C6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C3FC1B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4F6983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339511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8E7B4A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C0AE68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939C04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79310E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FFD54D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4ABFEB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5587BA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E8C1A6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FDD6A0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C39B0D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C41EC5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81597E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F717D5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FE164B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4E0B31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B435CA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245A68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512E75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142652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B2E590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C19A08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E2F5B9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9D98AD2" w14:textId="77777777" w:rsidR="00453E37" w:rsidRDefault="00453E37"/>
        </w:tc>
      </w:tr>
      <w:tr w:rsidR="00453E37" w14:paraId="60A18CAB"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583847FE" w14:textId="77777777" w:rsidR="00453E37" w:rsidRDefault="00000000">
            <w:r>
              <w:rPr>
                <w:rFonts w:ascii="Arial" w:eastAsia="Arial" w:hAnsi="Arial" w:cs="Arial"/>
                <w:color w:val="000000"/>
                <w:sz w:val="16"/>
                <w:szCs w:val="16"/>
              </w:rPr>
              <w:t>2.2 Planning Application</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22EAF1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400F58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3D9126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9A373F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EA4012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4CD00E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7A929B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FB20BF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C83308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FE933F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07B2F8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0DAE25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82A52C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AB6DCC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440E25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836E1F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C88995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F6EED0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D870FC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17481F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DA97C5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A1449F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7661DD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394634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EB26DC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E29EE8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9B0109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279A4D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FB564C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CE737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D39BC0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AEE713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87A38A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3DD1BB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47C1CC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8690996" w14:textId="77777777" w:rsidR="00453E37" w:rsidRDefault="00453E37"/>
        </w:tc>
      </w:tr>
      <w:tr w:rsidR="00453E37" w14:paraId="66E5DD27"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309E5968" w14:textId="77777777" w:rsidR="00453E37" w:rsidRDefault="00000000">
            <w:r>
              <w:rPr>
                <w:rFonts w:ascii="Arial" w:eastAsia="Arial" w:hAnsi="Arial" w:cs="Arial"/>
                <w:color w:val="000000"/>
                <w:sz w:val="16"/>
                <w:szCs w:val="16"/>
              </w:rPr>
              <w:t>2.3 Detailed Design</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5D8CA1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8CDAFF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5E582B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0D5298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CA6378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FACB43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F8BAC7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C633B3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5E3E15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2485BB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CF41DD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C29226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118F7D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5E8149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36BEFB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ED8A15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7B165B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98B7E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CD34A1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0CE514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610494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9D950F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103D17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A87DC3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917C18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F67739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EC9454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A72EF0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64901F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9DE18F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87044D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60EFEF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8594A4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482CD1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902187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0722AEE" w14:textId="77777777" w:rsidR="00453E37" w:rsidRDefault="00453E37"/>
        </w:tc>
      </w:tr>
      <w:tr w:rsidR="00453E37" w14:paraId="58544E61"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1B620234" w14:textId="77777777" w:rsidR="00453E37" w:rsidRDefault="00000000">
            <w:r>
              <w:rPr>
                <w:rFonts w:ascii="Arial" w:eastAsia="Arial" w:hAnsi="Arial" w:cs="Arial"/>
                <w:color w:val="000000"/>
                <w:sz w:val="16"/>
                <w:szCs w:val="16"/>
              </w:rPr>
              <w:t>2.4 Procurement</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9FB40F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6F8D0F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274C61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4E0CC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F1BE4D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283A6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E55FB0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38B30E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1DE0CC9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415843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87CFC4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DE71DA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668DAF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FA627E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454A1E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DD3F98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8197FD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54B6C3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982A05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34F06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9C0BE9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25D991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BC65A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386D57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6B93CD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B5F8D1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BB4CA2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1BB29D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441968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339201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19225F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EC86E3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A39383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02EF9C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5308EE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2E5E378" w14:textId="77777777" w:rsidR="00453E37" w:rsidRDefault="00453E37"/>
        </w:tc>
      </w:tr>
      <w:tr w:rsidR="00453E37" w14:paraId="18886F21"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40" w:type="dxa"/>
              <w:left w:w="100" w:type="dxa"/>
              <w:bottom w:w="40" w:type="dxa"/>
              <w:right w:w="60" w:type="dxa"/>
            </w:tcMar>
          </w:tcPr>
          <w:p w14:paraId="354FCCA2" w14:textId="77777777" w:rsidR="00453E37" w:rsidRDefault="00000000">
            <w:r>
              <w:rPr>
                <w:rFonts w:ascii="Arial" w:eastAsia="Arial" w:hAnsi="Arial" w:cs="Arial"/>
                <w:b/>
                <w:bCs/>
                <w:color w:val="FFFFFF"/>
                <w:sz w:val="16"/>
                <w:szCs w:val="16"/>
              </w:rPr>
              <w:t>3. Pre-Construction</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16A442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4C6970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19D3DE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85D076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3F212F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8CEB8E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D98617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9DEF8A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79F5046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7B64A5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374DE51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25B3B4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0FE50B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76C27B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B3D900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3C9F9B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67E81C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E4693E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4A3E2A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E39DD5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CECCB1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338EB1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99F4C6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F43327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FF2B87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D9ACB5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678F32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915BBE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1D6230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F0A670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D20880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40F961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4FDBB8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50F4B2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6C425B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DE79693" w14:textId="77777777" w:rsidR="00453E37" w:rsidRDefault="00453E37"/>
        </w:tc>
      </w:tr>
      <w:tr w:rsidR="00453E37" w14:paraId="6D655126"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451C03C7" w14:textId="77777777" w:rsidR="00453E37" w:rsidRDefault="00000000">
            <w:r>
              <w:rPr>
                <w:rFonts w:ascii="Arial" w:eastAsia="Arial" w:hAnsi="Arial" w:cs="Arial"/>
                <w:color w:val="000000"/>
                <w:sz w:val="16"/>
                <w:szCs w:val="16"/>
              </w:rPr>
              <w:t>3.1 Site Preparation</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EC9CB5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E8BF2C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9EE5C8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86111A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EEEB5E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6C5BD1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AF397C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E11D21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CB62D7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3FB68B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EED85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925A3E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40DE34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3D51F7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225F28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4D6D38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07DC6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43E830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D3501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90FFA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6ACD93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0164FF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305FAD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775C5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C1767F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8FC295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CA30A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3B8D5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4D411E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6BF7B0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ADF602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679BE1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77E827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B5F468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12261B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F0BA929" w14:textId="77777777" w:rsidR="00453E37" w:rsidRDefault="00453E37"/>
        </w:tc>
      </w:tr>
      <w:tr w:rsidR="00453E37" w14:paraId="338F34B6"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62E7150A" w14:textId="77777777" w:rsidR="00453E37" w:rsidRDefault="00000000">
            <w:r>
              <w:rPr>
                <w:rFonts w:ascii="Arial" w:eastAsia="Arial" w:hAnsi="Arial" w:cs="Arial"/>
                <w:color w:val="000000"/>
                <w:sz w:val="16"/>
                <w:szCs w:val="16"/>
              </w:rPr>
              <w:t>3.2 Temp Transport Measures</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61F12B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11F1BB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1778F7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2C729A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D96198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25E9CD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2B4955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4D17AE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363C88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610C52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C672D8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D4B344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921F26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65CDBA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363F3D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C8DFB8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DF68ED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6D33F3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12D5B7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41B352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2D21CB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1A4574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8B4D42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C3B86B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2AC6E0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C04ED7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415A9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E1BDA7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D9A02E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86DCCF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75D7F1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8E1814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E2863A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E8474D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A83D86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F113E48" w14:textId="77777777" w:rsidR="00453E37" w:rsidRDefault="00453E37"/>
        </w:tc>
      </w:tr>
      <w:tr w:rsidR="00453E37" w14:paraId="3FA89A1C"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17E5FAD1" w14:textId="77777777" w:rsidR="00453E37" w:rsidRDefault="00000000">
            <w:r>
              <w:rPr>
                <w:rFonts w:ascii="Arial" w:eastAsia="Arial" w:hAnsi="Arial" w:cs="Arial"/>
                <w:color w:val="000000"/>
                <w:sz w:val="16"/>
                <w:szCs w:val="16"/>
              </w:rPr>
              <w:t>3.3 Env. Baseline Studies</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CD3EF7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996129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D537EB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731599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B46122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A32389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3B26A2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E9E22F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3B059A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1F6C92D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34B2CC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600EDB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CAC33C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54B899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DEA9BC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6722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B9F554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A96934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D9CDD8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5EAD8C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D8C5E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D107FA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FDF8A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63896A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3F84DC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7CD6FB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F447D5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188C71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749E94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987770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CED20E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01418F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E0E3D1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34A0C7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ACC45A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99837FC" w14:textId="77777777" w:rsidR="00453E37" w:rsidRDefault="00453E37"/>
        </w:tc>
      </w:tr>
      <w:tr w:rsidR="00453E37" w14:paraId="3DA95F66"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40" w:type="dxa"/>
              <w:left w:w="100" w:type="dxa"/>
              <w:bottom w:w="40" w:type="dxa"/>
              <w:right w:w="60" w:type="dxa"/>
            </w:tcMar>
          </w:tcPr>
          <w:p w14:paraId="422CFCAA" w14:textId="77777777" w:rsidR="00453E37" w:rsidRDefault="00000000">
            <w:r>
              <w:rPr>
                <w:rFonts w:ascii="Arial" w:eastAsia="Arial" w:hAnsi="Arial" w:cs="Arial"/>
                <w:b/>
                <w:bCs/>
                <w:color w:val="FFFFFF"/>
                <w:sz w:val="16"/>
                <w:szCs w:val="16"/>
              </w:rPr>
              <w:t>4. Construction</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2E5CD1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4F9C23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C9BE60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3D3BF8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D669D7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4B3C3C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F69C81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82EC3D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51B2D7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EAC613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61B125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379A66E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396A453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3CEF448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223A85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CFDA9C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5A68376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B213B4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74ED32F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AC841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7F8413B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08F5817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D74836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09E0EF3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1545D5B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3323B06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7B34509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2104888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5F6443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13A49D8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2D3CBEF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0E7762B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5132E3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BE1F4F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67F658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0678015" w14:textId="77777777" w:rsidR="00453E37" w:rsidRDefault="00453E37"/>
        </w:tc>
      </w:tr>
      <w:tr w:rsidR="00453E37" w14:paraId="0D49778C"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25BDA79E" w14:textId="77777777" w:rsidR="00453E37" w:rsidRDefault="00000000">
            <w:r>
              <w:rPr>
                <w:rFonts w:ascii="Arial" w:eastAsia="Arial" w:hAnsi="Arial" w:cs="Arial"/>
                <w:color w:val="000000"/>
                <w:sz w:val="16"/>
                <w:szCs w:val="16"/>
              </w:rPr>
              <w:t>4.1 Substructure</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7D430E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264622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01695B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D7B3B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B98B8D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CF89CE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8A705D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A9788A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2626B6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4BFF8A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3B235F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6CE34A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FC5D8C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141A57C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1A584E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5E9043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7545BF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A5921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86E730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03F59F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96C0A3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0D0A88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FDD8B3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1321F3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AE5165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197D84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9503A2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5D41D2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56FF87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39D265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ED4710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700234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B574F6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F8E547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24A896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0873001" w14:textId="77777777" w:rsidR="00453E37" w:rsidRDefault="00453E37"/>
        </w:tc>
      </w:tr>
      <w:tr w:rsidR="00453E37" w14:paraId="4A8AA4E7"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567BFFF6" w14:textId="77777777" w:rsidR="00453E37" w:rsidRDefault="00000000">
            <w:r>
              <w:rPr>
                <w:rFonts w:ascii="Arial" w:eastAsia="Arial" w:hAnsi="Arial" w:cs="Arial"/>
                <w:color w:val="000000"/>
                <w:sz w:val="16"/>
                <w:szCs w:val="16"/>
              </w:rPr>
              <w:t>4.2 Superstructure &amp; Frame</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E1772D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49E2A6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2CC979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DE0593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2CB794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2F7B07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33AB19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DBC6D5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0BC4B6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2A54DF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AACC25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0A853A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49D380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E7B5E2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DD7D07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B6443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307CD99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0B33F0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3785E7F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720518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1DE3C83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6848D3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62B644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9B1FE9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C7F91D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50A891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039589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307BB7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AB0C4B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A766DB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C5B5D1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80F3F3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BF9884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EEE27D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17C574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A2CFA4A" w14:textId="77777777" w:rsidR="00453E37" w:rsidRDefault="00453E37"/>
        </w:tc>
      </w:tr>
      <w:tr w:rsidR="00453E37" w14:paraId="1A7576F4"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43E503DA" w14:textId="77777777" w:rsidR="00453E37" w:rsidRDefault="00000000">
            <w:r>
              <w:rPr>
                <w:rFonts w:ascii="Arial" w:eastAsia="Arial" w:hAnsi="Arial" w:cs="Arial"/>
                <w:color w:val="000000"/>
                <w:sz w:val="16"/>
                <w:szCs w:val="16"/>
              </w:rPr>
              <w:t>4.3 Fit-Out &amp; MEP</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3D1A0C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C10EEC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0A5C40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25F0C8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371514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D487C7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0DADED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7A44F4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5830B5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F572F0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EB3BCE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0633EA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A66E70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8BAD6E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2D26AE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D5CE33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F86462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D3EDA8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F515C8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F56B26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C06143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0419DA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049E13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3D50E04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2B7F41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61B94A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B21DDE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D4997B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1B4F24C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643789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576ABA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4A2E06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786DF7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C3816E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ED440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FAD67D6" w14:textId="77777777" w:rsidR="00453E37" w:rsidRDefault="00453E37"/>
        </w:tc>
      </w:tr>
      <w:tr w:rsidR="00453E37" w14:paraId="27947DE7"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27612BEF" w14:textId="77777777" w:rsidR="00453E37" w:rsidRDefault="00000000">
            <w:r>
              <w:rPr>
                <w:rFonts w:ascii="Arial" w:eastAsia="Arial" w:hAnsi="Arial" w:cs="Arial"/>
                <w:color w:val="000000"/>
                <w:sz w:val="16"/>
                <w:szCs w:val="16"/>
              </w:rPr>
              <w:t>4.4 Digital Infrastructure</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5DF39A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FB2AC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48160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269709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211AF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B827B4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7C108F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3830F4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5ED0AA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1BF756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908A3B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B7CE05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0B773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8D2EB6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E9D454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277887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EBBF92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C51390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305E4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40DF2B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6248AA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2E809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ABD7AF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2248CE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F3DAAD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BD0EEA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96034A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AD0455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3017C8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B12A04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49CAD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9C06BF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5F9D41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C49700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85AE2C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1BAD544" w14:textId="77777777" w:rsidR="00453E37" w:rsidRDefault="00453E37"/>
        </w:tc>
      </w:tr>
      <w:tr w:rsidR="00453E37" w14:paraId="54B3EFDD"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06AEC57D" w14:textId="77777777" w:rsidR="00453E37" w:rsidRDefault="00000000">
            <w:r>
              <w:rPr>
                <w:rFonts w:ascii="Arial" w:eastAsia="Arial" w:hAnsi="Arial" w:cs="Arial"/>
                <w:color w:val="000000"/>
                <w:sz w:val="16"/>
                <w:szCs w:val="16"/>
              </w:rPr>
              <w:t>4.5 Accessibility &amp; Landscaping</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9DAF33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FB1AEF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E9325A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E1880A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D0BC88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819B32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FB72D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57112A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DE61A4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F8B5F9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0DE6A5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FA145B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8FC88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B15013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FDD3C3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55B75D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0C3FED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A133F4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F6ED50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9EFC9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F106BC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403050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2E4108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25A7C4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45EB85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0D1AD1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6EAA8B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03567DD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827993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122ED96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2A583F1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679C91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924993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C16208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7EBB81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900F496" w14:textId="77777777" w:rsidR="00453E37" w:rsidRDefault="00453E37"/>
        </w:tc>
      </w:tr>
      <w:tr w:rsidR="00453E37" w14:paraId="7FD1A299"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40" w:type="dxa"/>
              <w:left w:w="100" w:type="dxa"/>
              <w:bottom w:w="40" w:type="dxa"/>
              <w:right w:w="60" w:type="dxa"/>
            </w:tcMar>
          </w:tcPr>
          <w:p w14:paraId="1605D52B" w14:textId="77777777" w:rsidR="00453E37" w:rsidRDefault="00000000">
            <w:r>
              <w:rPr>
                <w:rFonts w:ascii="Arial" w:eastAsia="Arial" w:hAnsi="Arial" w:cs="Arial"/>
                <w:b/>
                <w:bCs/>
                <w:color w:val="FFFFFF"/>
                <w:sz w:val="16"/>
                <w:szCs w:val="16"/>
              </w:rPr>
              <w:t>5. Commissioning &amp; Handover</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8CF8AF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D13165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04D2E7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BFC9F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571F1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F3C830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F7AE5E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8D1AFD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F53D9C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ED62E6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9BF55C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C4B634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32C716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B07A21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EE1F0C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CDE9A3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2CE47E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EA95DB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27DAF9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AC619D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CD9E26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DCEB9E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EBF50E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C9064C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A77B1A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CE697A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554A88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BD2FC9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832199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050D31D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63DD97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DCCE50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687B10D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5442C78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20ED465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49AFFEE0" w14:textId="77777777" w:rsidR="00453E37" w:rsidRDefault="00453E37"/>
        </w:tc>
      </w:tr>
      <w:tr w:rsidR="00453E37" w14:paraId="26245113"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2857D5DF" w14:textId="77777777" w:rsidR="00453E37" w:rsidRDefault="00000000">
            <w:r>
              <w:rPr>
                <w:rFonts w:ascii="Arial" w:eastAsia="Arial" w:hAnsi="Arial" w:cs="Arial"/>
                <w:color w:val="000000"/>
                <w:sz w:val="16"/>
                <w:szCs w:val="16"/>
              </w:rPr>
              <w:t>5.1 Systems Testing</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CB4A37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8EF720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4F57A8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86AC25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2AF7FD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1C93AE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FE5357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740DAA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E10994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DD4E82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BDACBD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3CB40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76865B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B13FA7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87DB72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9E70A0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F79CD9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ED0380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01294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89A258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C9E422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E5C75B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C1B982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9A931B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AE504A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EEF9BD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9392FA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1E744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03A2E5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30FD64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19B6CF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2B0AC3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5ECB2A9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32EE68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94EE84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3315204" w14:textId="77777777" w:rsidR="00453E37" w:rsidRDefault="00453E37"/>
        </w:tc>
      </w:tr>
      <w:tr w:rsidR="00453E37" w14:paraId="758981BD"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5A4715C6" w14:textId="77777777" w:rsidR="00453E37" w:rsidRDefault="00000000">
            <w:r>
              <w:rPr>
                <w:rFonts w:ascii="Arial" w:eastAsia="Arial" w:hAnsi="Arial" w:cs="Arial"/>
                <w:color w:val="000000"/>
                <w:sz w:val="16"/>
                <w:szCs w:val="16"/>
              </w:rPr>
              <w:lastRenderedPageBreak/>
              <w:t>5.2 Snagging</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41B3EE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448BB9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5519F5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75AC6B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0871D5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A7DAD4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26C933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A58A7C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62A693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41382F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B939CE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8F7816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A2CB99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0D7C56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0BC85B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B63798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23A100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885B5A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C95E09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CD4F6E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111397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CD7390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7B328A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F2BF64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493A03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E762E3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6D8558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45578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E0648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221AFE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16666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073082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80BD93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7998FD2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D34A9D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86493DD" w14:textId="77777777" w:rsidR="00453E37" w:rsidRDefault="00453E37"/>
        </w:tc>
      </w:tr>
      <w:tr w:rsidR="00453E37" w14:paraId="3494F189"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EBF3FA"/>
            <w:tcMar>
              <w:top w:w="40" w:type="dxa"/>
              <w:left w:w="240" w:type="dxa"/>
              <w:bottom w:w="40" w:type="dxa"/>
              <w:right w:w="60" w:type="dxa"/>
            </w:tcMar>
          </w:tcPr>
          <w:p w14:paraId="3743248D" w14:textId="77777777" w:rsidR="00453E37" w:rsidRDefault="00000000">
            <w:r>
              <w:rPr>
                <w:rFonts w:ascii="Arial" w:eastAsia="Arial" w:hAnsi="Arial" w:cs="Arial"/>
                <w:color w:val="000000"/>
                <w:sz w:val="16"/>
                <w:szCs w:val="16"/>
              </w:rPr>
              <w:t>5.3 Regulatory Sign-Off</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5DDF67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F45D4E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505844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FB1446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E9A19B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8D9ED9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B7C2E0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FE34D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43DA00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B300AE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D1FE14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B12C0C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979830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A4985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675BBB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DAF417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76F078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97FF68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D22170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FDB1E6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42AE0C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BFD764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AF48A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083E83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F7172B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E4B527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AA7739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50AA2A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40EB3F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31BCA2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C26FA7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E632E7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DFBAFB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6B915A7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249919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B62B3B5" w14:textId="77777777" w:rsidR="00453E37" w:rsidRDefault="00453E37"/>
        </w:tc>
      </w:tr>
      <w:tr w:rsidR="00453E37" w14:paraId="2120B9B5"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40" w:type="dxa"/>
              <w:left w:w="240" w:type="dxa"/>
              <w:bottom w:w="40" w:type="dxa"/>
              <w:right w:w="60" w:type="dxa"/>
            </w:tcMar>
          </w:tcPr>
          <w:p w14:paraId="5102D2E2" w14:textId="77777777" w:rsidR="00453E37" w:rsidRDefault="00000000">
            <w:r>
              <w:rPr>
                <w:rFonts w:ascii="Arial" w:eastAsia="Arial" w:hAnsi="Arial" w:cs="Arial"/>
                <w:color w:val="000000"/>
                <w:sz w:val="16"/>
                <w:szCs w:val="16"/>
              </w:rPr>
              <w:t>5.4 Operational Handover</w:t>
            </w:r>
          </w:p>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461183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EA05D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BEDD9B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EC5796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8CF221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D5B6C4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755A1C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2D36A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0965DD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39ACB4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475829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20ABB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F6917F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DC8982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381BF9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33A0299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268A45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3750AE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C2EFD7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11BF23D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CCDAB0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926AB1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7E8E4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124725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7E4235F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D1D027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CF4A93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010C3A8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D2D689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6211464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4BC1578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3469733"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5623673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FFFFF"/>
            <w:tcMar>
              <w:top w:w="20" w:type="dxa"/>
              <w:left w:w="0" w:type="dxa"/>
              <w:bottom w:w="20" w:type="dxa"/>
              <w:right w:w="0" w:type="dxa"/>
            </w:tcMar>
          </w:tcPr>
          <w:p w14:paraId="273C04E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4494A37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2E75B6"/>
            <w:tcMar>
              <w:top w:w="20" w:type="dxa"/>
              <w:left w:w="0" w:type="dxa"/>
              <w:bottom w:w="20" w:type="dxa"/>
              <w:right w:w="0" w:type="dxa"/>
            </w:tcMar>
          </w:tcPr>
          <w:p w14:paraId="154F5FF3" w14:textId="77777777" w:rsidR="00453E37" w:rsidRDefault="00453E37"/>
        </w:tc>
      </w:tr>
      <w:tr w:rsidR="00453E37" w14:paraId="0893B872" w14:textId="77777777">
        <w:tblPrEx>
          <w:tblCellMar>
            <w:top w:w="0" w:type="dxa"/>
            <w:bottom w:w="0" w:type="dxa"/>
          </w:tblCellMar>
        </w:tblPrEx>
        <w:tc>
          <w:tcPr>
            <w:tcW w:w="2600" w:type="dxa"/>
            <w:tcBorders>
              <w:top w:val="single" w:sz="1" w:space="0" w:color="AAAAAA"/>
              <w:left w:val="single" w:sz="1" w:space="0" w:color="AAAAAA"/>
              <w:bottom w:val="single" w:sz="1" w:space="0" w:color="AAAAAA"/>
              <w:right w:val="single" w:sz="1" w:space="0" w:color="AAAAAA"/>
            </w:tcBorders>
            <w:shd w:val="clear" w:color="auto" w:fill="2E75B6"/>
            <w:tcMar>
              <w:top w:w="40" w:type="dxa"/>
              <w:left w:w="100" w:type="dxa"/>
              <w:bottom w:w="40" w:type="dxa"/>
              <w:right w:w="60" w:type="dxa"/>
            </w:tcMar>
          </w:tcPr>
          <w:p w14:paraId="7F8112B7" w14:textId="77777777" w:rsidR="00453E37" w:rsidRDefault="00000000">
            <w:r>
              <w:rPr>
                <w:rFonts w:ascii="Arial" w:eastAsia="Arial" w:hAnsi="Arial" w:cs="Arial"/>
                <w:b/>
                <w:bCs/>
                <w:color w:val="FFFFFF"/>
                <w:sz w:val="16"/>
                <w:szCs w:val="16"/>
              </w:rPr>
              <w:t>6. Project Closure</w:t>
            </w:r>
          </w:p>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5B7FF0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EBE7B0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C8318E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C5E5F4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B7B1F0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D616A3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D35902F"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AE935BD"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FBF654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9C6766"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737866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82BE8C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78EA99B"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70D94CC"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F1228C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6B25B5E"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367E42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3A8EFE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30775A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2039B5F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6106182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1D940B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694C7A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4BC58B0"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58A33DEA"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98B1C0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8BE8F68"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01906D57"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1CBF4CF1"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71F7851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FB93934"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FD4558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4FE233D9"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F5F9FD"/>
            <w:tcMar>
              <w:top w:w="20" w:type="dxa"/>
              <w:left w:w="0" w:type="dxa"/>
              <w:bottom w:w="20" w:type="dxa"/>
              <w:right w:w="0" w:type="dxa"/>
            </w:tcMar>
          </w:tcPr>
          <w:p w14:paraId="33EBE5D2"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7BDC88E5" w14:textId="77777777" w:rsidR="00453E37" w:rsidRDefault="00453E37"/>
        </w:tc>
        <w:tc>
          <w:tcPr>
            <w:tcW w:w="187" w:type="dxa"/>
            <w:tcBorders>
              <w:top w:val="single" w:sz="1" w:space="0" w:color="AAAAAA"/>
              <w:left w:val="single" w:sz="1" w:space="0" w:color="AAAAAA"/>
              <w:bottom w:val="single" w:sz="1" w:space="0" w:color="AAAAAA"/>
              <w:right w:val="single" w:sz="1" w:space="0" w:color="AAAAAA"/>
            </w:tcBorders>
            <w:shd w:val="clear" w:color="auto" w:fill="1F4E79"/>
            <w:tcMar>
              <w:top w:w="20" w:type="dxa"/>
              <w:left w:w="0" w:type="dxa"/>
              <w:bottom w:w="20" w:type="dxa"/>
              <w:right w:w="0" w:type="dxa"/>
            </w:tcMar>
          </w:tcPr>
          <w:p w14:paraId="567CB0B3" w14:textId="77777777" w:rsidR="00453E37" w:rsidRDefault="00453E37"/>
        </w:tc>
      </w:tr>
    </w:tbl>
    <w:p w14:paraId="261792BB" w14:textId="77777777" w:rsidR="00453E37" w:rsidRDefault="00453E37"/>
    <w:p w14:paraId="7164D4F1" w14:textId="77777777" w:rsidR="00453E37" w:rsidRDefault="00000000">
      <w:pPr>
        <w:pStyle w:val="Heading1"/>
      </w:pPr>
      <w:r>
        <w:rPr>
          <w:color w:val="1F4E79"/>
        </w:rPr>
        <w:t>7. Stakeholder Involvement</w:t>
      </w:r>
    </w:p>
    <w:p w14:paraId="444A068E" w14:textId="77777777" w:rsidR="00453E37" w:rsidRDefault="00453E37">
      <w:pPr>
        <w:pBdr>
          <w:bottom w:val="single" w:sz="6" w:space="1" w:color="1F4E79"/>
        </w:pBdr>
      </w:pPr>
    </w:p>
    <w:p w14:paraId="66EA49BA" w14:textId="77777777" w:rsidR="00453E37" w:rsidRDefault="00453E37"/>
    <w:p w14:paraId="451B6419" w14:textId="77777777" w:rsidR="00453E37" w:rsidRDefault="00000000">
      <w:pPr>
        <w:spacing w:before="80" w:after="160"/>
        <w:jc w:val="both"/>
      </w:pPr>
      <w:r>
        <w:t>Effective stakeholder engagement is a critical success factor in complex infrastructure projects (Freeman, 1984). The stakeholder register presented in Table 1 maps the principal parties according to their role, level of influence, and appropriate engagement strategy. A power-interest analysis informed the classification of stakeholders; those with high power and high interest — namely the Local Authority, Department for Transport, Network Rail, and the main contractor — require intensive engagement through formal governance mechanisms.</w:t>
      </w:r>
    </w:p>
    <w:p w14:paraId="46DBF2C4" w14:textId="77777777" w:rsidR="00453E37" w:rsidRDefault="00453E37"/>
    <w:p w14:paraId="7EFD2151" w14:textId="77777777" w:rsidR="00453E37" w:rsidRDefault="00000000">
      <w:pPr>
        <w:spacing w:before="120"/>
        <w:jc w:val="center"/>
      </w:pPr>
      <w:r>
        <w:rPr>
          <w:b/>
          <w:bCs/>
          <w:sz w:val="22"/>
          <w:szCs w:val="22"/>
        </w:rPr>
        <w:t>Table 1: Stakeholder Register</w:t>
      </w:r>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2000"/>
        <w:gridCol w:w="2200"/>
        <w:gridCol w:w="2200"/>
      </w:tblGrid>
      <w:tr w:rsidR="00453E37" w14:paraId="7207C78A" w14:textId="77777777">
        <w:tblPrEx>
          <w:tblCellMar>
            <w:top w:w="0" w:type="dxa"/>
            <w:bottom w:w="0" w:type="dxa"/>
          </w:tblCellMar>
        </w:tblPrEx>
        <w:tc>
          <w:tcPr>
            <w:tcW w:w="16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4FF411A4" w14:textId="77777777" w:rsidR="00453E37" w:rsidRDefault="00000000">
            <w:pPr>
              <w:jc w:val="center"/>
            </w:pPr>
            <w:r>
              <w:rPr>
                <w:rFonts w:ascii="Arial" w:eastAsia="Arial" w:hAnsi="Arial" w:cs="Arial"/>
                <w:b/>
                <w:bCs/>
                <w:color w:val="FFFFFF"/>
                <w:sz w:val="20"/>
                <w:szCs w:val="20"/>
              </w:rPr>
              <w:t>Stakeholder</w:t>
            </w:r>
          </w:p>
        </w:tc>
        <w:tc>
          <w:tcPr>
            <w:tcW w:w="20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6155AC19" w14:textId="77777777" w:rsidR="00453E37" w:rsidRDefault="00000000">
            <w:pPr>
              <w:jc w:val="center"/>
            </w:pPr>
            <w:r>
              <w:rPr>
                <w:rFonts w:ascii="Arial" w:eastAsia="Arial" w:hAnsi="Arial" w:cs="Arial"/>
                <w:b/>
                <w:bCs/>
                <w:color w:val="FFFFFF"/>
                <w:sz w:val="20"/>
                <w:szCs w:val="20"/>
              </w:rPr>
              <w:t>Role / Interest</w:t>
            </w:r>
          </w:p>
        </w:tc>
        <w:tc>
          <w:tcPr>
            <w:tcW w:w="22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2EB82E06" w14:textId="77777777" w:rsidR="00453E37" w:rsidRDefault="00000000">
            <w:pPr>
              <w:jc w:val="center"/>
            </w:pPr>
            <w:r>
              <w:rPr>
                <w:rFonts w:ascii="Arial" w:eastAsia="Arial" w:hAnsi="Arial" w:cs="Arial"/>
                <w:b/>
                <w:bCs/>
                <w:color w:val="FFFFFF"/>
                <w:sz w:val="20"/>
                <w:szCs w:val="20"/>
              </w:rPr>
              <w:t>Level of Influence</w:t>
            </w:r>
          </w:p>
        </w:tc>
        <w:tc>
          <w:tcPr>
            <w:tcW w:w="22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6ACA6814" w14:textId="77777777" w:rsidR="00453E37" w:rsidRDefault="00000000">
            <w:pPr>
              <w:jc w:val="center"/>
            </w:pPr>
            <w:r>
              <w:rPr>
                <w:rFonts w:ascii="Arial" w:eastAsia="Arial" w:hAnsi="Arial" w:cs="Arial"/>
                <w:b/>
                <w:bCs/>
                <w:color w:val="FFFFFF"/>
                <w:sz w:val="20"/>
                <w:szCs w:val="20"/>
              </w:rPr>
              <w:t>Engagement Strategy</w:t>
            </w:r>
          </w:p>
        </w:tc>
      </w:tr>
      <w:tr w:rsidR="00453E37" w14:paraId="7C4E5234" w14:textId="77777777">
        <w:tblPrEx>
          <w:tblCellMar>
            <w:top w:w="0" w:type="dxa"/>
            <w:bottom w:w="0" w:type="dxa"/>
          </w:tblCellMar>
        </w:tblPrEx>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F7EF823" w14:textId="77777777" w:rsidR="00453E37" w:rsidRDefault="00000000">
            <w:r>
              <w:rPr>
                <w:rFonts w:ascii="Arial" w:eastAsia="Arial" w:hAnsi="Arial" w:cs="Arial"/>
                <w:sz w:val="20"/>
                <w:szCs w:val="20"/>
              </w:rPr>
              <w:t>Local Authority / City Council</w:t>
            </w:r>
          </w:p>
        </w:tc>
        <w:tc>
          <w:tcPr>
            <w:tcW w:w="2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5022C0F" w14:textId="77777777" w:rsidR="00453E37" w:rsidRDefault="00000000">
            <w:r>
              <w:rPr>
                <w:rFonts w:ascii="Arial" w:eastAsia="Arial" w:hAnsi="Arial" w:cs="Arial"/>
                <w:sz w:val="20"/>
                <w:szCs w:val="20"/>
              </w:rPr>
              <w:t>Project sponsor; statutory planning approval</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F611105" w14:textId="77777777" w:rsidR="00453E37" w:rsidRDefault="00000000">
            <w:r>
              <w:rPr>
                <w:rFonts w:ascii="Arial" w:eastAsia="Arial" w:hAnsi="Arial" w:cs="Arial"/>
                <w:sz w:val="20"/>
                <w:szCs w:val="20"/>
              </w:rPr>
              <w:t>High</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9D6B0ED" w14:textId="77777777" w:rsidR="00453E37" w:rsidRDefault="00000000">
            <w:r>
              <w:rPr>
                <w:rFonts w:ascii="Arial" w:eastAsia="Arial" w:hAnsi="Arial" w:cs="Arial"/>
                <w:sz w:val="20"/>
                <w:szCs w:val="20"/>
              </w:rPr>
              <w:t>Regular steering committee meetings; formal reporting</w:t>
            </w:r>
          </w:p>
        </w:tc>
      </w:tr>
      <w:tr w:rsidR="00453E37" w14:paraId="7E47920F" w14:textId="77777777">
        <w:tblPrEx>
          <w:tblCellMar>
            <w:top w:w="0" w:type="dxa"/>
            <w:bottom w:w="0" w:type="dxa"/>
          </w:tblCellMar>
        </w:tblPrEx>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3B49A7C" w14:textId="77777777" w:rsidR="00453E37" w:rsidRDefault="00000000">
            <w:r>
              <w:rPr>
                <w:rFonts w:ascii="Arial" w:eastAsia="Arial" w:hAnsi="Arial" w:cs="Arial"/>
                <w:sz w:val="20"/>
                <w:szCs w:val="20"/>
              </w:rPr>
              <w:t>Transport Secretary / DfT</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2978228" w14:textId="77777777" w:rsidR="00453E37" w:rsidRDefault="00000000">
            <w:r>
              <w:rPr>
                <w:rFonts w:ascii="Arial" w:eastAsia="Arial" w:hAnsi="Arial" w:cs="Arial"/>
                <w:sz w:val="20"/>
                <w:szCs w:val="20"/>
              </w:rPr>
              <w:t>National policy alignment; funding approval</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968FCB8" w14:textId="77777777" w:rsidR="00453E37" w:rsidRDefault="00000000">
            <w:r>
              <w:rPr>
                <w:rFonts w:ascii="Arial" w:eastAsia="Arial" w:hAnsi="Arial" w:cs="Arial"/>
                <w:sz w:val="20"/>
                <w:szCs w:val="20"/>
              </w:rPr>
              <w:t>High</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BB3DD8F" w14:textId="77777777" w:rsidR="00453E37" w:rsidRDefault="00000000">
            <w:r>
              <w:rPr>
                <w:rFonts w:ascii="Arial" w:eastAsia="Arial" w:hAnsi="Arial" w:cs="Arial"/>
                <w:sz w:val="20"/>
                <w:szCs w:val="20"/>
              </w:rPr>
              <w:t>Quarterly briefings; compliance documentation</w:t>
            </w:r>
          </w:p>
        </w:tc>
      </w:tr>
      <w:tr w:rsidR="00453E37" w14:paraId="595419A0" w14:textId="77777777">
        <w:tblPrEx>
          <w:tblCellMar>
            <w:top w:w="0" w:type="dxa"/>
            <w:bottom w:w="0" w:type="dxa"/>
          </w:tblCellMar>
        </w:tblPrEx>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ABB44DC" w14:textId="77777777" w:rsidR="00453E37" w:rsidRDefault="00000000">
            <w:r>
              <w:rPr>
                <w:rFonts w:ascii="Arial" w:eastAsia="Arial" w:hAnsi="Arial" w:cs="Arial"/>
                <w:sz w:val="20"/>
                <w:szCs w:val="20"/>
              </w:rPr>
              <w:t>Commuters &amp; General Public</w:t>
            </w:r>
          </w:p>
        </w:tc>
        <w:tc>
          <w:tcPr>
            <w:tcW w:w="2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D4D65B2" w14:textId="77777777" w:rsidR="00453E37" w:rsidRDefault="00000000">
            <w:r>
              <w:rPr>
                <w:rFonts w:ascii="Arial" w:eastAsia="Arial" w:hAnsi="Arial" w:cs="Arial"/>
                <w:sz w:val="20"/>
                <w:szCs w:val="20"/>
              </w:rPr>
              <w:t>Primary service users; disruption is felt daily</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D4312DD"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513780C6" w14:textId="77777777" w:rsidR="00453E37" w:rsidRDefault="00000000">
            <w:r>
              <w:rPr>
                <w:rFonts w:ascii="Arial" w:eastAsia="Arial" w:hAnsi="Arial" w:cs="Arial"/>
                <w:sz w:val="20"/>
                <w:szCs w:val="20"/>
              </w:rPr>
              <w:t>Public consultation events; digital engagement portal</w:t>
            </w:r>
          </w:p>
        </w:tc>
      </w:tr>
      <w:tr w:rsidR="00453E37" w14:paraId="27233A98" w14:textId="77777777">
        <w:tblPrEx>
          <w:tblCellMar>
            <w:top w:w="0" w:type="dxa"/>
            <w:bottom w:w="0" w:type="dxa"/>
          </w:tblCellMar>
        </w:tblPrEx>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A67E5F8" w14:textId="77777777" w:rsidR="00453E37" w:rsidRDefault="00000000">
            <w:r>
              <w:rPr>
                <w:rFonts w:ascii="Arial" w:eastAsia="Arial" w:hAnsi="Arial" w:cs="Arial"/>
                <w:sz w:val="20"/>
                <w:szCs w:val="20"/>
              </w:rPr>
              <w:t>Local Businesses &amp; Supply Chains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EEE2293" w14:textId="77777777" w:rsidR="00453E37" w:rsidRDefault="00000000">
            <w:r>
              <w:rPr>
                <w:rFonts w:ascii="Arial" w:eastAsia="Arial" w:hAnsi="Arial" w:cs="Arial"/>
                <w:sz w:val="20"/>
                <w:szCs w:val="20"/>
              </w:rPr>
              <w:t>Dependent on hub for freight and footfall</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0B1462F"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BDE3850" w14:textId="77777777" w:rsidR="00453E37" w:rsidRDefault="00000000">
            <w:r>
              <w:rPr>
                <w:rFonts w:ascii="Arial" w:eastAsia="Arial" w:hAnsi="Arial" w:cs="Arial"/>
                <w:sz w:val="20"/>
                <w:szCs w:val="20"/>
              </w:rPr>
              <w:t>Business liaison forum; impact assessment updates</w:t>
            </w:r>
          </w:p>
        </w:tc>
      </w:tr>
      <w:tr w:rsidR="00453E37" w14:paraId="15B2CA45" w14:textId="77777777">
        <w:tblPrEx>
          <w:tblCellMar>
            <w:top w:w="0" w:type="dxa"/>
            <w:bottom w:w="0" w:type="dxa"/>
          </w:tblCellMar>
        </w:tblPrEx>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D8B916B" w14:textId="77777777" w:rsidR="00453E37" w:rsidRDefault="00000000">
            <w:r>
              <w:rPr>
                <w:rFonts w:ascii="Arial" w:eastAsia="Arial" w:hAnsi="Arial" w:cs="Arial"/>
                <w:sz w:val="20"/>
                <w:szCs w:val="20"/>
              </w:rPr>
              <w:t>Network Rail / Transport Operators</w:t>
            </w:r>
          </w:p>
        </w:tc>
        <w:tc>
          <w:tcPr>
            <w:tcW w:w="2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E567230" w14:textId="77777777" w:rsidR="00453E37" w:rsidRDefault="00000000">
            <w:r>
              <w:rPr>
                <w:rFonts w:ascii="Arial" w:eastAsia="Arial" w:hAnsi="Arial" w:cs="Arial"/>
                <w:sz w:val="20"/>
                <w:szCs w:val="20"/>
              </w:rPr>
              <w:t>Technical integration partners</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5677DBF" w14:textId="77777777" w:rsidR="00453E37" w:rsidRDefault="00000000">
            <w:r>
              <w:rPr>
                <w:rFonts w:ascii="Arial" w:eastAsia="Arial" w:hAnsi="Arial" w:cs="Arial"/>
                <w:sz w:val="20"/>
                <w:szCs w:val="20"/>
              </w:rPr>
              <w:t>High</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E4FC7DA" w14:textId="77777777" w:rsidR="00453E37" w:rsidRDefault="00000000">
            <w:r>
              <w:rPr>
                <w:rFonts w:ascii="Arial" w:eastAsia="Arial" w:hAnsi="Arial" w:cs="Arial"/>
                <w:sz w:val="20"/>
                <w:szCs w:val="20"/>
              </w:rPr>
              <w:t>Joint technical working groups; interface agreements</w:t>
            </w:r>
          </w:p>
        </w:tc>
      </w:tr>
      <w:tr w:rsidR="00453E37" w14:paraId="2D09098B" w14:textId="77777777">
        <w:tblPrEx>
          <w:tblCellMar>
            <w:top w:w="0" w:type="dxa"/>
            <w:bottom w:w="0" w:type="dxa"/>
          </w:tblCellMar>
        </w:tblPrEx>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70664E7" w14:textId="77777777" w:rsidR="00453E37" w:rsidRDefault="00000000">
            <w:r>
              <w:rPr>
                <w:rFonts w:ascii="Arial" w:eastAsia="Arial" w:hAnsi="Arial" w:cs="Arial"/>
                <w:sz w:val="20"/>
                <w:szCs w:val="20"/>
              </w:rPr>
              <w:t>Construction Contractors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B59AF5D" w14:textId="77777777" w:rsidR="00453E37" w:rsidRDefault="00000000">
            <w:r>
              <w:rPr>
                <w:rFonts w:ascii="Arial" w:eastAsia="Arial" w:hAnsi="Arial" w:cs="Arial"/>
                <w:sz w:val="20"/>
                <w:szCs w:val="20"/>
              </w:rPr>
              <w:t>Delivery partners for build works</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AA93429" w14:textId="77777777" w:rsidR="00453E37" w:rsidRDefault="00000000">
            <w:r>
              <w:rPr>
                <w:rFonts w:ascii="Arial" w:eastAsia="Arial" w:hAnsi="Arial" w:cs="Arial"/>
                <w:sz w:val="20"/>
                <w:szCs w:val="20"/>
              </w:rPr>
              <w:t>High</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842FDA2" w14:textId="77777777" w:rsidR="00453E37" w:rsidRDefault="00000000">
            <w:r>
              <w:rPr>
                <w:rFonts w:ascii="Arial" w:eastAsia="Arial" w:hAnsi="Arial" w:cs="Arial"/>
                <w:sz w:val="20"/>
                <w:szCs w:val="20"/>
              </w:rPr>
              <w:t>Contract management; progress review meetings</w:t>
            </w:r>
          </w:p>
        </w:tc>
      </w:tr>
      <w:tr w:rsidR="00453E37" w14:paraId="2859640F" w14:textId="77777777">
        <w:tblPrEx>
          <w:tblCellMar>
            <w:top w:w="0" w:type="dxa"/>
            <w:bottom w:w="0" w:type="dxa"/>
          </w:tblCellMar>
        </w:tblPrEx>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EBFDD3B" w14:textId="77777777" w:rsidR="00453E37" w:rsidRDefault="00000000">
            <w:r>
              <w:rPr>
                <w:rFonts w:ascii="Arial" w:eastAsia="Arial" w:hAnsi="Arial" w:cs="Arial"/>
                <w:sz w:val="20"/>
                <w:szCs w:val="20"/>
              </w:rPr>
              <w:t>Environmental Agencies</w:t>
            </w:r>
          </w:p>
        </w:tc>
        <w:tc>
          <w:tcPr>
            <w:tcW w:w="2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1970211" w14:textId="77777777" w:rsidR="00453E37" w:rsidRDefault="00000000">
            <w:r>
              <w:rPr>
                <w:rFonts w:ascii="Arial" w:eastAsia="Arial" w:hAnsi="Arial" w:cs="Arial"/>
                <w:sz w:val="20"/>
                <w:szCs w:val="20"/>
              </w:rPr>
              <w:t>Net-zero compliance; ecological protection</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93713A8"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0F9C077" w14:textId="77777777" w:rsidR="00453E37" w:rsidRDefault="00000000">
            <w:r>
              <w:rPr>
                <w:rFonts w:ascii="Arial" w:eastAsia="Arial" w:hAnsi="Arial" w:cs="Arial"/>
                <w:sz w:val="20"/>
                <w:szCs w:val="20"/>
              </w:rPr>
              <w:t>Environmental impact assessments; regular audits</w:t>
            </w:r>
          </w:p>
        </w:tc>
      </w:tr>
      <w:tr w:rsidR="00453E37" w14:paraId="633F755E" w14:textId="77777777">
        <w:tblPrEx>
          <w:tblCellMar>
            <w:top w:w="0" w:type="dxa"/>
            <w:bottom w:w="0" w:type="dxa"/>
          </w:tblCellMar>
        </w:tblPrEx>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8604A3A" w14:textId="77777777" w:rsidR="00453E37" w:rsidRDefault="00000000">
            <w:r>
              <w:rPr>
                <w:rFonts w:ascii="Arial" w:eastAsia="Arial" w:hAnsi="Arial" w:cs="Arial"/>
                <w:sz w:val="20"/>
                <w:szCs w:val="20"/>
              </w:rPr>
              <w:lastRenderedPageBreak/>
              <w:t>Accessibility Advocacy Groups</w:t>
            </w:r>
          </w:p>
        </w:tc>
        <w:tc>
          <w:tcPr>
            <w:tcW w:w="2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10C3E14" w14:textId="77777777" w:rsidR="00453E37" w:rsidRDefault="00000000">
            <w:r>
              <w:rPr>
                <w:rFonts w:ascii="Arial" w:eastAsia="Arial" w:hAnsi="Arial" w:cs="Arial"/>
                <w:sz w:val="20"/>
                <w:szCs w:val="20"/>
              </w:rPr>
              <w:t>Inclusive design requirements</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DB66924"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9EC8F39" w14:textId="77777777" w:rsidR="00453E37" w:rsidRDefault="00000000">
            <w:r>
              <w:rPr>
                <w:rFonts w:ascii="Arial" w:eastAsia="Arial" w:hAnsi="Arial" w:cs="Arial"/>
                <w:sz w:val="20"/>
                <w:szCs w:val="20"/>
              </w:rPr>
              <w:t>Co-design workshops; accessibility sign-off</w:t>
            </w:r>
          </w:p>
        </w:tc>
      </w:tr>
      <w:tr w:rsidR="00453E37" w14:paraId="5F6ED660" w14:textId="77777777">
        <w:tblPrEx>
          <w:tblCellMar>
            <w:top w:w="0" w:type="dxa"/>
            <w:bottom w:w="0" w:type="dxa"/>
          </w:tblCellMar>
        </w:tblPrEx>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4867410" w14:textId="77777777" w:rsidR="00453E37" w:rsidRDefault="00000000">
            <w:r>
              <w:rPr>
                <w:rFonts w:ascii="Arial" w:eastAsia="Arial" w:hAnsi="Arial" w:cs="Arial"/>
                <w:sz w:val="20"/>
                <w:szCs w:val="20"/>
              </w:rPr>
              <w:t>Media &amp; Press</w:t>
            </w:r>
          </w:p>
        </w:tc>
        <w:tc>
          <w:tcPr>
            <w:tcW w:w="20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51F4649" w14:textId="77777777" w:rsidR="00453E37" w:rsidRDefault="00000000">
            <w:r>
              <w:rPr>
                <w:rFonts w:ascii="Arial" w:eastAsia="Arial" w:hAnsi="Arial" w:cs="Arial"/>
                <w:sz w:val="20"/>
                <w:szCs w:val="20"/>
              </w:rPr>
              <w:t>Public narrative; reputation management</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BD8020A" w14:textId="77777777" w:rsidR="00453E37" w:rsidRDefault="00000000">
            <w:r>
              <w:rPr>
                <w:rFonts w:ascii="Arial" w:eastAsia="Arial" w:hAnsi="Arial" w:cs="Arial"/>
                <w:sz w:val="20"/>
                <w:szCs w:val="20"/>
              </w:rPr>
              <w:t>Low</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8D2F0DB" w14:textId="77777777" w:rsidR="00453E37" w:rsidRDefault="00000000">
            <w:r>
              <w:rPr>
                <w:rFonts w:ascii="Arial" w:eastAsia="Arial" w:hAnsi="Arial" w:cs="Arial"/>
                <w:sz w:val="20"/>
                <w:szCs w:val="20"/>
              </w:rPr>
              <w:t>Press releases; designated communications lead</w:t>
            </w:r>
          </w:p>
        </w:tc>
      </w:tr>
    </w:tbl>
    <w:p w14:paraId="3A231264" w14:textId="77777777" w:rsidR="00453E37" w:rsidRDefault="00453E37"/>
    <w:p w14:paraId="6E856748" w14:textId="77777777" w:rsidR="00453E37" w:rsidRDefault="00000000">
      <w:pPr>
        <w:spacing w:before="80" w:after="160"/>
        <w:jc w:val="both"/>
      </w:pPr>
      <w:r>
        <w:t>Commuters and local businesses, although lower in formal authority, carry significant political influence and reputational risk if their concerns are not managed proactively. A public consultation portal and a business liaison forum are therefore central to the communications plan. Environmental agencies and accessibility advocacy groups will be engaged through co-design workshops and formal compliance sign-off processes, ensuring that their requirements are embedded in the design rather than addressed retrospectively. Cleland and Ireland (2006) note that stakeholder mismanagement is among the most common causes of project failure; accordingly, the stakeholder register will be reviewed at each stage gate throughout the project lifecycle.</w:t>
      </w:r>
    </w:p>
    <w:p w14:paraId="0ED83703" w14:textId="77777777" w:rsidR="00453E37" w:rsidRDefault="00453E37"/>
    <w:p w14:paraId="17C31954" w14:textId="77777777" w:rsidR="00453E37" w:rsidRDefault="00000000">
      <w:pPr>
        <w:pStyle w:val="Heading1"/>
      </w:pPr>
      <w:r>
        <w:rPr>
          <w:color w:val="1F4E79"/>
        </w:rPr>
        <w:t>8. Allocation of Resources</w:t>
      </w:r>
    </w:p>
    <w:p w14:paraId="32AF5793" w14:textId="77777777" w:rsidR="00453E37" w:rsidRDefault="00453E37">
      <w:pPr>
        <w:pBdr>
          <w:bottom w:val="single" w:sz="6" w:space="1" w:color="1F4E79"/>
        </w:pBdr>
      </w:pPr>
    </w:p>
    <w:p w14:paraId="0BBF74C1" w14:textId="77777777" w:rsidR="00453E37" w:rsidRDefault="00453E37"/>
    <w:p w14:paraId="4AEEB521" w14:textId="77777777" w:rsidR="00453E37" w:rsidRDefault="00000000">
      <w:pPr>
        <w:spacing w:before="80" w:after="160"/>
        <w:jc w:val="both"/>
      </w:pPr>
      <w:r>
        <w:t>Resource allocation ensures that the right personnel, funding, and equipment are available at the right time to deliver each work package (Project Management Institute, 2021). Table 3 presents the principal resource categories, their responsibilities, the phases in which they are active, and their estimated cost allocation against the £48 million budget envelope.</w:t>
      </w:r>
    </w:p>
    <w:p w14:paraId="42A7827D" w14:textId="77777777" w:rsidR="00453E37" w:rsidRDefault="00453E37"/>
    <w:p w14:paraId="2F45C489" w14:textId="77777777" w:rsidR="00453E37" w:rsidRDefault="00000000">
      <w:pPr>
        <w:spacing w:before="120"/>
        <w:jc w:val="center"/>
      </w:pPr>
      <w:r>
        <w:rPr>
          <w:b/>
          <w:bCs/>
          <w:sz w:val="22"/>
          <w:szCs w:val="22"/>
        </w:rPr>
        <w:t>Table 3: Resource Allocation Summary</w:t>
      </w:r>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2400"/>
        <w:gridCol w:w="1600"/>
        <w:gridCol w:w="1600"/>
      </w:tblGrid>
      <w:tr w:rsidR="00453E37" w14:paraId="119073A3"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22918E6B" w14:textId="77777777" w:rsidR="00453E37" w:rsidRDefault="00000000">
            <w:pPr>
              <w:jc w:val="center"/>
            </w:pPr>
            <w:r>
              <w:rPr>
                <w:rFonts w:ascii="Arial" w:eastAsia="Arial" w:hAnsi="Arial" w:cs="Arial"/>
                <w:b/>
                <w:bCs/>
                <w:color w:val="FFFFFF"/>
                <w:sz w:val="20"/>
                <w:szCs w:val="20"/>
              </w:rPr>
              <w:t>Role / Resource</w:t>
            </w:r>
          </w:p>
        </w:tc>
        <w:tc>
          <w:tcPr>
            <w:tcW w:w="24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45115FC2" w14:textId="77777777" w:rsidR="00453E37" w:rsidRDefault="00000000">
            <w:pPr>
              <w:jc w:val="center"/>
            </w:pPr>
            <w:r>
              <w:rPr>
                <w:rFonts w:ascii="Arial" w:eastAsia="Arial" w:hAnsi="Arial" w:cs="Arial"/>
                <w:b/>
                <w:bCs/>
                <w:color w:val="FFFFFF"/>
                <w:sz w:val="20"/>
                <w:szCs w:val="20"/>
              </w:rPr>
              <w:t>Responsibility</w:t>
            </w:r>
          </w:p>
        </w:tc>
        <w:tc>
          <w:tcPr>
            <w:tcW w:w="16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46937ADB" w14:textId="77777777" w:rsidR="00453E37" w:rsidRDefault="00000000">
            <w:pPr>
              <w:jc w:val="center"/>
            </w:pPr>
            <w:r>
              <w:rPr>
                <w:rFonts w:ascii="Arial" w:eastAsia="Arial" w:hAnsi="Arial" w:cs="Arial"/>
                <w:b/>
                <w:bCs/>
                <w:color w:val="FFFFFF"/>
                <w:sz w:val="20"/>
                <w:szCs w:val="20"/>
              </w:rPr>
              <w:t>Phase Active</w:t>
            </w:r>
          </w:p>
        </w:tc>
        <w:tc>
          <w:tcPr>
            <w:tcW w:w="16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22DCF42F" w14:textId="77777777" w:rsidR="00453E37" w:rsidRDefault="00000000">
            <w:pPr>
              <w:jc w:val="center"/>
            </w:pPr>
            <w:r>
              <w:rPr>
                <w:rFonts w:ascii="Arial" w:eastAsia="Arial" w:hAnsi="Arial" w:cs="Arial"/>
                <w:b/>
                <w:bCs/>
                <w:color w:val="FFFFFF"/>
                <w:sz w:val="20"/>
                <w:szCs w:val="20"/>
              </w:rPr>
              <w:t>Estimated Cost Allocation</w:t>
            </w:r>
          </w:p>
        </w:tc>
      </w:tr>
      <w:tr w:rsidR="00453E37" w14:paraId="5A96BE19"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DB0EF68" w14:textId="77777777" w:rsidR="00453E37" w:rsidRDefault="00000000">
            <w:r>
              <w:rPr>
                <w:rFonts w:ascii="Arial" w:eastAsia="Arial" w:hAnsi="Arial" w:cs="Arial"/>
                <w:sz w:val="20"/>
                <w:szCs w:val="20"/>
              </w:rPr>
              <w:t>Project Manager</w:t>
            </w:r>
          </w:p>
        </w:tc>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7DD55A7" w14:textId="77777777" w:rsidR="00453E37" w:rsidRDefault="00000000">
            <w:r>
              <w:rPr>
                <w:rFonts w:ascii="Arial" w:eastAsia="Arial" w:hAnsi="Arial" w:cs="Arial"/>
                <w:sz w:val="20"/>
                <w:szCs w:val="20"/>
              </w:rPr>
              <w:t>Overall delivery, governance, reporting</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12BBEA9" w14:textId="77777777" w:rsidR="00453E37" w:rsidRDefault="00000000">
            <w:r>
              <w:rPr>
                <w:rFonts w:ascii="Arial" w:eastAsia="Arial" w:hAnsi="Arial" w:cs="Arial"/>
                <w:sz w:val="20"/>
                <w:szCs w:val="20"/>
              </w:rPr>
              <w:t>All phases</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63E2ED0" w14:textId="77777777" w:rsidR="00453E37" w:rsidRDefault="00000000">
            <w:r>
              <w:rPr>
                <w:rFonts w:ascii="Arial" w:eastAsia="Arial" w:hAnsi="Arial" w:cs="Arial"/>
                <w:sz w:val="20"/>
                <w:szCs w:val="20"/>
              </w:rPr>
              <w:t>Included in management fees</w:t>
            </w:r>
          </w:p>
        </w:tc>
      </w:tr>
      <w:tr w:rsidR="00453E37" w14:paraId="21EA7FFF"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407AB6F" w14:textId="77777777" w:rsidR="00453E37" w:rsidRDefault="00000000">
            <w:r>
              <w:rPr>
                <w:rFonts w:ascii="Arial" w:eastAsia="Arial" w:hAnsi="Arial" w:cs="Arial"/>
                <w:sz w:val="20"/>
                <w:szCs w:val="20"/>
              </w:rPr>
              <w:t>Structural &amp; Civil Engineers</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5489FD0" w14:textId="77777777" w:rsidR="00453E37" w:rsidRDefault="00000000">
            <w:r>
              <w:rPr>
                <w:rFonts w:ascii="Arial" w:eastAsia="Arial" w:hAnsi="Arial" w:cs="Arial"/>
                <w:sz w:val="20"/>
                <w:szCs w:val="20"/>
              </w:rPr>
              <w:t>Design, structural survey, technical oversight</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E27A3EA" w14:textId="77777777" w:rsidR="00453E37" w:rsidRDefault="00000000">
            <w:r>
              <w:rPr>
                <w:rFonts w:ascii="Arial" w:eastAsia="Arial" w:hAnsi="Arial" w:cs="Arial"/>
                <w:sz w:val="20"/>
                <w:szCs w:val="20"/>
              </w:rPr>
              <w:t>Phases 1–3</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1C80812" w14:textId="77777777" w:rsidR="00453E37" w:rsidRDefault="00000000">
            <w:r>
              <w:rPr>
                <w:rFonts w:ascii="Arial" w:eastAsia="Arial" w:hAnsi="Arial" w:cs="Arial"/>
                <w:sz w:val="20"/>
                <w:szCs w:val="20"/>
              </w:rPr>
              <w:t>£3.2 million</w:t>
            </w:r>
          </w:p>
        </w:tc>
      </w:tr>
      <w:tr w:rsidR="00453E37" w14:paraId="0EFB200C"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C3D0B04" w14:textId="77777777" w:rsidR="00453E37" w:rsidRDefault="00000000">
            <w:r>
              <w:rPr>
                <w:rFonts w:ascii="Arial" w:eastAsia="Arial" w:hAnsi="Arial" w:cs="Arial"/>
                <w:sz w:val="20"/>
                <w:szCs w:val="20"/>
              </w:rPr>
              <w:t>Planning Consultant</w:t>
            </w:r>
          </w:p>
        </w:tc>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CDC66D5" w14:textId="77777777" w:rsidR="00453E37" w:rsidRDefault="00000000">
            <w:r>
              <w:rPr>
                <w:rFonts w:ascii="Arial" w:eastAsia="Arial" w:hAnsi="Arial" w:cs="Arial"/>
                <w:sz w:val="20"/>
                <w:szCs w:val="20"/>
              </w:rPr>
              <w:t>LPA liaison, pre-application engagement</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E61ACB4" w14:textId="77777777" w:rsidR="00453E37" w:rsidRDefault="00000000">
            <w:r>
              <w:rPr>
                <w:rFonts w:ascii="Arial" w:eastAsia="Arial" w:hAnsi="Arial" w:cs="Arial"/>
                <w:sz w:val="20"/>
                <w:szCs w:val="20"/>
              </w:rPr>
              <w:t>Phase 1</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42B5F7E" w14:textId="77777777" w:rsidR="00453E37" w:rsidRDefault="00000000">
            <w:r>
              <w:rPr>
                <w:rFonts w:ascii="Arial" w:eastAsia="Arial" w:hAnsi="Arial" w:cs="Arial"/>
                <w:sz w:val="20"/>
                <w:szCs w:val="20"/>
              </w:rPr>
              <w:t>£180,000</w:t>
            </w:r>
          </w:p>
        </w:tc>
      </w:tr>
      <w:tr w:rsidR="00453E37" w14:paraId="46AB9686"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3091379" w14:textId="77777777" w:rsidR="00453E37" w:rsidRDefault="00000000">
            <w:r>
              <w:rPr>
                <w:rFonts w:ascii="Arial" w:eastAsia="Arial" w:hAnsi="Arial" w:cs="Arial"/>
                <w:sz w:val="20"/>
                <w:szCs w:val="20"/>
              </w:rPr>
              <w:t>Main Contractor</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E3CDBC1" w14:textId="77777777" w:rsidR="00453E37" w:rsidRDefault="00000000">
            <w:r>
              <w:rPr>
                <w:rFonts w:ascii="Arial" w:eastAsia="Arial" w:hAnsi="Arial" w:cs="Arial"/>
                <w:sz w:val="20"/>
                <w:szCs w:val="20"/>
              </w:rPr>
              <w:t>Construction delivery, sub-contractor management</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FC749F1" w14:textId="77777777" w:rsidR="00453E37" w:rsidRDefault="00000000">
            <w:r>
              <w:rPr>
                <w:rFonts w:ascii="Arial" w:eastAsia="Arial" w:hAnsi="Arial" w:cs="Arial"/>
                <w:sz w:val="20"/>
                <w:szCs w:val="20"/>
              </w:rPr>
              <w:t>Phase 2–3</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B6C5953" w14:textId="77777777" w:rsidR="00453E37" w:rsidRDefault="00000000">
            <w:r>
              <w:rPr>
                <w:rFonts w:ascii="Arial" w:eastAsia="Arial" w:hAnsi="Arial" w:cs="Arial"/>
                <w:sz w:val="20"/>
                <w:szCs w:val="20"/>
              </w:rPr>
              <w:t>£38 million</w:t>
            </w:r>
          </w:p>
        </w:tc>
      </w:tr>
      <w:tr w:rsidR="00453E37" w14:paraId="6C840598"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FBA768F" w14:textId="77777777" w:rsidR="00453E37" w:rsidRDefault="00000000">
            <w:r>
              <w:rPr>
                <w:rFonts w:ascii="Arial" w:eastAsia="Arial" w:hAnsi="Arial" w:cs="Arial"/>
                <w:sz w:val="20"/>
                <w:szCs w:val="20"/>
              </w:rPr>
              <w:t>Environmental Manager</w:t>
            </w:r>
          </w:p>
        </w:tc>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F632AA8" w14:textId="77777777" w:rsidR="00453E37" w:rsidRDefault="00000000">
            <w:r>
              <w:rPr>
                <w:rFonts w:ascii="Arial" w:eastAsia="Arial" w:hAnsi="Arial" w:cs="Arial"/>
                <w:sz w:val="20"/>
                <w:szCs w:val="20"/>
              </w:rPr>
              <w:t>BREEAM compliance, ecological mitigation</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A685FA6" w14:textId="77777777" w:rsidR="00453E37" w:rsidRDefault="00000000">
            <w:r>
              <w:rPr>
                <w:rFonts w:ascii="Arial" w:eastAsia="Arial" w:hAnsi="Arial" w:cs="Arial"/>
                <w:sz w:val="20"/>
                <w:szCs w:val="20"/>
              </w:rPr>
              <w:t>All phases</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12A3D72" w14:textId="77777777" w:rsidR="00453E37" w:rsidRDefault="00000000">
            <w:r>
              <w:rPr>
                <w:rFonts w:ascii="Arial" w:eastAsia="Arial" w:hAnsi="Arial" w:cs="Arial"/>
                <w:sz w:val="20"/>
                <w:szCs w:val="20"/>
              </w:rPr>
              <w:t>£250,000</w:t>
            </w:r>
          </w:p>
        </w:tc>
      </w:tr>
      <w:tr w:rsidR="00453E37" w14:paraId="6A7961C1"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FD7877D" w14:textId="77777777" w:rsidR="00453E37" w:rsidRDefault="00000000">
            <w:r>
              <w:rPr>
                <w:rFonts w:ascii="Arial" w:eastAsia="Arial" w:hAnsi="Arial" w:cs="Arial"/>
                <w:sz w:val="20"/>
                <w:szCs w:val="20"/>
              </w:rPr>
              <w:lastRenderedPageBreak/>
              <w:t>BIM / Digital Co-ordinator</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A759636" w14:textId="77777777" w:rsidR="00453E37" w:rsidRDefault="00000000">
            <w:r>
              <w:rPr>
                <w:rFonts w:ascii="Arial" w:eastAsia="Arial" w:hAnsi="Arial" w:cs="Arial"/>
                <w:sz w:val="20"/>
                <w:szCs w:val="20"/>
              </w:rPr>
              <w:t>BIM management, clash detection, data management</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C105A40" w14:textId="77777777" w:rsidR="00453E37" w:rsidRDefault="00000000">
            <w:r>
              <w:rPr>
                <w:rFonts w:ascii="Arial" w:eastAsia="Arial" w:hAnsi="Arial" w:cs="Arial"/>
                <w:sz w:val="20"/>
                <w:szCs w:val="20"/>
              </w:rPr>
              <w:t>Phases 1–3</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A6331C7" w14:textId="77777777" w:rsidR="00453E37" w:rsidRDefault="00000000">
            <w:r>
              <w:rPr>
                <w:rFonts w:ascii="Arial" w:eastAsia="Arial" w:hAnsi="Arial" w:cs="Arial"/>
                <w:sz w:val="20"/>
                <w:szCs w:val="20"/>
              </w:rPr>
              <w:t>£200,000</w:t>
            </w:r>
          </w:p>
        </w:tc>
      </w:tr>
      <w:tr w:rsidR="00453E37" w14:paraId="5F4086AC"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DA8075F" w14:textId="77777777" w:rsidR="00453E37" w:rsidRDefault="00000000">
            <w:r>
              <w:rPr>
                <w:rFonts w:ascii="Arial" w:eastAsia="Arial" w:hAnsi="Arial" w:cs="Arial"/>
                <w:sz w:val="20"/>
                <w:szCs w:val="20"/>
              </w:rPr>
              <w:t>Accessibility Consultant</w:t>
            </w:r>
          </w:p>
        </w:tc>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22FB4AF" w14:textId="77777777" w:rsidR="00453E37" w:rsidRDefault="00000000">
            <w:r>
              <w:rPr>
                <w:rFonts w:ascii="Arial" w:eastAsia="Arial" w:hAnsi="Arial" w:cs="Arial"/>
                <w:sz w:val="20"/>
                <w:szCs w:val="20"/>
              </w:rPr>
              <w:t>Inclusive design review, DDA compliance</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B336A00" w14:textId="77777777" w:rsidR="00453E37" w:rsidRDefault="00000000">
            <w:r>
              <w:rPr>
                <w:rFonts w:ascii="Arial" w:eastAsia="Arial" w:hAnsi="Arial" w:cs="Arial"/>
                <w:sz w:val="20"/>
                <w:szCs w:val="20"/>
              </w:rPr>
              <w:t>Phases 1–2</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E766654" w14:textId="77777777" w:rsidR="00453E37" w:rsidRDefault="00000000">
            <w:r>
              <w:rPr>
                <w:rFonts w:ascii="Arial" w:eastAsia="Arial" w:hAnsi="Arial" w:cs="Arial"/>
                <w:sz w:val="20"/>
                <w:szCs w:val="20"/>
              </w:rPr>
              <w:t>£90,000</w:t>
            </w:r>
          </w:p>
        </w:tc>
      </w:tr>
      <w:tr w:rsidR="00453E37" w14:paraId="4A0CC604"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97B4C60" w14:textId="77777777" w:rsidR="00453E37" w:rsidRDefault="00000000">
            <w:r>
              <w:rPr>
                <w:rFonts w:ascii="Arial" w:eastAsia="Arial" w:hAnsi="Arial" w:cs="Arial"/>
                <w:sz w:val="20"/>
                <w:szCs w:val="20"/>
              </w:rPr>
              <w:t>Communications Manager</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A2DDB30" w14:textId="77777777" w:rsidR="00453E37" w:rsidRDefault="00000000">
            <w:r>
              <w:rPr>
                <w:rFonts w:ascii="Arial" w:eastAsia="Arial" w:hAnsi="Arial" w:cs="Arial"/>
                <w:sz w:val="20"/>
                <w:szCs w:val="20"/>
              </w:rPr>
              <w:t>Stakeholder engagement, public relations</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C3E91E2" w14:textId="77777777" w:rsidR="00453E37" w:rsidRDefault="00000000">
            <w:r>
              <w:rPr>
                <w:rFonts w:ascii="Arial" w:eastAsia="Arial" w:hAnsi="Arial" w:cs="Arial"/>
                <w:sz w:val="20"/>
                <w:szCs w:val="20"/>
              </w:rPr>
              <w:t>All phases</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76F75F3" w14:textId="77777777" w:rsidR="00453E37" w:rsidRDefault="00000000">
            <w:r>
              <w:rPr>
                <w:rFonts w:ascii="Arial" w:eastAsia="Arial" w:hAnsi="Arial" w:cs="Arial"/>
                <w:sz w:val="20"/>
                <w:szCs w:val="20"/>
              </w:rPr>
              <w:t>£160,000</w:t>
            </w:r>
          </w:p>
        </w:tc>
      </w:tr>
      <w:tr w:rsidR="00453E37" w14:paraId="491F9CA8"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7156004" w14:textId="77777777" w:rsidR="00453E37" w:rsidRDefault="00000000">
            <w:r>
              <w:rPr>
                <w:rFonts w:ascii="Arial" w:eastAsia="Arial" w:hAnsi="Arial" w:cs="Arial"/>
                <w:sz w:val="20"/>
                <w:szCs w:val="20"/>
              </w:rPr>
              <w:t>Quantity Surveyor</w:t>
            </w:r>
          </w:p>
        </w:tc>
        <w:tc>
          <w:tcPr>
            <w:tcW w:w="2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A116E1E" w14:textId="77777777" w:rsidR="00453E37" w:rsidRDefault="00000000">
            <w:r>
              <w:rPr>
                <w:rFonts w:ascii="Arial" w:eastAsia="Arial" w:hAnsi="Arial" w:cs="Arial"/>
                <w:sz w:val="20"/>
                <w:szCs w:val="20"/>
              </w:rPr>
              <w:t>Cost planning, procurement, financial control</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49BA479E" w14:textId="77777777" w:rsidR="00453E37" w:rsidRDefault="00000000">
            <w:r>
              <w:rPr>
                <w:rFonts w:ascii="Arial" w:eastAsia="Arial" w:hAnsi="Arial" w:cs="Arial"/>
                <w:sz w:val="20"/>
                <w:szCs w:val="20"/>
              </w:rPr>
              <w:t>All phases</w:t>
            </w:r>
          </w:p>
        </w:tc>
        <w:tc>
          <w:tcPr>
            <w:tcW w:w="16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A5A669F" w14:textId="77777777" w:rsidR="00453E37" w:rsidRDefault="00000000">
            <w:r>
              <w:rPr>
                <w:rFonts w:ascii="Arial" w:eastAsia="Arial" w:hAnsi="Arial" w:cs="Arial"/>
                <w:sz w:val="20"/>
                <w:szCs w:val="20"/>
              </w:rPr>
              <w:t>Included in management fees</w:t>
            </w:r>
          </w:p>
        </w:tc>
      </w:tr>
      <w:tr w:rsidR="00453E37" w14:paraId="2D33CA37" w14:textId="77777777">
        <w:tblPrEx>
          <w:tblCellMar>
            <w:top w:w="0" w:type="dxa"/>
            <w:bottom w:w="0" w:type="dxa"/>
          </w:tblCellMar>
        </w:tblPrEx>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CC9AA07" w14:textId="77777777" w:rsidR="00453E37" w:rsidRDefault="00000000">
            <w:r>
              <w:rPr>
                <w:rFonts w:ascii="Arial" w:eastAsia="Arial" w:hAnsi="Arial" w:cs="Arial"/>
                <w:sz w:val="20"/>
                <w:szCs w:val="20"/>
              </w:rPr>
              <w:t>Contingency Reserve</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F8CB5F2" w14:textId="77777777" w:rsidR="00453E37" w:rsidRDefault="00000000">
            <w:r>
              <w:rPr>
                <w:rFonts w:ascii="Arial" w:eastAsia="Arial" w:hAnsi="Arial" w:cs="Arial"/>
                <w:sz w:val="20"/>
                <w:szCs w:val="20"/>
              </w:rPr>
              <w:t>Unforeseen costs and risk drawdown</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42CD1DE" w14:textId="77777777" w:rsidR="00453E37" w:rsidRDefault="00000000">
            <w:r>
              <w:rPr>
                <w:rFonts w:ascii="Arial" w:eastAsia="Arial" w:hAnsi="Arial" w:cs="Arial"/>
                <w:sz w:val="20"/>
                <w:szCs w:val="20"/>
              </w:rPr>
              <w:t>All phases</w:t>
            </w:r>
          </w:p>
        </w:tc>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67BFA08" w14:textId="77777777" w:rsidR="00453E37" w:rsidRDefault="00000000">
            <w:r>
              <w:rPr>
                <w:rFonts w:ascii="Arial" w:eastAsia="Arial" w:hAnsi="Arial" w:cs="Arial"/>
                <w:sz w:val="20"/>
                <w:szCs w:val="20"/>
              </w:rPr>
              <w:t>£6 million (13%)</w:t>
            </w:r>
          </w:p>
        </w:tc>
      </w:tr>
    </w:tbl>
    <w:p w14:paraId="36E17A7F" w14:textId="77777777" w:rsidR="00453E37" w:rsidRDefault="00453E37"/>
    <w:p w14:paraId="03251DCD" w14:textId="77777777" w:rsidR="00453E37" w:rsidRDefault="00000000">
      <w:pPr>
        <w:spacing w:before="80" w:after="160"/>
        <w:jc w:val="both"/>
      </w:pPr>
      <w:r>
        <w:t>Human resources are organised across a multi-disciplinary project team led by the Project Manager, who maintains overall responsibility for delivery, governance, and reporting. The appointment of a dedicated BIM Co-ordinator ensures that digital design coordination, clash detection, and asset data management are embedded from the design stage, reducing the risk of costly design errors during construction (British Standards Institution, 2019). An Environmental Manager ensures that sustainability commitments are monitored and reported against BREEAM requirements throughout. A 13% contingency reserve of £6 million has been set aside in line with HM Treasury guidance on major infrastructure projects (Cabinet Office, 2011). All resource deployments will be formally tracked through the project's earned value management (EVM) system, providing real-time visibility of cost and schedule performance.</w:t>
      </w:r>
    </w:p>
    <w:p w14:paraId="41F4F5C6" w14:textId="77777777" w:rsidR="00453E37" w:rsidRDefault="00453E37"/>
    <w:p w14:paraId="6D857E87" w14:textId="77777777" w:rsidR="00453E37" w:rsidRDefault="00000000">
      <w:pPr>
        <w:pStyle w:val="Heading1"/>
      </w:pPr>
      <w:r>
        <w:rPr>
          <w:color w:val="1F4E79"/>
        </w:rPr>
        <w:t>9. Risk Analysis</w:t>
      </w:r>
    </w:p>
    <w:p w14:paraId="3553EA78" w14:textId="77777777" w:rsidR="00453E37" w:rsidRDefault="00453E37">
      <w:pPr>
        <w:pBdr>
          <w:bottom w:val="single" w:sz="6" w:space="1" w:color="1F4E79"/>
        </w:pBdr>
      </w:pPr>
    </w:p>
    <w:p w14:paraId="6F56C6F2" w14:textId="77777777" w:rsidR="00453E37" w:rsidRDefault="00453E37"/>
    <w:p w14:paraId="6F1B2B72" w14:textId="77777777" w:rsidR="00453E37" w:rsidRDefault="00000000">
      <w:pPr>
        <w:spacing w:before="80" w:after="160"/>
        <w:jc w:val="both"/>
      </w:pPr>
      <w:r>
        <w:t>Risk management is a continuous and iterative process throughout the project lifecycle (Ward and Chapman, 2003). The risk register in Table 2 identifies ten principal risks, assessed against likelihood and impact, with corresponding mitigation strategies. Risks are rated as High, Medium, or Low based on a qualitative risk matrix, consistent with the APM Body of Knowledge (Association for Project Management, 2019).</w:t>
      </w:r>
    </w:p>
    <w:p w14:paraId="005EA63C" w14:textId="77777777" w:rsidR="00453E37" w:rsidRDefault="00453E37"/>
    <w:p w14:paraId="4A1BFBFA" w14:textId="77777777" w:rsidR="00453E37" w:rsidRDefault="00000000">
      <w:pPr>
        <w:spacing w:before="120"/>
        <w:jc w:val="center"/>
      </w:pPr>
      <w:r>
        <w:rPr>
          <w:b/>
          <w:bCs/>
          <w:sz w:val="22"/>
          <w:szCs w:val="22"/>
        </w:rPr>
        <w:t>Table 2: Risk Register</w:t>
      </w:r>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1400"/>
        <w:gridCol w:w="1200"/>
        <w:gridCol w:w="1400"/>
        <w:gridCol w:w="2200"/>
      </w:tblGrid>
      <w:tr w:rsidR="00453E37" w14:paraId="60665622" w14:textId="77777777">
        <w:tblPrEx>
          <w:tblCellMar>
            <w:top w:w="0" w:type="dxa"/>
            <w:bottom w:w="0" w:type="dxa"/>
          </w:tblCellMar>
        </w:tblPrEx>
        <w:tc>
          <w:tcPr>
            <w:tcW w:w="18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2E9E77CB" w14:textId="77777777" w:rsidR="00453E37" w:rsidRDefault="00000000">
            <w:pPr>
              <w:jc w:val="center"/>
            </w:pPr>
            <w:r>
              <w:rPr>
                <w:rFonts w:ascii="Arial" w:eastAsia="Arial" w:hAnsi="Arial" w:cs="Arial"/>
                <w:b/>
                <w:bCs/>
                <w:color w:val="FFFFFF"/>
                <w:sz w:val="20"/>
                <w:szCs w:val="20"/>
              </w:rPr>
              <w:t>Risk</w:t>
            </w:r>
          </w:p>
        </w:tc>
        <w:tc>
          <w:tcPr>
            <w:tcW w:w="14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10668409" w14:textId="77777777" w:rsidR="00453E37" w:rsidRDefault="00000000">
            <w:pPr>
              <w:jc w:val="center"/>
            </w:pPr>
            <w:r>
              <w:rPr>
                <w:rFonts w:ascii="Arial" w:eastAsia="Arial" w:hAnsi="Arial" w:cs="Arial"/>
                <w:b/>
                <w:bCs/>
                <w:color w:val="FFFFFF"/>
                <w:sz w:val="20"/>
                <w:szCs w:val="20"/>
              </w:rPr>
              <w:t>Likelihood</w:t>
            </w:r>
          </w:p>
        </w:tc>
        <w:tc>
          <w:tcPr>
            <w:tcW w:w="12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47E40637" w14:textId="77777777" w:rsidR="00453E37" w:rsidRDefault="00000000">
            <w:pPr>
              <w:jc w:val="center"/>
            </w:pPr>
            <w:r>
              <w:rPr>
                <w:rFonts w:ascii="Arial" w:eastAsia="Arial" w:hAnsi="Arial" w:cs="Arial"/>
                <w:b/>
                <w:bCs/>
                <w:color w:val="FFFFFF"/>
                <w:sz w:val="20"/>
                <w:szCs w:val="20"/>
              </w:rPr>
              <w:t>Impact</w:t>
            </w:r>
          </w:p>
        </w:tc>
        <w:tc>
          <w:tcPr>
            <w:tcW w:w="14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11CF479F" w14:textId="77777777" w:rsidR="00453E37" w:rsidRDefault="00000000">
            <w:pPr>
              <w:jc w:val="center"/>
            </w:pPr>
            <w:r>
              <w:rPr>
                <w:rFonts w:ascii="Arial" w:eastAsia="Arial" w:hAnsi="Arial" w:cs="Arial"/>
                <w:b/>
                <w:bCs/>
                <w:color w:val="FFFFFF"/>
                <w:sz w:val="20"/>
                <w:szCs w:val="20"/>
              </w:rPr>
              <w:t>Risk Rating</w:t>
            </w:r>
          </w:p>
        </w:tc>
        <w:tc>
          <w:tcPr>
            <w:tcW w:w="2200" w:type="dxa"/>
            <w:tcBorders>
              <w:top w:val="single" w:sz="1" w:space="0" w:color="AAAAAA"/>
              <w:left w:val="single" w:sz="1" w:space="0" w:color="AAAAAA"/>
              <w:bottom w:val="single" w:sz="1" w:space="0" w:color="AAAAAA"/>
              <w:right w:val="single" w:sz="1" w:space="0" w:color="AAAAAA"/>
            </w:tcBorders>
            <w:shd w:val="clear" w:color="auto" w:fill="1F4E79"/>
            <w:tcMar>
              <w:top w:w="80" w:type="dxa"/>
              <w:left w:w="140" w:type="dxa"/>
              <w:bottom w:w="80" w:type="dxa"/>
              <w:right w:w="140" w:type="dxa"/>
            </w:tcMar>
          </w:tcPr>
          <w:p w14:paraId="57FB57DB" w14:textId="77777777" w:rsidR="00453E37" w:rsidRDefault="00000000">
            <w:pPr>
              <w:jc w:val="center"/>
            </w:pPr>
            <w:r>
              <w:rPr>
                <w:rFonts w:ascii="Arial" w:eastAsia="Arial" w:hAnsi="Arial" w:cs="Arial"/>
                <w:b/>
                <w:bCs/>
                <w:color w:val="FFFFFF"/>
                <w:sz w:val="20"/>
                <w:szCs w:val="20"/>
              </w:rPr>
              <w:t>Mitigation Strategy</w:t>
            </w:r>
          </w:p>
        </w:tc>
      </w:tr>
      <w:tr w:rsidR="00453E37" w14:paraId="0478E105" w14:textId="77777777">
        <w:tblPrEx>
          <w:tblCellMar>
            <w:top w:w="0" w:type="dxa"/>
            <w:bottom w:w="0" w:type="dxa"/>
          </w:tblCellMar>
        </w:tblPrEx>
        <w:tc>
          <w:tcPr>
            <w:tcW w:w="18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51032D91" w14:textId="77777777" w:rsidR="00453E37" w:rsidRDefault="00000000">
            <w:r>
              <w:rPr>
                <w:rFonts w:ascii="Arial" w:eastAsia="Arial" w:hAnsi="Arial" w:cs="Arial"/>
                <w:sz w:val="20"/>
                <w:szCs w:val="20"/>
              </w:rPr>
              <w:t>Cost overruns due to material inflation</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1F7FE01" w14:textId="77777777" w:rsidR="00453E37" w:rsidRDefault="00000000">
            <w:r>
              <w:rPr>
                <w:rFonts w:ascii="Arial" w:eastAsia="Arial" w:hAnsi="Arial" w:cs="Arial"/>
                <w:sz w:val="20"/>
                <w:szCs w:val="20"/>
              </w:rPr>
              <w:t>Medium</w:t>
            </w:r>
          </w:p>
        </w:tc>
        <w:tc>
          <w:tcPr>
            <w:tcW w:w="1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1D8162D" w14:textId="77777777" w:rsidR="00453E37" w:rsidRDefault="00000000">
            <w:r>
              <w:rPr>
                <w:rFonts w:ascii="Arial" w:eastAsia="Arial" w:hAnsi="Arial" w:cs="Arial"/>
                <w:sz w:val="20"/>
                <w:szCs w:val="20"/>
              </w:rPr>
              <w:t>High</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9D77D76" w14:textId="77777777" w:rsidR="00453E37" w:rsidRDefault="00000000">
            <w:r>
              <w:rPr>
                <w:rFonts w:ascii="Arial" w:eastAsia="Arial" w:hAnsi="Arial" w:cs="Arial"/>
                <w:sz w:val="20"/>
                <w:szCs w:val="20"/>
              </w:rPr>
              <w:t>High</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5AF502CA" w14:textId="77777777" w:rsidR="00453E37" w:rsidRDefault="00000000">
            <w:r>
              <w:rPr>
                <w:rFonts w:ascii="Arial" w:eastAsia="Arial" w:hAnsi="Arial" w:cs="Arial"/>
                <w:sz w:val="20"/>
                <w:szCs w:val="20"/>
              </w:rPr>
              <w:t>Fixed-price contracts; contingency reserve (15%)</w:t>
            </w:r>
          </w:p>
        </w:tc>
      </w:tr>
      <w:tr w:rsidR="00453E37" w14:paraId="13299EE1" w14:textId="77777777">
        <w:tblPrEx>
          <w:tblCellMar>
            <w:top w:w="0" w:type="dxa"/>
            <w:bottom w:w="0" w:type="dxa"/>
          </w:tblCellMar>
        </w:tblPrEx>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C5D23EE" w14:textId="77777777" w:rsidR="00453E37" w:rsidRDefault="00000000">
            <w:r>
              <w:rPr>
                <w:rFonts w:ascii="Arial" w:eastAsia="Arial" w:hAnsi="Arial" w:cs="Arial"/>
                <w:sz w:val="20"/>
                <w:szCs w:val="20"/>
              </w:rPr>
              <w:t xml:space="preserve">Programme delays from </w:t>
            </w:r>
            <w:r>
              <w:rPr>
                <w:rFonts w:ascii="Arial" w:eastAsia="Arial" w:hAnsi="Arial" w:cs="Arial"/>
                <w:sz w:val="20"/>
                <w:szCs w:val="20"/>
              </w:rPr>
              <w:lastRenderedPageBreak/>
              <w:t>planning disputes</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C383443" w14:textId="77777777" w:rsidR="00453E37" w:rsidRDefault="00000000">
            <w:r>
              <w:rPr>
                <w:rFonts w:ascii="Arial" w:eastAsia="Arial" w:hAnsi="Arial" w:cs="Arial"/>
                <w:sz w:val="20"/>
                <w:szCs w:val="20"/>
              </w:rPr>
              <w:lastRenderedPageBreak/>
              <w:t>Medium</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33996CD" w14:textId="77777777" w:rsidR="00453E37" w:rsidRDefault="00000000">
            <w:r>
              <w:rPr>
                <w:rFonts w:ascii="Arial" w:eastAsia="Arial" w:hAnsi="Arial" w:cs="Arial"/>
                <w:sz w:val="20"/>
                <w:szCs w:val="20"/>
              </w:rPr>
              <w:t>High</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35B139C" w14:textId="77777777" w:rsidR="00453E37" w:rsidRDefault="00000000">
            <w:r>
              <w:rPr>
                <w:rFonts w:ascii="Arial" w:eastAsia="Arial" w:hAnsi="Arial" w:cs="Arial"/>
                <w:sz w:val="20"/>
                <w:szCs w:val="20"/>
              </w:rPr>
              <w:t>High</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80C190B" w14:textId="77777777" w:rsidR="00453E37" w:rsidRDefault="00000000">
            <w:r>
              <w:rPr>
                <w:rFonts w:ascii="Arial" w:eastAsia="Arial" w:hAnsi="Arial" w:cs="Arial"/>
                <w:sz w:val="20"/>
                <w:szCs w:val="20"/>
              </w:rPr>
              <w:t>Early pre-application engagement with LPA</w:t>
            </w:r>
          </w:p>
        </w:tc>
      </w:tr>
      <w:tr w:rsidR="00453E37" w14:paraId="1BDB05D8" w14:textId="77777777">
        <w:tblPrEx>
          <w:tblCellMar>
            <w:top w:w="0" w:type="dxa"/>
            <w:bottom w:w="0" w:type="dxa"/>
          </w:tblCellMar>
        </w:tblPrEx>
        <w:tc>
          <w:tcPr>
            <w:tcW w:w="18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EC0D616" w14:textId="77777777" w:rsidR="00453E37" w:rsidRDefault="00000000">
            <w:r>
              <w:rPr>
                <w:rFonts w:ascii="Arial" w:eastAsia="Arial" w:hAnsi="Arial" w:cs="Arial"/>
                <w:sz w:val="20"/>
                <w:szCs w:val="20"/>
              </w:rPr>
              <w:t>Structural surprises during demolition</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6E1D440" w14:textId="77777777" w:rsidR="00453E37" w:rsidRDefault="00000000">
            <w:r>
              <w:rPr>
                <w:rFonts w:ascii="Arial" w:eastAsia="Arial" w:hAnsi="Arial" w:cs="Arial"/>
                <w:sz w:val="20"/>
                <w:szCs w:val="20"/>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0984EF4" w14:textId="77777777" w:rsidR="00453E37" w:rsidRDefault="00000000">
            <w:r>
              <w:rPr>
                <w:rFonts w:ascii="Arial" w:eastAsia="Arial" w:hAnsi="Arial" w:cs="Arial"/>
                <w:sz w:val="20"/>
                <w:szCs w:val="20"/>
              </w:rPr>
              <w:t>High</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E19A6DC"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922EC97" w14:textId="77777777" w:rsidR="00453E37" w:rsidRDefault="00000000">
            <w:r>
              <w:rPr>
                <w:rFonts w:ascii="Arial" w:eastAsia="Arial" w:hAnsi="Arial" w:cs="Arial"/>
                <w:sz w:val="20"/>
                <w:szCs w:val="20"/>
              </w:rPr>
              <w:t>Comprehensive structural surveys pre-works</w:t>
            </w:r>
          </w:p>
        </w:tc>
      </w:tr>
      <w:tr w:rsidR="00453E37" w14:paraId="4A4C9AEC" w14:textId="77777777">
        <w:tblPrEx>
          <w:tblCellMar>
            <w:top w:w="0" w:type="dxa"/>
            <w:bottom w:w="0" w:type="dxa"/>
          </w:tblCellMar>
        </w:tblPrEx>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C7BF0A8" w14:textId="77777777" w:rsidR="00453E37" w:rsidRDefault="00000000">
            <w:r>
              <w:rPr>
                <w:rFonts w:ascii="Arial" w:eastAsia="Arial" w:hAnsi="Arial" w:cs="Arial"/>
                <w:sz w:val="20"/>
                <w:szCs w:val="20"/>
              </w:rPr>
              <w:t>Supply chain disruption (post-Brexit)</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9CC37EB" w14:textId="77777777" w:rsidR="00453E37" w:rsidRDefault="00000000">
            <w:r>
              <w:rPr>
                <w:rFonts w:ascii="Arial" w:eastAsia="Arial" w:hAnsi="Arial" w:cs="Arial"/>
                <w:sz w:val="20"/>
                <w:szCs w:val="20"/>
              </w:rPr>
              <w:t>Medium</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A8A18E0" w14:textId="77777777" w:rsidR="00453E37" w:rsidRDefault="00000000">
            <w:r>
              <w:rPr>
                <w:rFonts w:ascii="Arial" w:eastAsia="Arial" w:hAnsi="Arial" w:cs="Arial"/>
                <w:sz w:val="20"/>
                <w:szCs w:val="20"/>
              </w:rPr>
              <w:t>Medium</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EE90F70"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E01E8CC" w14:textId="77777777" w:rsidR="00453E37" w:rsidRDefault="00000000">
            <w:r>
              <w:rPr>
                <w:rFonts w:ascii="Arial" w:eastAsia="Arial" w:hAnsi="Arial" w:cs="Arial"/>
                <w:sz w:val="20"/>
                <w:szCs w:val="20"/>
              </w:rPr>
              <w:t>Diversified procurement; early procurement strategy</w:t>
            </w:r>
          </w:p>
        </w:tc>
      </w:tr>
      <w:tr w:rsidR="00453E37" w14:paraId="3D45117B" w14:textId="77777777">
        <w:tblPrEx>
          <w:tblCellMar>
            <w:top w:w="0" w:type="dxa"/>
            <w:bottom w:w="0" w:type="dxa"/>
          </w:tblCellMar>
        </w:tblPrEx>
        <w:tc>
          <w:tcPr>
            <w:tcW w:w="18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7E02E24" w14:textId="77777777" w:rsidR="00453E37" w:rsidRDefault="00000000">
            <w:r>
              <w:rPr>
                <w:rFonts w:ascii="Arial" w:eastAsia="Arial" w:hAnsi="Arial" w:cs="Arial"/>
                <w:sz w:val="20"/>
                <w:szCs w:val="20"/>
              </w:rPr>
              <w:t>Stakeholder opposition / public protests</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6E57162F" w14:textId="77777777" w:rsidR="00453E37" w:rsidRDefault="00000000">
            <w:r>
              <w:rPr>
                <w:rFonts w:ascii="Arial" w:eastAsia="Arial" w:hAnsi="Arial" w:cs="Arial"/>
                <w:sz w:val="20"/>
                <w:szCs w:val="20"/>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1DFAF3B3" w14:textId="77777777" w:rsidR="00453E37" w:rsidRDefault="00000000">
            <w:r>
              <w:rPr>
                <w:rFonts w:ascii="Arial" w:eastAsia="Arial" w:hAnsi="Arial" w:cs="Arial"/>
                <w:sz w:val="20"/>
                <w:szCs w:val="20"/>
              </w:rPr>
              <w:t>Medium</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F63DFC9" w14:textId="77777777" w:rsidR="00453E37" w:rsidRDefault="00000000">
            <w:r>
              <w:rPr>
                <w:rFonts w:ascii="Arial" w:eastAsia="Arial" w:hAnsi="Arial" w:cs="Arial"/>
                <w:sz w:val="20"/>
                <w:szCs w:val="20"/>
              </w:rPr>
              <w:t>Low–Medium</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58CFFFA" w14:textId="77777777" w:rsidR="00453E37" w:rsidRDefault="00000000">
            <w:r>
              <w:rPr>
                <w:rFonts w:ascii="Arial" w:eastAsia="Arial" w:hAnsi="Arial" w:cs="Arial"/>
                <w:sz w:val="20"/>
                <w:szCs w:val="20"/>
              </w:rPr>
              <w:t>Proactive community engagement; transparent comms</w:t>
            </w:r>
          </w:p>
        </w:tc>
      </w:tr>
      <w:tr w:rsidR="00453E37" w14:paraId="12FE2422" w14:textId="77777777">
        <w:tblPrEx>
          <w:tblCellMar>
            <w:top w:w="0" w:type="dxa"/>
            <w:bottom w:w="0" w:type="dxa"/>
          </w:tblCellMar>
        </w:tblPrEx>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DBC78AC" w14:textId="77777777" w:rsidR="00453E37" w:rsidRDefault="00000000">
            <w:r>
              <w:rPr>
                <w:rFonts w:ascii="Arial" w:eastAsia="Arial" w:hAnsi="Arial" w:cs="Arial"/>
                <w:sz w:val="20"/>
                <w:szCs w:val="20"/>
              </w:rPr>
              <w:t>Inadequate temporary transport provision</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26E21EB" w14:textId="77777777" w:rsidR="00453E37" w:rsidRDefault="00000000">
            <w:r>
              <w:rPr>
                <w:rFonts w:ascii="Arial" w:eastAsia="Arial" w:hAnsi="Arial" w:cs="Arial"/>
                <w:sz w:val="20"/>
                <w:szCs w:val="20"/>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618207E" w14:textId="77777777" w:rsidR="00453E37" w:rsidRDefault="00000000">
            <w:r>
              <w:rPr>
                <w:rFonts w:ascii="Arial" w:eastAsia="Arial" w:hAnsi="Arial" w:cs="Arial"/>
                <w:sz w:val="20"/>
                <w:szCs w:val="20"/>
              </w:rPr>
              <w:t>High</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6A35FBC"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49C8098" w14:textId="77777777" w:rsidR="00453E37" w:rsidRDefault="00000000">
            <w:r>
              <w:rPr>
                <w:rFonts w:ascii="Arial" w:eastAsia="Arial" w:hAnsi="Arial" w:cs="Arial"/>
                <w:sz w:val="20"/>
                <w:szCs w:val="20"/>
              </w:rPr>
              <w:t>Early mobilisation of contingency routes (Option b)</w:t>
            </w:r>
          </w:p>
        </w:tc>
      </w:tr>
      <w:tr w:rsidR="00453E37" w14:paraId="46E4A2F0" w14:textId="77777777">
        <w:tblPrEx>
          <w:tblCellMar>
            <w:top w:w="0" w:type="dxa"/>
            <w:bottom w:w="0" w:type="dxa"/>
          </w:tblCellMar>
        </w:tblPrEx>
        <w:tc>
          <w:tcPr>
            <w:tcW w:w="18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ABCE8D2" w14:textId="77777777" w:rsidR="00453E37" w:rsidRDefault="00000000">
            <w:r>
              <w:rPr>
                <w:rFonts w:ascii="Arial" w:eastAsia="Arial" w:hAnsi="Arial" w:cs="Arial"/>
                <w:sz w:val="20"/>
                <w:szCs w:val="20"/>
              </w:rPr>
              <w:t>Environmental compliance failure</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C3C8A2A" w14:textId="77777777" w:rsidR="00453E37" w:rsidRDefault="00000000">
            <w:r>
              <w:rPr>
                <w:rFonts w:ascii="Arial" w:eastAsia="Arial" w:hAnsi="Arial" w:cs="Arial"/>
                <w:sz w:val="20"/>
                <w:szCs w:val="20"/>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398D7135" w14:textId="77777777" w:rsidR="00453E37" w:rsidRDefault="00000000">
            <w:r>
              <w:rPr>
                <w:rFonts w:ascii="Arial" w:eastAsia="Arial" w:hAnsi="Arial" w:cs="Arial"/>
                <w:sz w:val="20"/>
                <w:szCs w:val="20"/>
              </w:rPr>
              <w:t>High</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023CD327"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27D2AEC" w14:textId="77777777" w:rsidR="00453E37" w:rsidRDefault="00000000">
            <w:r>
              <w:rPr>
                <w:rFonts w:ascii="Arial" w:eastAsia="Arial" w:hAnsi="Arial" w:cs="Arial"/>
                <w:sz w:val="20"/>
                <w:szCs w:val="20"/>
              </w:rPr>
              <w:t>Dedicated environmental manager; BREEAM target</w:t>
            </w:r>
          </w:p>
        </w:tc>
      </w:tr>
      <w:tr w:rsidR="00453E37" w14:paraId="3FA9E937" w14:textId="77777777">
        <w:tblPrEx>
          <w:tblCellMar>
            <w:top w:w="0" w:type="dxa"/>
            <w:bottom w:w="0" w:type="dxa"/>
          </w:tblCellMar>
        </w:tblPrEx>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C4B9DB0" w14:textId="77777777" w:rsidR="00453E37" w:rsidRDefault="00000000">
            <w:r>
              <w:rPr>
                <w:rFonts w:ascii="Arial" w:eastAsia="Arial" w:hAnsi="Arial" w:cs="Arial"/>
                <w:sz w:val="20"/>
                <w:szCs w:val="20"/>
              </w:rPr>
              <w:t>Digital system integration failure</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BED543D" w14:textId="77777777" w:rsidR="00453E37" w:rsidRDefault="00000000">
            <w:r>
              <w:rPr>
                <w:rFonts w:ascii="Arial" w:eastAsia="Arial" w:hAnsi="Arial" w:cs="Arial"/>
                <w:sz w:val="20"/>
                <w:szCs w:val="20"/>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AC55FD5" w14:textId="77777777" w:rsidR="00453E37" w:rsidRDefault="00000000">
            <w:r>
              <w:rPr>
                <w:rFonts w:ascii="Arial" w:eastAsia="Arial" w:hAnsi="Arial" w:cs="Arial"/>
                <w:sz w:val="20"/>
                <w:szCs w:val="20"/>
              </w:rPr>
              <w:t>Medium</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0FA46A4" w14:textId="77777777" w:rsidR="00453E37" w:rsidRDefault="00000000">
            <w:r>
              <w:rPr>
                <w:rFonts w:ascii="Arial" w:eastAsia="Arial" w:hAnsi="Arial" w:cs="Arial"/>
                <w:sz w:val="20"/>
                <w:szCs w:val="20"/>
              </w:rPr>
              <w:t>Low–Medium</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C7500BB" w14:textId="77777777" w:rsidR="00453E37" w:rsidRDefault="00000000">
            <w:r>
              <w:rPr>
                <w:rFonts w:ascii="Arial" w:eastAsia="Arial" w:hAnsi="Arial" w:cs="Arial"/>
                <w:sz w:val="20"/>
                <w:szCs w:val="20"/>
              </w:rPr>
              <w:t>Phased testing; BIM co-ordination protocols</w:t>
            </w:r>
          </w:p>
        </w:tc>
      </w:tr>
      <w:tr w:rsidR="00453E37" w14:paraId="0A9BA640" w14:textId="77777777">
        <w:tblPrEx>
          <w:tblCellMar>
            <w:top w:w="0" w:type="dxa"/>
            <w:bottom w:w="0" w:type="dxa"/>
          </w:tblCellMar>
        </w:tblPrEx>
        <w:tc>
          <w:tcPr>
            <w:tcW w:w="18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464B04E" w14:textId="77777777" w:rsidR="00453E37" w:rsidRDefault="00000000">
            <w:r>
              <w:rPr>
                <w:rFonts w:ascii="Arial" w:eastAsia="Arial" w:hAnsi="Arial" w:cs="Arial"/>
                <w:sz w:val="20"/>
                <w:szCs w:val="20"/>
              </w:rPr>
              <w:t>Key personnel changes / turnover</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55CC8B8F" w14:textId="77777777" w:rsidR="00453E37" w:rsidRDefault="00000000">
            <w:r>
              <w:rPr>
                <w:rFonts w:ascii="Arial" w:eastAsia="Arial" w:hAnsi="Arial" w:cs="Arial"/>
                <w:sz w:val="20"/>
                <w:szCs w:val="20"/>
              </w:rPr>
              <w:t>Medium</w:t>
            </w:r>
          </w:p>
        </w:tc>
        <w:tc>
          <w:tcPr>
            <w:tcW w:w="1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312C418" w14:textId="77777777" w:rsidR="00453E37" w:rsidRDefault="00000000">
            <w:r>
              <w:rPr>
                <w:rFonts w:ascii="Arial" w:eastAsia="Arial" w:hAnsi="Arial" w:cs="Arial"/>
                <w:sz w:val="20"/>
                <w:szCs w:val="20"/>
              </w:rPr>
              <w:t>Medium</w:t>
            </w:r>
          </w:p>
        </w:tc>
        <w:tc>
          <w:tcPr>
            <w:tcW w:w="14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21F989B6"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DCE6F1"/>
            <w:tcMar>
              <w:top w:w="80" w:type="dxa"/>
              <w:left w:w="140" w:type="dxa"/>
              <w:bottom w:w="80" w:type="dxa"/>
              <w:right w:w="140" w:type="dxa"/>
            </w:tcMar>
          </w:tcPr>
          <w:p w14:paraId="7D24DF68" w14:textId="77777777" w:rsidR="00453E37" w:rsidRDefault="00000000">
            <w:r>
              <w:rPr>
                <w:rFonts w:ascii="Arial" w:eastAsia="Arial" w:hAnsi="Arial" w:cs="Arial"/>
                <w:sz w:val="20"/>
                <w:szCs w:val="20"/>
              </w:rPr>
              <w:t>Knowledge management plan; succession planning</w:t>
            </w:r>
          </w:p>
        </w:tc>
      </w:tr>
      <w:tr w:rsidR="00453E37" w14:paraId="05969433" w14:textId="77777777">
        <w:tblPrEx>
          <w:tblCellMar>
            <w:top w:w="0" w:type="dxa"/>
            <w:bottom w:w="0" w:type="dxa"/>
          </w:tblCellMar>
        </w:tblPrEx>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0459655" w14:textId="77777777" w:rsidR="00453E37" w:rsidRDefault="00000000">
            <w:r>
              <w:rPr>
                <w:rFonts w:ascii="Arial" w:eastAsia="Arial" w:hAnsi="Arial" w:cs="Arial"/>
                <w:sz w:val="20"/>
                <w:szCs w:val="20"/>
              </w:rPr>
              <w:t>Force majeure (extreme weather, pandemic)</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8A4ED61" w14:textId="77777777" w:rsidR="00453E37" w:rsidRDefault="00000000">
            <w:r>
              <w:rPr>
                <w:rFonts w:ascii="Arial" w:eastAsia="Arial" w:hAnsi="Arial" w:cs="Arial"/>
                <w:sz w:val="20"/>
                <w:szCs w:val="20"/>
              </w:rPr>
              <w:t>Low</w:t>
            </w:r>
          </w:p>
        </w:tc>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A338C69" w14:textId="77777777" w:rsidR="00453E37" w:rsidRDefault="00000000">
            <w:r>
              <w:rPr>
                <w:rFonts w:ascii="Arial" w:eastAsia="Arial" w:hAnsi="Arial" w:cs="Arial"/>
                <w:sz w:val="20"/>
                <w:szCs w:val="20"/>
              </w:rPr>
              <w:t>High</w:t>
            </w:r>
          </w:p>
        </w:tc>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69E80BF" w14:textId="77777777" w:rsidR="00453E37" w:rsidRDefault="00000000">
            <w:r>
              <w:rPr>
                <w:rFonts w:ascii="Arial" w:eastAsia="Arial" w:hAnsi="Arial" w:cs="Arial"/>
                <w:sz w:val="20"/>
                <w:szCs w:val="20"/>
              </w:rPr>
              <w:t>Medium</w:t>
            </w:r>
          </w:p>
        </w:tc>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79BDE8BD" w14:textId="77777777" w:rsidR="00453E37" w:rsidRDefault="00000000">
            <w:r>
              <w:rPr>
                <w:rFonts w:ascii="Arial" w:eastAsia="Arial" w:hAnsi="Arial" w:cs="Arial"/>
                <w:sz w:val="20"/>
                <w:szCs w:val="20"/>
              </w:rPr>
              <w:t>Insurance; flexible programme float built in</w:t>
            </w:r>
          </w:p>
        </w:tc>
      </w:tr>
    </w:tbl>
    <w:p w14:paraId="7CC00D9D" w14:textId="77777777" w:rsidR="00453E37" w:rsidRDefault="00453E37"/>
    <w:p w14:paraId="6ED73CDD" w14:textId="77777777" w:rsidR="00453E37" w:rsidRDefault="00000000">
      <w:pPr>
        <w:spacing w:before="80" w:after="160"/>
        <w:jc w:val="both"/>
      </w:pPr>
      <w:r>
        <w:t xml:space="preserve">The highest-rated risks — cost overruns and programme </w:t>
      </w:r>
      <w:proofErr w:type="gramStart"/>
      <w:r>
        <w:t>delays</w:t>
      </w:r>
      <w:proofErr w:type="gramEnd"/>
      <w:r>
        <w:t xml:space="preserve"> from planning disputes — reflect the systemic challenges inherent in large-scale urban infrastructure projects (Bent Flyvbjerg, 2014). Mitigation of cost risk is achieved through fixed-price contracts where feasible and an early procurement strategy that locks in material and labour costs ahead of potential inflationary pressures. Planning risk is mitigated through proactive pre-application engagement with the Local Planning Authority, aligning the scheme with the Local Development Plan from the outset.</w:t>
      </w:r>
    </w:p>
    <w:p w14:paraId="5246DBCD" w14:textId="77777777" w:rsidR="00453E37" w:rsidRDefault="00000000">
      <w:pPr>
        <w:spacing w:before="80" w:after="160"/>
        <w:jc w:val="both"/>
      </w:pPr>
      <w:r>
        <w:t>Environmental compliance failure, while low in likelihood, carries a high impact given the reputational and regulatory consequences. A dedicated environmental manager and a BREEAM Excellent target embedded in the project brief mitigate this risk effectively. The risk register will be reviewed monthly at the Project Board and formally updated at each stage gate, with risk ownership assigned to the most appropriate member of the project team (Atkinson, 1999).</w:t>
      </w:r>
    </w:p>
    <w:p w14:paraId="036B2882" w14:textId="77777777" w:rsidR="00453E37" w:rsidRDefault="00453E37"/>
    <w:p w14:paraId="40FDBF52" w14:textId="77777777" w:rsidR="00453E37" w:rsidRDefault="00000000">
      <w:pPr>
        <w:pStyle w:val="Heading1"/>
      </w:pPr>
      <w:r>
        <w:rPr>
          <w:color w:val="1F4E79"/>
        </w:rPr>
        <w:t>10. Conclusion</w:t>
      </w:r>
    </w:p>
    <w:p w14:paraId="61A17A30" w14:textId="77777777" w:rsidR="00453E37" w:rsidRDefault="00453E37">
      <w:pPr>
        <w:pBdr>
          <w:bottom w:val="single" w:sz="6" w:space="1" w:color="1F4E79"/>
        </w:pBdr>
      </w:pPr>
    </w:p>
    <w:p w14:paraId="0AD975A2" w14:textId="77777777" w:rsidR="00453E37" w:rsidRDefault="00453E37"/>
    <w:p w14:paraId="5382746F" w14:textId="77777777" w:rsidR="00453E37" w:rsidRDefault="00000000">
      <w:pPr>
        <w:spacing w:before="80" w:after="160"/>
        <w:jc w:val="both"/>
      </w:pPr>
      <w:r>
        <w:t>The redevelopment of the central transport hub represents the most strategically significant and enduringly beneficial response to the hub's closure. This Project Management Plan demonstrates that, through the rigorous application of structured project management methodologies — including PRINCE2 governance, PMI PMBOK frameworks, stakeholder engagement principles, and evidence-based risk management — the project can be delivered within a 36-month programme and a £48 million budget to the highest standards of quality, sustainability, and inclusivity.</w:t>
      </w:r>
    </w:p>
    <w:p w14:paraId="4EB9A316" w14:textId="77777777" w:rsidR="00453E37" w:rsidRDefault="00000000">
      <w:pPr>
        <w:spacing w:before="80" w:after="160"/>
        <w:jc w:val="both"/>
      </w:pPr>
      <w:r>
        <w:t>The WBS, Gantt Chart, Quad Chart, Stakeholder Register, Resource Allocation Plan, and Risk Register collectively constitute a robust planning baseline that provides transparency, accountability, and control for all stakeholders. The project's strategic value extends beyond the restoration of transport capacity: it positions the city as a leader in sustainable, digitally enabled, and accessible urban infrastructure, in alignment with national decarbonisation commitments and inclusive design principles.</w:t>
      </w:r>
    </w:p>
    <w:p w14:paraId="42B257E3" w14:textId="77777777" w:rsidR="00453E37" w:rsidRDefault="00000000">
      <w:pPr>
        <w:spacing w:before="80" w:after="160"/>
        <w:jc w:val="both"/>
      </w:pPr>
      <w:r>
        <w:t>Continued proactive stakeholder engagement, disciplined change control, and monthly risk review processes will be essential to maintaining project performance and public confidence throughout the delivery period. The successful completion of this project will deliver lasting economic, social, and environmental value to the city and its communities for decades to come.</w:t>
      </w:r>
    </w:p>
    <w:p w14:paraId="4EE27196" w14:textId="77777777" w:rsidR="00453E37" w:rsidRDefault="00453E37"/>
    <w:p w14:paraId="26C2C677" w14:textId="5B90AEF0" w:rsidR="002F2874" w:rsidRDefault="00000000" w:rsidP="002F2874">
      <w:pPr>
        <w:spacing w:after="180" w:line="360" w:lineRule="auto"/>
        <w:jc w:val="both"/>
      </w:pPr>
      <w:r>
        <w:br w:type="page"/>
      </w:r>
      <w:r w:rsidR="002F2874">
        <w:rPr>
          <w:rFonts w:ascii="Arial" w:eastAsia="Arial" w:hAnsi="Arial" w:cs="Arial"/>
          <w:b/>
          <w:bCs/>
          <w:color w:val="1F4E79"/>
          <w:sz w:val="28"/>
          <w:szCs w:val="28"/>
        </w:rPr>
        <w:lastRenderedPageBreak/>
        <w:t>11</w:t>
      </w:r>
      <w:r w:rsidR="00BC5E04">
        <w:rPr>
          <w:rFonts w:ascii="Arial" w:eastAsia="Arial" w:hAnsi="Arial" w:cs="Arial"/>
          <w:b/>
          <w:bCs/>
          <w:color w:val="1F4E79"/>
          <w:sz w:val="28"/>
          <w:szCs w:val="28"/>
        </w:rPr>
        <w:t>.</w:t>
      </w:r>
      <w:r w:rsidR="00BC5E04">
        <w:rPr>
          <w:color w:val="1F4E79"/>
        </w:rPr>
        <w:t>IntrospectiveEssay</w:t>
      </w:r>
      <w:r w:rsidR="00BC5E04">
        <w:rPr>
          <w:color w:val="1F4E79"/>
        </w:rPr>
        <w:br/>
      </w:r>
      <w:r w:rsidR="00BC5E04">
        <w:rPr>
          <w:color w:val="1F4E79"/>
        </w:rPr>
        <w:br/>
      </w:r>
      <w:r w:rsidR="002F2874">
        <w:rPr>
          <w:rFonts w:ascii="Arial" w:eastAsia="Arial" w:hAnsi="Arial" w:cs="Arial"/>
          <w:color w:val="000000"/>
        </w:rPr>
        <w:t xml:space="preserve">Creating the project proposal poster for the transport hub redevelopment was a challenging but rewarding task. I had to take a complicated real-world situation </w:t>
      </w:r>
      <w:r w:rsidR="002F2874">
        <w:rPr>
          <w:color w:val="000000"/>
        </w:rPr>
        <w:t>(</w:t>
      </w:r>
      <w:r w:rsidR="002F2874">
        <w:rPr>
          <w:rFonts w:ascii="Arial" w:eastAsia="Arial" w:hAnsi="Arial" w:cs="Arial"/>
          <w:color w:val="000000"/>
        </w:rPr>
        <w:t>a hub that was closed due to safety concerns, causing disruption to commuters, businesses and supply chains</w:t>
      </w:r>
      <w:r w:rsidR="002F2874">
        <w:rPr>
          <w:color w:val="000000"/>
        </w:rPr>
        <w:t>)</w:t>
      </w:r>
      <w:r w:rsidR="002F2874">
        <w:rPr>
          <w:rFonts w:ascii="Arial" w:eastAsia="Arial" w:hAnsi="Arial" w:cs="Arial"/>
          <w:color w:val="000000"/>
        </w:rPr>
        <w:t xml:space="preserve"> and present it clearly in one document. Looking back, I think the poster did a good job of this, and receiving distinction-level feedback was really encouraging. That said, the parts of the feedback pointing out what could be better are the ones I have found most useful to think about.</w:t>
      </w:r>
    </w:p>
    <w:p w14:paraId="19448372" w14:textId="77777777" w:rsidR="002F2874" w:rsidRDefault="002F2874" w:rsidP="002F2874"/>
    <w:p w14:paraId="74737970" w14:textId="77777777" w:rsidR="002F2874" w:rsidRDefault="002F2874" w:rsidP="002F2874">
      <w:pPr>
        <w:spacing w:after="180" w:line="360" w:lineRule="auto"/>
        <w:jc w:val="both"/>
      </w:pPr>
      <w:r>
        <w:rPr>
          <w:rFonts w:ascii="Arial" w:eastAsia="Arial" w:hAnsi="Arial" w:cs="Arial"/>
          <w:color w:val="000000"/>
        </w:rPr>
        <w:t>The feedback said the project management principles in the poster were a clear strength. The objectives covered the right areas</w:t>
      </w:r>
      <w:r>
        <w:rPr>
          <w:color w:val="000000"/>
        </w:rPr>
        <w:t xml:space="preserve">, such as </w:t>
      </w:r>
      <w:r>
        <w:rPr>
          <w:rFonts w:ascii="Arial" w:eastAsia="Arial" w:hAnsi="Arial" w:cs="Arial"/>
          <w:color w:val="000000"/>
        </w:rPr>
        <w:t>safety, restoring transport capacity, sustainability and digital technology</w:t>
      </w:r>
      <w:r>
        <w:rPr>
          <w:color w:val="000000"/>
        </w:rPr>
        <w:t>,</w:t>
      </w:r>
      <w:r>
        <w:rPr>
          <w:rFonts w:ascii="Arial" w:eastAsia="Arial" w:hAnsi="Arial" w:cs="Arial"/>
          <w:color w:val="000000"/>
        </w:rPr>
        <w:t xml:space="preserve"> and each one linked back to why the project was needed. I was glad this came through, because I put thought into making sure the objectives were not just a list, but actually connected to each other and to the bigger picture. The scope section was also picked out as being clear and thorough. Being specific about what is and is not included in a project matters a lot in practice</w:t>
      </w:r>
      <w:r>
        <w:rPr>
          <w:color w:val="000000"/>
        </w:rPr>
        <w:t>,</w:t>
      </w:r>
      <w:r>
        <w:rPr>
          <w:rFonts w:ascii="Arial" w:eastAsia="Arial" w:hAnsi="Arial" w:cs="Arial"/>
          <w:color w:val="000000"/>
        </w:rPr>
        <w:t xml:space="preserve"> if the boundaries are not clear from the start, projects tend to grow beyond what was originally planned, which causes delays and budget problems.</w:t>
      </w:r>
    </w:p>
    <w:p w14:paraId="0D06B367" w14:textId="77777777" w:rsidR="002F2874" w:rsidRDefault="002F2874" w:rsidP="002F2874"/>
    <w:p w14:paraId="551D37AE" w14:textId="77777777" w:rsidR="002F2874" w:rsidRDefault="002F2874" w:rsidP="002F2874">
      <w:pPr>
        <w:spacing w:after="180" w:line="360" w:lineRule="auto"/>
        <w:jc w:val="both"/>
      </w:pPr>
      <w:r>
        <w:rPr>
          <w:rFonts w:ascii="Arial" w:eastAsia="Arial" w:hAnsi="Arial" w:cs="Arial"/>
          <w:color w:val="000000"/>
        </w:rPr>
        <w:t>The section on strategic value was highlighted as one of the strongest parts of the poster. I tried to show that this project is about more than just fixing a building. Getting the hub back open helps local businesses recover, rebuilds trust between the public and local government, and gives the city a chance to build something better than what was there before. By designing it to meet net-zero targets from the start, rather than adding green features later, the project also contributes to the city's environmental goals in a meaningful way. I think this broader way of thinking about value is what made that section land well.</w:t>
      </w:r>
    </w:p>
    <w:p w14:paraId="5CEDF011" w14:textId="77777777" w:rsidR="002F2874" w:rsidRDefault="002F2874" w:rsidP="002F2874"/>
    <w:p w14:paraId="2F1F9E8F" w14:textId="77777777" w:rsidR="002F2874" w:rsidRDefault="002F2874" w:rsidP="002F2874">
      <w:pPr>
        <w:spacing w:after="180" w:line="360" w:lineRule="auto"/>
        <w:jc w:val="both"/>
      </w:pPr>
      <w:r>
        <w:rPr>
          <w:rFonts w:ascii="Arial" w:eastAsia="Arial" w:hAnsi="Arial" w:cs="Arial"/>
          <w:color w:val="000000"/>
        </w:rPr>
        <w:t xml:space="preserve">One of the main areas for improvement mentioned in the feedback was that the poster could have included more visual project management tools, such as a stakeholder power-interest matrix, a risk heat map, a Work Breakdown Structure, or a project timeline. Thinking about this now, I can see why. Writing about stakeholders in a table tells the reader who they are, </w:t>
      </w:r>
      <w:r>
        <w:rPr>
          <w:rFonts w:ascii="Arial" w:eastAsia="Arial" w:hAnsi="Arial" w:cs="Arial"/>
          <w:color w:val="000000"/>
        </w:rPr>
        <w:lastRenderedPageBreak/>
        <w:t>but a matrix showing how much power and interest each one has would make it much easier to understand the relationships between them at a glance. The same goes for risks</w:t>
      </w:r>
      <w:r>
        <w:rPr>
          <w:color w:val="000000"/>
        </w:rPr>
        <w:t>,</w:t>
      </w:r>
      <w:r>
        <w:rPr>
          <w:rFonts w:ascii="Arial" w:eastAsia="Arial" w:hAnsi="Arial" w:cs="Arial"/>
          <w:color w:val="000000"/>
        </w:rPr>
        <w:t xml:space="preserve"> a heat map gives an instant visual picture of which risks are most serious, rather than asking the reader to work through a written list. I now understand that these tools are not just extras; they are often the clearest way to communicate certain types of information.</w:t>
      </w:r>
    </w:p>
    <w:p w14:paraId="6B129A61" w14:textId="77777777" w:rsidR="002F2874" w:rsidRDefault="002F2874" w:rsidP="002F2874"/>
    <w:p w14:paraId="43B9718D" w14:textId="77777777" w:rsidR="002F2874" w:rsidRDefault="002F2874" w:rsidP="002F2874">
      <w:pPr>
        <w:spacing w:after="180" w:line="360" w:lineRule="auto"/>
        <w:jc w:val="both"/>
      </w:pPr>
      <w:r>
        <w:rPr>
          <w:rFonts w:ascii="Arial" w:eastAsia="Arial" w:hAnsi="Arial" w:cs="Arial"/>
          <w:color w:val="000000"/>
        </w:rPr>
        <w:t>The feedback also pointed out two other areas to work on. First, some of the objectives could have been more specific</w:t>
      </w:r>
      <w:r>
        <w:rPr>
          <w:color w:val="000000"/>
        </w:rPr>
        <w:t>,</w:t>
      </w:r>
      <w:r>
        <w:rPr>
          <w:rFonts w:ascii="Arial" w:eastAsia="Arial" w:hAnsi="Arial" w:cs="Arial"/>
          <w:color w:val="000000"/>
        </w:rPr>
        <w:t xml:space="preserve"> for example, rather than saying the hub should reach net-zero carbon, it would have been stronger to include a target year or a specific standard to measure against. This would have made the objectives more genuinely SMART. Second, the poster relied mostly on describing the project rather than connecting the ideas to academic sources or frameworks. Referencing established project management thinking</w:t>
      </w:r>
      <w:r>
        <w:rPr>
          <w:color w:val="000000"/>
        </w:rPr>
        <w:t>,</w:t>
      </w:r>
      <w:r>
        <w:rPr>
          <w:rFonts w:ascii="Arial" w:eastAsia="Arial" w:hAnsi="Arial" w:cs="Arial"/>
          <w:color w:val="000000"/>
        </w:rPr>
        <w:t xml:space="preserve"> such as recognised models for stakeholder engagement or risk management</w:t>
      </w:r>
      <w:r>
        <w:rPr>
          <w:color w:val="000000"/>
        </w:rPr>
        <w:t xml:space="preserve">, </w:t>
      </w:r>
      <w:r>
        <w:rPr>
          <w:rFonts w:ascii="Arial" w:eastAsia="Arial" w:hAnsi="Arial" w:cs="Arial"/>
          <w:color w:val="000000"/>
        </w:rPr>
        <w:t>would have added more depth and shown that the approach was grounded in research, not just common sense.</w:t>
      </w:r>
    </w:p>
    <w:p w14:paraId="331BBED6" w14:textId="2B8B5658" w:rsidR="00BC5E04" w:rsidRPr="002F2874" w:rsidRDefault="002F2874" w:rsidP="002F2874">
      <w:pPr>
        <w:spacing w:line="360" w:lineRule="auto"/>
        <w:rPr>
          <w:rFonts w:ascii="Arial" w:hAnsi="Arial" w:cs="Arial"/>
        </w:rPr>
      </w:pPr>
      <w:r w:rsidRPr="002F2874">
        <w:rPr>
          <w:rFonts w:ascii="Arial" w:eastAsia="Arial" w:hAnsi="Arial" w:cs="Arial"/>
        </w:rPr>
        <w:t>Overall, this task has helped me understand more clearly what a good project proposal needs to do. It is not just about covering all the right topics</w:t>
      </w:r>
      <w:r w:rsidRPr="002F2874">
        <w:rPr>
          <w:rFonts w:ascii="Arial" w:hAnsi="Arial" w:cs="Arial"/>
        </w:rPr>
        <w:t>,</w:t>
      </w:r>
      <w:r w:rsidRPr="002F2874">
        <w:rPr>
          <w:rFonts w:ascii="Arial" w:eastAsia="Arial" w:hAnsi="Arial" w:cs="Arial"/>
        </w:rPr>
        <w:t xml:space="preserve"> it is also about presenting information in the most useful way for the people reading it, backing up ideas with evidence, and being specific enough that others can actually measure whether the project has succeeded. The distinction grade is something I am proud of, but the feedback on what to improve is equally valuable. The gaps around visual tools, measurable targets and academic references give me a clear sense of what to focus on going forward</w:t>
      </w:r>
      <w:r w:rsidRPr="002F2874">
        <w:rPr>
          <w:rFonts w:ascii="Arial" w:hAnsi="Arial" w:cs="Arial"/>
        </w:rPr>
        <w:t>.</w:t>
      </w:r>
    </w:p>
    <w:p w14:paraId="7D0E46D6" w14:textId="77777777" w:rsidR="002F2874" w:rsidRDefault="00BC5E04">
      <w:r>
        <w:br/>
      </w:r>
      <w:r>
        <w:br/>
      </w:r>
      <w:r>
        <w:br/>
      </w:r>
    </w:p>
    <w:p w14:paraId="20522925" w14:textId="77777777" w:rsidR="002F2874" w:rsidRDefault="002F2874"/>
    <w:p w14:paraId="4766CD8D" w14:textId="77777777" w:rsidR="002F2874" w:rsidRDefault="002F2874"/>
    <w:p w14:paraId="6794542F" w14:textId="77777777" w:rsidR="002F2874" w:rsidRDefault="002F2874"/>
    <w:p w14:paraId="69A4292F" w14:textId="77777777" w:rsidR="002F2874" w:rsidRDefault="002F2874"/>
    <w:p w14:paraId="215F3CB0" w14:textId="77777777" w:rsidR="002F2874" w:rsidRDefault="002F2874"/>
    <w:p w14:paraId="11209E69" w14:textId="77777777" w:rsidR="002F2874" w:rsidRDefault="002F2874"/>
    <w:p w14:paraId="153AF1B0" w14:textId="77777777" w:rsidR="002F2874" w:rsidRDefault="002F2874"/>
    <w:p w14:paraId="602C6454" w14:textId="2B69CF1A" w:rsidR="00453E37" w:rsidRDefault="00BC5E04">
      <w:r>
        <w:br/>
      </w:r>
      <w:r>
        <w:br/>
      </w:r>
    </w:p>
    <w:p w14:paraId="2211C661" w14:textId="77777777" w:rsidR="00453E37" w:rsidRDefault="00000000">
      <w:pPr>
        <w:pStyle w:val="Heading1"/>
      </w:pPr>
      <w:r>
        <w:rPr>
          <w:color w:val="1F4E79"/>
        </w:rPr>
        <w:lastRenderedPageBreak/>
        <w:t>References</w:t>
      </w:r>
    </w:p>
    <w:p w14:paraId="1EF4453E" w14:textId="77777777" w:rsidR="00453E37" w:rsidRDefault="00453E37">
      <w:pPr>
        <w:pBdr>
          <w:bottom w:val="single" w:sz="6" w:space="1" w:color="1F4E79"/>
        </w:pBdr>
      </w:pPr>
    </w:p>
    <w:p w14:paraId="1C111260" w14:textId="77777777" w:rsidR="00453E37" w:rsidRDefault="00453E37"/>
    <w:p w14:paraId="55FA9EDA" w14:textId="77777777" w:rsidR="00453E37" w:rsidRDefault="00000000">
      <w:pPr>
        <w:spacing w:before="80"/>
        <w:ind w:left="720" w:hanging="720"/>
        <w:jc w:val="both"/>
      </w:pPr>
      <w:r>
        <w:rPr>
          <w:sz w:val="22"/>
          <w:szCs w:val="22"/>
        </w:rPr>
        <w:t xml:space="preserve">Association for Project Management (APM) (2019) APM Body of Knowledge. 7th </w:t>
      </w:r>
      <w:proofErr w:type="spellStart"/>
      <w:r>
        <w:rPr>
          <w:sz w:val="22"/>
          <w:szCs w:val="22"/>
        </w:rPr>
        <w:t>edn</w:t>
      </w:r>
      <w:proofErr w:type="spellEnd"/>
      <w:r>
        <w:rPr>
          <w:sz w:val="22"/>
          <w:szCs w:val="22"/>
        </w:rPr>
        <w:t>. Princes Risborough: APM.</w:t>
      </w:r>
    </w:p>
    <w:p w14:paraId="0AACF0F5" w14:textId="77777777" w:rsidR="00453E37" w:rsidRDefault="00000000">
      <w:pPr>
        <w:spacing w:before="80"/>
        <w:ind w:left="720" w:hanging="720"/>
        <w:jc w:val="both"/>
      </w:pPr>
      <w:r>
        <w:rPr>
          <w:sz w:val="22"/>
          <w:szCs w:val="22"/>
        </w:rPr>
        <w:t>Atkinson, R. (1999) 'Project management: cost, time and quality, two best guesses and a phenomenon, it is time to accept other success criteria', International Journal of Project Management, 17(6), pp. 337–342.</w:t>
      </w:r>
    </w:p>
    <w:p w14:paraId="27A49FBA" w14:textId="77777777" w:rsidR="00453E37" w:rsidRDefault="00000000">
      <w:pPr>
        <w:spacing w:before="80"/>
        <w:ind w:left="720" w:hanging="720"/>
        <w:jc w:val="both"/>
      </w:pPr>
      <w:r>
        <w:rPr>
          <w:sz w:val="22"/>
          <w:szCs w:val="22"/>
        </w:rPr>
        <w:t>Bent Flyvbjerg (2014) 'What you should know about megaprojects and why: an overview', Project Management Journal, 45(2), pp. 6–19.</w:t>
      </w:r>
    </w:p>
    <w:p w14:paraId="7190694D" w14:textId="77777777" w:rsidR="00453E37" w:rsidRDefault="00000000">
      <w:pPr>
        <w:spacing w:before="80"/>
        <w:ind w:left="720" w:hanging="720"/>
        <w:jc w:val="both"/>
      </w:pPr>
      <w:r>
        <w:rPr>
          <w:sz w:val="22"/>
          <w:szCs w:val="22"/>
        </w:rPr>
        <w:t>British Standards Institution (2019) BS 8536-1: Briefing for Design and Construction. London: BSI.</w:t>
      </w:r>
    </w:p>
    <w:p w14:paraId="4C249ACB" w14:textId="77777777" w:rsidR="00453E37" w:rsidRDefault="00000000">
      <w:pPr>
        <w:spacing w:before="80"/>
        <w:ind w:left="720" w:hanging="720"/>
        <w:jc w:val="both"/>
      </w:pPr>
      <w:r>
        <w:rPr>
          <w:sz w:val="22"/>
          <w:szCs w:val="22"/>
        </w:rPr>
        <w:t>Cabinet Office (2011) The Green Book: Appraisal and Evaluation in Central Government. London: HM Treasury.</w:t>
      </w:r>
    </w:p>
    <w:p w14:paraId="33534646" w14:textId="77777777" w:rsidR="00453E37" w:rsidRDefault="00000000">
      <w:pPr>
        <w:spacing w:before="80"/>
        <w:ind w:left="720" w:hanging="720"/>
        <w:jc w:val="both"/>
      </w:pPr>
      <w:r>
        <w:rPr>
          <w:sz w:val="22"/>
          <w:szCs w:val="22"/>
        </w:rPr>
        <w:t>Cicmil, S. and Marshall, D. (2005) 'Insights into collaboration at the project level: complexity, social interaction and procurement mechanisms', Building Research and Information, 33(6), pp. 523–535.</w:t>
      </w:r>
    </w:p>
    <w:p w14:paraId="1CBBADD2" w14:textId="77777777" w:rsidR="00453E37" w:rsidRDefault="00000000">
      <w:pPr>
        <w:spacing w:before="80"/>
        <w:ind w:left="720" w:hanging="720"/>
        <w:jc w:val="both"/>
      </w:pPr>
      <w:r>
        <w:rPr>
          <w:sz w:val="22"/>
          <w:szCs w:val="22"/>
        </w:rPr>
        <w:t xml:space="preserve">Cleland, D.I. and Ireland, L.R. (2006) Project Management: Strategic Design and Implementation. 5th </w:t>
      </w:r>
      <w:proofErr w:type="spellStart"/>
      <w:r>
        <w:rPr>
          <w:sz w:val="22"/>
          <w:szCs w:val="22"/>
        </w:rPr>
        <w:t>edn</w:t>
      </w:r>
      <w:proofErr w:type="spellEnd"/>
      <w:r>
        <w:rPr>
          <w:sz w:val="22"/>
          <w:szCs w:val="22"/>
        </w:rPr>
        <w:t>. New York: McGraw-Hill.</w:t>
      </w:r>
    </w:p>
    <w:p w14:paraId="67080237" w14:textId="4D0DBD13" w:rsidR="00453E37" w:rsidRDefault="00000000">
      <w:pPr>
        <w:spacing w:before="80"/>
        <w:ind w:left="720" w:hanging="720"/>
        <w:jc w:val="both"/>
      </w:pPr>
      <w:r>
        <w:rPr>
          <w:sz w:val="22"/>
          <w:szCs w:val="22"/>
        </w:rPr>
        <w:t xml:space="preserve">Department for Transport (2023) Transport Decarbonisation Plan: Progress Report 2023. London: </w:t>
      </w:r>
      <w:proofErr w:type="spellStart"/>
      <w:r>
        <w:rPr>
          <w:sz w:val="22"/>
          <w:szCs w:val="22"/>
        </w:rPr>
        <w:t>DfT.</w:t>
      </w:r>
      <w:proofErr w:type="spellEnd"/>
      <w:r>
        <w:rPr>
          <w:sz w:val="22"/>
          <w:szCs w:val="22"/>
        </w:rPr>
        <w:t xml:space="preserve"> Available at: https://www.gov.uk </w:t>
      </w:r>
    </w:p>
    <w:p w14:paraId="3949E946" w14:textId="77777777" w:rsidR="00453E37" w:rsidRDefault="00000000">
      <w:pPr>
        <w:spacing w:before="80"/>
        <w:ind w:left="720" w:hanging="720"/>
        <w:jc w:val="both"/>
      </w:pPr>
      <w:r>
        <w:rPr>
          <w:sz w:val="22"/>
          <w:szCs w:val="22"/>
        </w:rPr>
        <w:t>Elkington, J. (1997) Cannibals with Forks: The Triple Bottom Line of 21st Century Business. Oxford: Capstone.</w:t>
      </w:r>
    </w:p>
    <w:p w14:paraId="6386EE7B" w14:textId="77777777" w:rsidR="00453E37" w:rsidRDefault="00000000">
      <w:pPr>
        <w:spacing w:before="80"/>
        <w:ind w:left="720" w:hanging="720"/>
        <w:jc w:val="both"/>
      </w:pPr>
      <w:r>
        <w:rPr>
          <w:sz w:val="22"/>
          <w:szCs w:val="22"/>
        </w:rPr>
        <w:t>Freeman, R.E. (1984) Strategic Management: A Stakeholder Approach. Boston: Pitman.</w:t>
      </w:r>
    </w:p>
    <w:p w14:paraId="4A77CC89" w14:textId="77777777" w:rsidR="00453E37" w:rsidRDefault="00000000">
      <w:pPr>
        <w:spacing w:before="80"/>
        <w:ind w:left="720" w:hanging="720"/>
        <w:jc w:val="both"/>
      </w:pPr>
      <w:r>
        <w:rPr>
          <w:sz w:val="22"/>
          <w:szCs w:val="22"/>
        </w:rPr>
        <w:t xml:space="preserve">Kerzner, H. (2022) Project Management: A Systems Approach to Planning, Scheduling, and Controlling. 13th </w:t>
      </w:r>
      <w:proofErr w:type="spellStart"/>
      <w:r>
        <w:rPr>
          <w:sz w:val="22"/>
          <w:szCs w:val="22"/>
        </w:rPr>
        <w:t>edn</w:t>
      </w:r>
      <w:proofErr w:type="spellEnd"/>
      <w:r>
        <w:rPr>
          <w:sz w:val="22"/>
          <w:szCs w:val="22"/>
        </w:rPr>
        <w:t>. New Jersey: Wiley.</w:t>
      </w:r>
    </w:p>
    <w:p w14:paraId="70EE742A" w14:textId="77777777" w:rsidR="00453E37" w:rsidRDefault="00000000">
      <w:pPr>
        <w:spacing w:before="80"/>
        <w:ind w:left="720" w:hanging="720"/>
        <w:jc w:val="both"/>
      </w:pPr>
      <w:r>
        <w:rPr>
          <w:sz w:val="22"/>
          <w:szCs w:val="22"/>
        </w:rPr>
        <w:t xml:space="preserve">Maylor, H. (2010) Project Management. 4th </w:t>
      </w:r>
      <w:proofErr w:type="spellStart"/>
      <w:r>
        <w:rPr>
          <w:sz w:val="22"/>
          <w:szCs w:val="22"/>
        </w:rPr>
        <w:t>edn</w:t>
      </w:r>
      <w:proofErr w:type="spellEnd"/>
      <w:r>
        <w:rPr>
          <w:sz w:val="22"/>
          <w:szCs w:val="22"/>
        </w:rPr>
        <w:t>. Harlow: Financial Times Prentice Hall.</w:t>
      </w:r>
    </w:p>
    <w:p w14:paraId="06EB6BA5" w14:textId="1DBBEA06" w:rsidR="00453E37" w:rsidRDefault="00000000">
      <w:pPr>
        <w:spacing w:before="80"/>
        <w:ind w:left="720" w:hanging="720"/>
        <w:jc w:val="both"/>
      </w:pPr>
      <w:r>
        <w:rPr>
          <w:sz w:val="22"/>
          <w:szCs w:val="22"/>
        </w:rPr>
        <w:t xml:space="preserve">National Audit Office (2020) Lessons Learned from Major Projects. London: NAO. Available at: https://www.nao.org.uk </w:t>
      </w:r>
    </w:p>
    <w:p w14:paraId="108D3A23" w14:textId="77777777" w:rsidR="00453E37" w:rsidRDefault="00000000">
      <w:pPr>
        <w:spacing w:before="80"/>
        <w:ind w:left="720" w:hanging="720"/>
        <w:jc w:val="both"/>
      </w:pPr>
      <w:r>
        <w:rPr>
          <w:sz w:val="22"/>
          <w:szCs w:val="22"/>
        </w:rPr>
        <w:t xml:space="preserve">Office of Government Commerce (OGC) (2009) Managing Successful Projects with PRINCE2. 5th </w:t>
      </w:r>
      <w:proofErr w:type="spellStart"/>
      <w:r>
        <w:rPr>
          <w:sz w:val="22"/>
          <w:szCs w:val="22"/>
        </w:rPr>
        <w:t>edn</w:t>
      </w:r>
      <w:proofErr w:type="spellEnd"/>
      <w:r>
        <w:rPr>
          <w:sz w:val="22"/>
          <w:szCs w:val="22"/>
        </w:rPr>
        <w:t>. London: The Stationery Office.</w:t>
      </w:r>
    </w:p>
    <w:p w14:paraId="14FC161A" w14:textId="77777777" w:rsidR="00453E37" w:rsidRDefault="00000000">
      <w:pPr>
        <w:spacing w:before="80"/>
        <w:ind w:left="720" w:hanging="720"/>
        <w:jc w:val="both"/>
      </w:pPr>
      <w:r>
        <w:rPr>
          <w:sz w:val="22"/>
          <w:szCs w:val="22"/>
        </w:rPr>
        <w:t xml:space="preserve">Project Management Institute (PMI) (2021) A Guide to the Project Management Body of Knowledge (PMBOK Guide). 7th </w:t>
      </w:r>
      <w:proofErr w:type="spellStart"/>
      <w:r>
        <w:rPr>
          <w:sz w:val="22"/>
          <w:szCs w:val="22"/>
        </w:rPr>
        <w:t>edn</w:t>
      </w:r>
      <w:proofErr w:type="spellEnd"/>
      <w:r>
        <w:rPr>
          <w:sz w:val="22"/>
          <w:szCs w:val="22"/>
        </w:rPr>
        <w:t>. Newtown Square: PMI.</w:t>
      </w:r>
    </w:p>
    <w:p w14:paraId="25E89E91" w14:textId="77777777" w:rsidR="00453E37" w:rsidRDefault="00000000">
      <w:pPr>
        <w:spacing w:before="80"/>
        <w:ind w:left="720" w:hanging="720"/>
        <w:jc w:val="both"/>
      </w:pPr>
      <w:r>
        <w:rPr>
          <w:sz w:val="22"/>
          <w:szCs w:val="22"/>
        </w:rPr>
        <w:t>Ward, S. and Chapman, C. (2003) 'Transforming project risk management into project uncertainty management', International Journal of Project Management, 21(2), pp. 97–105.</w:t>
      </w:r>
    </w:p>
    <w:sectPr w:rsidR="00453E37">
      <w:footerReference w:type="default" r:id="rId7"/>
      <w:pgSz w:w="11906" w:h="16838"/>
      <w:pgMar w:top="1440" w:right="1080" w:bottom="144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6E3913" w14:textId="77777777" w:rsidR="00ED3E96" w:rsidRDefault="00ED3E96">
      <w:pPr>
        <w:spacing w:after="0"/>
      </w:pPr>
      <w:r>
        <w:separator/>
      </w:r>
    </w:p>
  </w:endnote>
  <w:endnote w:type="continuationSeparator" w:id="0">
    <w:p w14:paraId="1ECF9345" w14:textId="77777777" w:rsidR="00ED3E96" w:rsidRDefault="00ED3E9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E571DD" w14:textId="77777777" w:rsidR="00453E37" w:rsidRDefault="00000000">
    <w:pPr>
      <w:pBdr>
        <w:top w:val="single" w:sz="4" w:space="1" w:color="1F4E79"/>
      </w:pBdr>
      <w:spacing w:before="120"/>
      <w:jc w:val="right"/>
    </w:pPr>
    <w:r>
      <w:rPr>
        <w:rFonts w:ascii="Arial" w:eastAsia="Arial" w:hAnsi="Arial" w:cs="Arial"/>
        <w:color w:val="555555"/>
        <w:sz w:val="18"/>
        <w:szCs w:val="18"/>
      </w:rPr>
      <w:t xml:space="preserve">Page </w:t>
    </w:r>
    <w:r>
      <w:rPr>
        <w:rFonts w:ascii="Arial" w:eastAsia="Arial" w:hAnsi="Arial" w:cs="Arial"/>
        <w:color w:val="555555"/>
        <w:sz w:val="18"/>
        <w:szCs w:val="18"/>
      </w:rPr>
      <w:fldChar w:fldCharType="begin"/>
    </w:r>
    <w:r>
      <w:rPr>
        <w:rFonts w:ascii="Arial" w:eastAsia="Arial" w:hAnsi="Arial" w:cs="Arial"/>
        <w:color w:val="555555"/>
        <w:sz w:val="18"/>
        <w:szCs w:val="18"/>
      </w:rPr>
      <w:instrText>PAGE</w:instrText>
    </w:r>
    <w:r>
      <w:rPr>
        <w:rFonts w:ascii="Arial" w:eastAsia="Arial" w:hAnsi="Arial" w:cs="Arial"/>
        <w:color w:val="555555"/>
        <w:sz w:val="18"/>
        <w:szCs w:val="18"/>
      </w:rPr>
      <w:fldChar w:fldCharType="separate"/>
    </w:r>
    <w:r w:rsidR="009A5BBA">
      <w:rPr>
        <w:rFonts w:ascii="Arial" w:eastAsia="Arial" w:hAnsi="Arial" w:cs="Arial"/>
        <w:noProof/>
        <w:color w:val="555555"/>
        <w:sz w:val="18"/>
        <w:szCs w:val="18"/>
      </w:rPr>
      <w:t>1</w:t>
    </w:r>
    <w:r>
      <w:rPr>
        <w:rFonts w:ascii="Arial" w:eastAsia="Arial" w:hAnsi="Arial" w:cs="Arial"/>
        <w:color w:val="555555"/>
        <w:sz w:val="18"/>
        <w:szCs w:val="18"/>
      </w:rPr>
      <w:fldChar w:fldCharType="end"/>
    </w:r>
    <w:r>
      <w:rPr>
        <w:rFonts w:ascii="Arial" w:eastAsia="Arial" w:hAnsi="Arial" w:cs="Arial"/>
        <w:color w:val="555555"/>
        <w:sz w:val="18"/>
        <w:szCs w:val="18"/>
      </w:rPr>
      <w:t xml:space="preserve"> of </w:t>
    </w:r>
    <w:r>
      <w:rPr>
        <w:rFonts w:ascii="Arial" w:eastAsia="Arial" w:hAnsi="Arial" w:cs="Arial"/>
        <w:color w:val="555555"/>
        <w:sz w:val="18"/>
        <w:szCs w:val="18"/>
      </w:rPr>
      <w:fldChar w:fldCharType="begin"/>
    </w:r>
    <w:r>
      <w:rPr>
        <w:rFonts w:ascii="Arial" w:eastAsia="Arial" w:hAnsi="Arial" w:cs="Arial"/>
        <w:color w:val="555555"/>
        <w:sz w:val="18"/>
        <w:szCs w:val="18"/>
      </w:rPr>
      <w:instrText>NUMPAGES</w:instrText>
    </w:r>
    <w:r>
      <w:rPr>
        <w:rFonts w:ascii="Arial" w:eastAsia="Arial" w:hAnsi="Arial" w:cs="Arial"/>
        <w:color w:val="555555"/>
        <w:sz w:val="18"/>
        <w:szCs w:val="18"/>
      </w:rPr>
      <w:fldChar w:fldCharType="separate"/>
    </w:r>
    <w:r w:rsidR="009A5BBA">
      <w:rPr>
        <w:rFonts w:ascii="Arial" w:eastAsia="Arial" w:hAnsi="Arial" w:cs="Arial"/>
        <w:noProof/>
        <w:color w:val="555555"/>
        <w:sz w:val="18"/>
        <w:szCs w:val="18"/>
      </w:rPr>
      <w:t>2</w:t>
    </w:r>
    <w:r>
      <w:rPr>
        <w:rFonts w:ascii="Arial" w:eastAsia="Arial" w:hAnsi="Arial" w:cs="Arial"/>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E311D5" w14:textId="77777777" w:rsidR="00ED3E96" w:rsidRDefault="00ED3E96">
      <w:pPr>
        <w:spacing w:after="0"/>
      </w:pPr>
      <w:r>
        <w:separator/>
      </w:r>
    </w:p>
  </w:footnote>
  <w:footnote w:type="continuationSeparator" w:id="0">
    <w:p w14:paraId="3EE55D1D" w14:textId="77777777" w:rsidR="00ED3E96" w:rsidRDefault="00ED3E9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54D12"/>
    <w:multiLevelType w:val="hybridMultilevel"/>
    <w:tmpl w:val="747AF096"/>
    <w:lvl w:ilvl="0" w:tplc="E2A461BA">
      <w:numFmt w:val="bullet"/>
      <w:lvlText w:val="-"/>
      <w:lvlJc w:val="left"/>
      <w:pPr>
        <w:ind w:left="660" w:hanging="360"/>
      </w:pPr>
      <w:rPr>
        <w:rFonts w:ascii="Times New Roman" w:eastAsia="Times New Roman" w:hAnsi="Times New Roman" w:cs="Times New Roman" w:hint="default"/>
      </w:rPr>
    </w:lvl>
    <w:lvl w:ilvl="1" w:tplc="08090003" w:tentative="1">
      <w:start w:val="1"/>
      <w:numFmt w:val="bullet"/>
      <w:lvlText w:val="o"/>
      <w:lvlJc w:val="left"/>
      <w:pPr>
        <w:ind w:left="1380" w:hanging="360"/>
      </w:pPr>
      <w:rPr>
        <w:rFonts w:ascii="Courier New" w:hAnsi="Courier New" w:cs="Courier New" w:hint="default"/>
      </w:rPr>
    </w:lvl>
    <w:lvl w:ilvl="2" w:tplc="08090005" w:tentative="1">
      <w:start w:val="1"/>
      <w:numFmt w:val="bullet"/>
      <w:lvlText w:val=""/>
      <w:lvlJc w:val="left"/>
      <w:pPr>
        <w:ind w:left="2100" w:hanging="360"/>
      </w:pPr>
      <w:rPr>
        <w:rFonts w:ascii="Wingdings" w:hAnsi="Wingdings" w:hint="default"/>
      </w:rPr>
    </w:lvl>
    <w:lvl w:ilvl="3" w:tplc="08090001" w:tentative="1">
      <w:start w:val="1"/>
      <w:numFmt w:val="bullet"/>
      <w:lvlText w:val=""/>
      <w:lvlJc w:val="left"/>
      <w:pPr>
        <w:ind w:left="2820" w:hanging="360"/>
      </w:pPr>
      <w:rPr>
        <w:rFonts w:ascii="Symbol" w:hAnsi="Symbol" w:hint="default"/>
      </w:rPr>
    </w:lvl>
    <w:lvl w:ilvl="4" w:tplc="08090003" w:tentative="1">
      <w:start w:val="1"/>
      <w:numFmt w:val="bullet"/>
      <w:lvlText w:val="o"/>
      <w:lvlJc w:val="left"/>
      <w:pPr>
        <w:ind w:left="3540" w:hanging="360"/>
      </w:pPr>
      <w:rPr>
        <w:rFonts w:ascii="Courier New" w:hAnsi="Courier New" w:cs="Courier New" w:hint="default"/>
      </w:rPr>
    </w:lvl>
    <w:lvl w:ilvl="5" w:tplc="08090005" w:tentative="1">
      <w:start w:val="1"/>
      <w:numFmt w:val="bullet"/>
      <w:lvlText w:val=""/>
      <w:lvlJc w:val="left"/>
      <w:pPr>
        <w:ind w:left="4260" w:hanging="360"/>
      </w:pPr>
      <w:rPr>
        <w:rFonts w:ascii="Wingdings" w:hAnsi="Wingdings" w:hint="default"/>
      </w:rPr>
    </w:lvl>
    <w:lvl w:ilvl="6" w:tplc="08090001" w:tentative="1">
      <w:start w:val="1"/>
      <w:numFmt w:val="bullet"/>
      <w:lvlText w:val=""/>
      <w:lvlJc w:val="left"/>
      <w:pPr>
        <w:ind w:left="4980" w:hanging="360"/>
      </w:pPr>
      <w:rPr>
        <w:rFonts w:ascii="Symbol" w:hAnsi="Symbol" w:hint="default"/>
      </w:rPr>
    </w:lvl>
    <w:lvl w:ilvl="7" w:tplc="08090003" w:tentative="1">
      <w:start w:val="1"/>
      <w:numFmt w:val="bullet"/>
      <w:lvlText w:val="o"/>
      <w:lvlJc w:val="left"/>
      <w:pPr>
        <w:ind w:left="5700" w:hanging="360"/>
      </w:pPr>
      <w:rPr>
        <w:rFonts w:ascii="Courier New" w:hAnsi="Courier New" w:cs="Courier New" w:hint="default"/>
      </w:rPr>
    </w:lvl>
    <w:lvl w:ilvl="8" w:tplc="08090005" w:tentative="1">
      <w:start w:val="1"/>
      <w:numFmt w:val="bullet"/>
      <w:lvlText w:val=""/>
      <w:lvlJc w:val="left"/>
      <w:pPr>
        <w:ind w:left="6420" w:hanging="360"/>
      </w:pPr>
      <w:rPr>
        <w:rFonts w:ascii="Wingdings" w:hAnsi="Wingdings" w:hint="default"/>
      </w:rPr>
    </w:lvl>
  </w:abstractNum>
  <w:abstractNum w:abstractNumId="1" w15:restartNumberingAfterBreak="0">
    <w:nsid w:val="181B75A7"/>
    <w:multiLevelType w:val="hybridMultilevel"/>
    <w:tmpl w:val="C9FC50FE"/>
    <w:lvl w:ilvl="0" w:tplc="B81E0D60">
      <w:start w:val="1"/>
      <w:numFmt w:val="bullet"/>
      <w:lvlText w:val="•"/>
      <w:lvlJc w:val="left"/>
      <w:pPr>
        <w:ind w:left="600" w:hanging="300"/>
      </w:pPr>
    </w:lvl>
    <w:lvl w:ilvl="1" w:tplc="8592ACF6">
      <w:numFmt w:val="decimal"/>
      <w:lvlText w:val=""/>
      <w:lvlJc w:val="left"/>
    </w:lvl>
    <w:lvl w:ilvl="2" w:tplc="ECCCCEAA">
      <w:numFmt w:val="decimal"/>
      <w:lvlText w:val=""/>
      <w:lvlJc w:val="left"/>
    </w:lvl>
    <w:lvl w:ilvl="3" w:tplc="FE84C3AA">
      <w:numFmt w:val="decimal"/>
      <w:lvlText w:val=""/>
      <w:lvlJc w:val="left"/>
    </w:lvl>
    <w:lvl w:ilvl="4" w:tplc="F7AACE12">
      <w:numFmt w:val="decimal"/>
      <w:lvlText w:val=""/>
      <w:lvlJc w:val="left"/>
    </w:lvl>
    <w:lvl w:ilvl="5" w:tplc="1D5C9756">
      <w:numFmt w:val="decimal"/>
      <w:lvlText w:val=""/>
      <w:lvlJc w:val="left"/>
    </w:lvl>
    <w:lvl w:ilvl="6" w:tplc="5906968E">
      <w:numFmt w:val="decimal"/>
      <w:lvlText w:val=""/>
      <w:lvlJc w:val="left"/>
    </w:lvl>
    <w:lvl w:ilvl="7" w:tplc="2B769280">
      <w:numFmt w:val="decimal"/>
      <w:lvlText w:val=""/>
      <w:lvlJc w:val="left"/>
    </w:lvl>
    <w:lvl w:ilvl="8" w:tplc="D436A62A">
      <w:numFmt w:val="decimal"/>
      <w:lvlText w:val=""/>
      <w:lvlJc w:val="left"/>
    </w:lvl>
  </w:abstractNum>
  <w:abstractNum w:abstractNumId="2" w15:restartNumberingAfterBreak="0">
    <w:nsid w:val="64B961A1"/>
    <w:multiLevelType w:val="hybridMultilevel"/>
    <w:tmpl w:val="A2F401C2"/>
    <w:lvl w:ilvl="0" w:tplc="B0CAB46C">
      <w:start w:val="1"/>
      <w:numFmt w:val="bullet"/>
      <w:lvlText w:val="●"/>
      <w:lvlJc w:val="left"/>
      <w:pPr>
        <w:ind w:left="720" w:hanging="360"/>
      </w:pPr>
    </w:lvl>
    <w:lvl w:ilvl="1" w:tplc="063C6D0E">
      <w:start w:val="1"/>
      <w:numFmt w:val="bullet"/>
      <w:lvlText w:val="○"/>
      <w:lvlJc w:val="left"/>
      <w:pPr>
        <w:ind w:left="1440" w:hanging="360"/>
      </w:pPr>
    </w:lvl>
    <w:lvl w:ilvl="2" w:tplc="0CE2B864">
      <w:start w:val="1"/>
      <w:numFmt w:val="bullet"/>
      <w:lvlText w:val="■"/>
      <w:lvlJc w:val="left"/>
      <w:pPr>
        <w:ind w:left="2160" w:hanging="360"/>
      </w:pPr>
    </w:lvl>
    <w:lvl w:ilvl="3" w:tplc="5D306E40">
      <w:start w:val="1"/>
      <w:numFmt w:val="bullet"/>
      <w:lvlText w:val="●"/>
      <w:lvlJc w:val="left"/>
      <w:pPr>
        <w:ind w:left="2880" w:hanging="360"/>
      </w:pPr>
    </w:lvl>
    <w:lvl w:ilvl="4" w:tplc="F3C46D0A">
      <w:start w:val="1"/>
      <w:numFmt w:val="bullet"/>
      <w:lvlText w:val="○"/>
      <w:lvlJc w:val="left"/>
      <w:pPr>
        <w:ind w:left="3600" w:hanging="360"/>
      </w:pPr>
    </w:lvl>
    <w:lvl w:ilvl="5" w:tplc="9A9A7E92">
      <w:start w:val="1"/>
      <w:numFmt w:val="bullet"/>
      <w:lvlText w:val="■"/>
      <w:lvlJc w:val="left"/>
      <w:pPr>
        <w:ind w:left="4320" w:hanging="360"/>
      </w:pPr>
    </w:lvl>
    <w:lvl w:ilvl="6" w:tplc="3B2EB1E0">
      <w:start w:val="1"/>
      <w:numFmt w:val="bullet"/>
      <w:lvlText w:val="●"/>
      <w:lvlJc w:val="left"/>
      <w:pPr>
        <w:ind w:left="5040" w:hanging="360"/>
      </w:pPr>
    </w:lvl>
    <w:lvl w:ilvl="7" w:tplc="59FA3D06">
      <w:start w:val="1"/>
      <w:numFmt w:val="bullet"/>
      <w:lvlText w:val="●"/>
      <w:lvlJc w:val="left"/>
      <w:pPr>
        <w:ind w:left="5760" w:hanging="360"/>
      </w:pPr>
    </w:lvl>
    <w:lvl w:ilvl="8" w:tplc="71B22FC2">
      <w:start w:val="1"/>
      <w:numFmt w:val="bullet"/>
      <w:lvlText w:val="●"/>
      <w:lvlJc w:val="left"/>
      <w:pPr>
        <w:ind w:left="6480" w:hanging="360"/>
      </w:pPr>
    </w:lvl>
  </w:abstractNum>
  <w:abstractNum w:abstractNumId="3" w15:restartNumberingAfterBreak="0">
    <w:nsid w:val="670C0AB8"/>
    <w:multiLevelType w:val="multilevel"/>
    <w:tmpl w:val="C68213E2"/>
    <w:lvl w:ilvl="0">
      <w:start w:val="3"/>
      <w:numFmt w:val="decimal"/>
      <w:lvlText w:val="%1"/>
      <w:lvlJc w:val="left"/>
      <w:pPr>
        <w:ind w:left="360" w:hanging="360"/>
      </w:pPr>
      <w:rPr>
        <w:rFonts w:hint="default"/>
        <w:color w:val="2E75B6"/>
      </w:rPr>
    </w:lvl>
    <w:lvl w:ilvl="1">
      <w:start w:val="1"/>
      <w:numFmt w:val="decimal"/>
      <w:lvlText w:val="%1.%2"/>
      <w:lvlJc w:val="left"/>
      <w:pPr>
        <w:ind w:left="360" w:hanging="360"/>
      </w:pPr>
      <w:rPr>
        <w:rFonts w:hint="default"/>
        <w:color w:val="2E75B6"/>
      </w:rPr>
    </w:lvl>
    <w:lvl w:ilvl="2">
      <w:start w:val="1"/>
      <w:numFmt w:val="decimal"/>
      <w:lvlText w:val="%1.%2.%3"/>
      <w:lvlJc w:val="left"/>
      <w:pPr>
        <w:ind w:left="720" w:hanging="720"/>
      </w:pPr>
      <w:rPr>
        <w:rFonts w:hint="default"/>
        <w:color w:val="2E75B6"/>
      </w:rPr>
    </w:lvl>
    <w:lvl w:ilvl="3">
      <w:start w:val="1"/>
      <w:numFmt w:val="decimal"/>
      <w:lvlText w:val="%1.%2.%3.%4"/>
      <w:lvlJc w:val="left"/>
      <w:pPr>
        <w:ind w:left="720" w:hanging="720"/>
      </w:pPr>
      <w:rPr>
        <w:rFonts w:hint="default"/>
        <w:color w:val="2E75B6"/>
      </w:rPr>
    </w:lvl>
    <w:lvl w:ilvl="4">
      <w:start w:val="1"/>
      <w:numFmt w:val="decimal"/>
      <w:lvlText w:val="%1.%2.%3.%4.%5"/>
      <w:lvlJc w:val="left"/>
      <w:pPr>
        <w:ind w:left="1080" w:hanging="1080"/>
      </w:pPr>
      <w:rPr>
        <w:rFonts w:hint="default"/>
        <w:color w:val="2E75B6"/>
      </w:rPr>
    </w:lvl>
    <w:lvl w:ilvl="5">
      <w:start w:val="1"/>
      <w:numFmt w:val="decimal"/>
      <w:lvlText w:val="%1.%2.%3.%4.%5.%6"/>
      <w:lvlJc w:val="left"/>
      <w:pPr>
        <w:ind w:left="1080" w:hanging="1080"/>
      </w:pPr>
      <w:rPr>
        <w:rFonts w:hint="default"/>
        <w:color w:val="2E75B6"/>
      </w:rPr>
    </w:lvl>
    <w:lvl w:ilvl="6">
      <w:start w:val="1"/>
      <w:numFmt w:val="decimal"/>
      <w:lvlText w:val="%1.%2.%3.%4.%5.%6.%7"/>
      <w:lvlJc w:val="left"/>
      <w:pPr>
        <w:ind w:left="1440" w:hanging="1440"/>
      </w:pPr>
      <w:rPr>
        <w:rFonts w:hint="default"/>
        <w:color w:val="2E75B6"/>
      </w:rPr>
    </w:lvl>
    <w:lvl w:ilvl="7">
      <w:start w:val="1"/>
      <w:numFmt w:val="decimal"/>
      <w:lvlText w:val="%1.%2.%3.%4.%5.%6.%7.%8"/>
      <w:lvlJc w:val="left"/>
      <w:pPr>
        <w:ind w:left="1440" w:hanging="1440"/>
      </w:pPr>
      <w:rPr>
        <w:rFonts w:hint="default"/>
        <w:color w:val="2E75B6"/>
      </w:rPr>
    </w:lvl>
    <w:lvl w:ilvl="8">
      <w:start w:val="1"/>
      <w:numFmt w:val="decimal"/>
      <w:lvlText w:val="%1.%2.%3.%4.%5.%6.%7.%8.%9"/>
      <w:lvlJc w:val="left"/>
      <w:pPr>
        <w:ind w:left="1800" w:hanging="1800"/>
      </w:pPr>
      <w:rPr>
        <w:rFonts w:hint="default"/>
        <w:color w:val="2E75B6"/>
      </w:rPr>
    </w:lvl>
  </w:abstractNum>
  <w:num w:numId="1" w16cid:durableId="1855027122">
    <w:abstractNumId w:val="2"/>
    <w:lvlOverride w:ilvl="0">
      <w:startOverride w:val="1"/>
    </w:lvlOverride>
  </w:num>
  <w:num w:numId="2" w16cid:durableId="1277567270">
    <w:abstractNumId w:val="1"/>
    <w:lvlOverride w:ilvl="0">
      <w:startOverride w:val="1"/>
    </w:lvlOverride>
  </w:num>
  <w:num w:numId="3" w16cid:durableId="1533882417">
    <w:abstractNumId w:val="0"/>
  </w:num>
  <w:num w:numId="4" w16cid:durableId="3350336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3E37"/>
    <w:rsid w:val="001F0E54"/>
    <w:rsid w:val="002F2874"/>
    <w:rsid w:val="003B1BD7"/>
    <w:rsid w:val="00453E37"/>
    <w:rsid w:val="009A5BBA"/>
    <w:rsid w:val="00BC5E04"/>
    <w:rsid w:val="00D71BD1"/>
    <w:rsid w:val="00ED3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B881E"/>
  <w15:docId w15:val="{877C104A-A3E5-4B1D-B245-0333AD3E3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rFonts w:ascii="Arial" w:eastAsia="Arial" w:hAnsi="Arial" w:cs="Arial"/>
      <w:b/>
      <w:bCs/>
      <w:sz w:val="28"/>
      <w:szCs w:val="28"/>
    </w:rPr>
  </w:style>
  <w:style w:type="paragraph" w:styleId="Heading2">
    <w:name w:val="heading 2"/>
    <w:uiPriority w:val="9"/>
    <w:unhideWhenUsed/>
    <w:qFormat/>
    <w:pPr>
      <w:spacing w:before="240" w:after="120"/>
      <w:outlineLvl w:val="1"/>
    </w:pPr>
    <w:rPr>
      <w:rFonts w:ascii="Arial" w:eastAsia="Arial" w:hAnsi="Arial" w:cs="Arial"/>
      <w:b/>
      <w:bCs/>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after="0"/>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after="0"/>
    </w:pPr>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9A5BBA"/>
    <w:pPr>
      <w:tabs>
        <w:tab w:val="center" w:pos="4513"/>
        <w:tab w:val="right" w:pos="9026"/>
      </w:tabs>
    </w:pPr>
  </w:style>
  <w:style w:type="character" w:customStyle="1" w:styleId="HeaderChar">
    <w:name w:val="Header Char"/>
    <w:basedOn w:val="DefaultParagraphFont"/>
    <w:link w:val="Header"/>
    <w:uiPriority w:val="99"/>
    <w:rsid w:val="009A5BBA"/>
  </w:style>
  <w:style w:type="paragraph" w:styleId="Footer">
    <w:name w:val="footer"/>
    <w:basedOn w:val="Normal"/>
    <w:link w:val="FooterChar"/>
    <w:uiPriority w:val="99"/>
    <w:unhideWhenUsed/>
    <w:rsid w:val="009A5BBA"/>
    <w:pPr>
      <w:tabs>
        <w:tab w:val="center" w:pos="4513"/>
        <w:tab w:val="right" w:pos="9026"/>
      </w:tabs>
    </w:pPr>
  </w:style>
  <w:style w:type="character" w:customStyle="1" w:styleId="FooterChar">
    <w:name w:val="Footer Char"/>
    <w:basedOn w:val="DefaultParagraphFont"/>
    <w:link w:val="Footer"/>
    <w:uiPriority w:val="99"/>
    <w:rsid w:val="009A5B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3964</Words>
  <Characters>22599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Radu Popovici (2424015)</cp:lastModifiedBy>
  <cp:revision>2</cp:revision>
  <dcterms:created xsi:type="dcterms:W3CDTF">2026-06-27T00:16:00Z</dcterms:created>
  <dcterms:modified xsi:type="dcterms:W3CDTF">2026-06-27T00:16:00Z</dcterms:modified>
</cp:coreProperties>
</file>