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4A6F0E4C"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25F08">
              <w:rPr>
                <w:rFonts w:ascii="Times New Roman" w:hAnsi="Times New Roman" w:cs="Times New Roman"/>
                <w:b/>
                <w:color w:val="auto"/>
                <w:sz w:val="48"/>
              </w:rPr>
              <w:t>Kelly Jenkins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A34DB63"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E25F08">
              <w:rPr>
                <w:rFonts w:ascii="Times New Roman" w:hAnsi="Times New Roman" w:cs="Times New Roman"/>
                <w:b/>
                <w:color w:val="auto"/>
                <w:sz w:val="48"/>
              </w:rPr>
              <w:t xml:space="preserve"> 11</w:t>
            </w:r>
            <w:r w:rsidR="004D7636">
              <w:rPr>
                <w:rFonts w:ascii="Times New Roman" w:hAnsi="Times New Roman" w:cs="Times New Roman"/>
                <w:b/>
                <w:color w:val="auto"/>
                <w:sz w:val="48"/>
              </w:rPr>
              <w:t>03503@student</w:t>
            </w:r>
            <w:r w:rsidR="00D74DB8">
              <w:rPr>
                <w:rFonts w:ascii="Times New Roman" w:hAnsi="Times New Roman" w:cs="Times New Roman"/>
                <w:b/>
                <w:color w:val="auto"/>
                <w:sz w:val="48"/>
              </w:rPr>
              <w:t>.uwtds.ac.uk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709634AF" w:rsidR="0085230E" w:rsidRPr="005D3F07" w:rsidRDefault="00D74DB8"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1103503</w:t>
            </w: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D74DB8" w:rsidRDefault="00337FEF" w:rsidP="00FF7EBB">
            <w:pPr>
              <w:jc w:val="both"/>
              <w:rPr>
                <w:b/>
                <w:sz w:val="24"/>
                <w:szCs w:val="24"/>
              </w:rPr>
            </w:pPr>
            <w:r w:rsidRPr="00D74DB8">
              <w:rPr>
                <w:b/>
                <w:sz w:val="24"/>
                <w:szCs w:val="24"/>
              </w:rPr>
              <w:t>Question</w:t>
            </w:r>
            <w:r w:rsidR="00FC0334" w:rsidRPr="00D74DB8">
              <w:rPr>
                <w:b/>
                <w:sz w:val="24"/>
                <w:szCs w:val="24"/>
              </w:rPr>
              <w:t xml:space="preserve"> a</w:t>
            </w:r>
            <w:r w:rsidR="007A628F" w:rsidRPr="00D74DB8">
              <w:rPr>
                <w:b/>
                <w:sz w:val="24"/>
                <w:szCs w:val="24"/>
              </w:rPr>
              <w:t>:</w:t>
            </w:r>
          </w:p>
          <w:p w14:paraId="17A49383" w14:textId="77777777" w:rsidR="008B28E7" w:rsidRPr="00D74DB8" w:rsidRDefault="00BB7FD2" w:rsidP="00FF7EBB">
            <w:pPr>
              <w:jc w:val="both"/>
              <w:rPr>
                <w:b/>
                <w:sz w:val="24"/>
                <w:szCs w:val="24"/>
              </w:rPr>
            </w:pPr>
            <w:r w:rsidRPr="00D74DB8">
              <w:rPr>
                <w:b/>
                <w:sz w:val="24"/>
                <w:szCs w:val="24"/>
              </w:rPr>
              <w:t xml:space="preserve">In an area that is not your </w:t>
            </w:r>
            <w:proofErr w:type="gramStart"/>
            <w:r w:rsidRPr="00D74DB8">
              <w:rPr>
                <w:b/>
                <w:sz w:val="24"/>
                <w:szCs w:val="24"/>
              </w:rPr>
              <w:t>main focus</w:t>
            </w:r>
            <w:proofErr w:type="gramEnd"/>
            <w:r w:rsidRPr="00D74DB8">
              <w:rPr>
                <w:b/>
                <w:sz w:val="24"/>
                <w:szCs w:val="24"/>
              </w:rPr>
              <w:t xml:space="preserve"> of work (see guidance above), </w:t>
            </w:r>
            <w:r w:rsidR="0002440E" w:rsidRPr="00D74DB8">
              <w:rPr>
                <w:b/>
                <w:sz w:val="24"/>
                <w:szCs w:val="24"/>
              </w:rPr>
              <w:t>explain</w:t>
            </w:r>
            <w:r w:rsidR="008340BA" w:rsidRPr="00D74DB8">
              <w:rPr>
                <w:b/>
                <w:sz w:val="24"/>
                <w:szCs w:val="24"/>
              </w:rPr>
              <w:t xml:space="preserve"> </w:t>
            </w:r>
            <w:r w:rsidR="00DA22EC" w:rsidRPr="00D74DB8">
              <w:rPr>
                <w:b/>
                <w:sz w:val="24"/>
                <w:szCs w:val="24"/>
              </w:rPr>
              <w:t>the</w:t>
            </w:r>
            <w:r w:rsidR="005A545C" w:rsidRPr="00D74DB8">
              <w:rPr>
                <w:b/>
                <w:sz w:val="24"/>
                <w:szCs w:val="24"/>
              </w:rPr>
              <w:t xml:space="preserve"> relevant </w:t>
            </w:r>
            <w:r w:rsidRPr="00D74DB8">
              <w:rPr>
                <w:b/>
                <w:sz w:val="24"/>
                <w:szCs w:val="24"/>
              </w:rPr>
              <w:t xml:space="preserve">legislation, </w:t>
            </w:r>
            <w:r w:rsidR="0002440E" w:rsidRPr="00D74DB8">
              <w:rPr>
                <w:b/>
                <w:sz w:val="24"/>
                <w:szCs w:val="24"/>
              </w:rPr>
              <w:t>and</w:t>
            </w:r>
            <w:r w:rsidR="008340BA" w:rsidRPr="00D74DB8">
              <w:rPr>
                <w:b/>
                <w:sz w:val="24"/>
                <w:szCs w:val="24"/>
              </w:rPr>
              <w:t xml:space="preserve"> the </w:t>
            </w:r>
            <w:r w:rsidR="005A545C" w:rsidRPr="00D74DB8">
              <w:rPr>
                <w:b/>
                <w:sz w:val="24"/>
                <w:szCs w:val="24"/>
              </w:rPr>
              <w:t>national, local and organisational policies and procedures</w:t>
            </w:r>
            <w:r w:rsidRPr="00D74DB8">
              <w:rPr>
                <w:b/>
                <w:sz w:val="24"/>
                <w:szCs w:val="24"/>
              </w:rPr>
              <w:t xml:space="preserve"> for safeguarding. </w:t>
            </w:r>
          </w:p>
          <w:p w14:paraId="1FBBCFA0" w14:textId="77777777" w:rsidR="006108C9" w:rsidRPr="00D74DB8" w:rsidRDefault="006108C9" w:rsidP="00FF7EBB">
            <w:pPr>
              <w:jc w:val="both"/>
              <w:rPr>
                <w:b/>
                <w:sz w:val="24"/>
                <w:szCs w:val="24"/>
              </w:rPr>
            </w:pPr>
          </w:p>
          <w:p w14:paraId="594F2C06" w14:textId="77777777" w:rsidR="00545306" w:rsidRPr="00545306" w:rsidRDefault="005414F4" w:rsidP="00AC338D">
            <w:pPr>
              <w:spacing w:line="360" w:lineRule="auto"/>
              <w:jc w:val="both"/>
              <w:rPr>
                <w:rFonts w:eastAsiaTheme="minorHAnsi"/>
                <w:b/>
                <w:bCs/>
                <w:color w:val="auto"/>
                <w:kern w:val="2"/>
                <w:sz w:val="24"/>
                <w:szCs w:val="24"/>
                <w:lang w:eastAsia="en-US"/>
                <w14:ligatures w14:val="standardContextual"/>
              </w:rPr>
            </w:pPr>
            <w:r w:rsidRPr="00545306">
              <w:rPr>
                <w:b/>
                <w:bCs/>
                <w:i/>
                <w:sz w:val="24"/>
                <w:szCs w:val="24"/>
              </w:rPr>
              <w:t>5</w:t>
            </w:r>
            <w:r w:rsidR="00DA22EC" w:rsidRPr="00545306">
              <w:rPr>
                <w:b/>
                <w:bCs/>
                <w:i/>
                <w:sz w:val="24"/>
                <w:szCs w:val="24"/>
              </w:rPr>
              <w:t>00 words</w:t>
            </w:r>
            <w:r w:rsidR="00DA22EC" w:rsidRPr="00545306">
              <w:rPr>
                <w:b/>
                <w:bCs/>
                <w:sz w:val="24"/>
                <w:szCs w:val="24"/>
              </w:rPr>
              <w:t xml:space="preserve"> </w:t>
            </w:r>
            <w:r w:rsidR="008B28E7" w:rsidRPr="00545306">
              <w:rPr>
                <w:b/>
                <w:bCs/>
                <w:sz w:val="24"/>
                <w:szCs w:val="24"/>
              </w:rPr>
              <w:t>(+/- 10%: include your actual word count at the end of each section)</w:t>
            </w:r>
            <w:r w:rsidR="007A628F" w:rsidRPr="00545306">
              <w:rPr>
                <w:b/>
                <w:bCs/>
                <w:sz w:val="24"/>
                <w:szCs w:val="24"/>
              </w:rPr>
              <w:t>.</w:t>
            </w:r>
            <w:r w:rsidR="00AC338D" w:rsidRPr="00545306">
              <w:rPr>
                <w:rFonts w:eastAsiaTheme="minorHAnsi"/>
                <w:b/>
                <w:bCs/>
                <w:color w:val="auto"/>
                <w:kern w:val="2"/>
                <w:sz w:val="24"/>
                <w:szCs w:val="24"/>
                <w:lang w:eastAsia="en-US"/>
                <w14:ligatures w14:val="standardContextual"/>
              </w:rPr>
              <w:t xml:space="preserve"> </w:t>
            </w:r>
          </w:p>
          <w:p w14:paraId="60FB146F" w14:textId="77777777" w:rsidR="00545306" w:rsidRDefault="00545306" w:rsidP="00AC338D">
            <w:pPr>
              <w:spacing w:line="360" w:lineRule="auto"/>
              <w:jc w:val="both"/>
              <w:rPr>
                <w:rFonts w:eastAsiaTheme="minorHAnsi"/>
                <w:color w:val="auto"/>
                <w:kern w:val="2"/>
                <w:sz w:val="24"/>
                <w:szCs w:val="24"/>
                <w:lang w:eastAsia="en-US"/>
                <w14:ligatures w14:val="standardContextual"/>
              </w:rPr>
            </w:pPr>
          </w:p>
          <w:p w14:paraId="68DF9B1F" w14:textId="4D58C143" w:rsidR="00AC338D" w:rsidRPr="00AC338D" w:rsidRDefault="00AC338D" w:rsidP="00AC338D">
            <w:pPr>
              <w:spacing w:line="360" w:lineRule="auto"/>
              <w:jc w:val="both"/>
              <w:rPr>
                <w:rFonts w:eastAsiaTheme="minorHAnsi"/>
                <w:color w:val="auto"/>
                <w:kern w:val="2"/>
                <w:sz w:val="24"/>
                <w:szCs w:val="24"/>
                <w:lang w:eastAsia="en-US"/>
                <w14:ligatures w14:val="standardContextual"/>
              </w:rPr>
            </w:pPr>
            <w:r w:rsidRPr="00AC338D">
              <w:rPr>
                <w:rFonts w:eastAsiaTheme="minorHAnsi"/>
                <w:color w:val="auto"/>
                <w:kern w:val="2"/>
                <w:sz w:val="24"/>
                <w:szCs w:val="24"/>
                <w:lang w:eastAsia="en-US"/>
                <w14:ligatures w14:val="standardContextual"/>
              </w:rPr>
              <w:t>In my role within children’s social care, I also encounter adults who may be vulnerable or at risk, which requires a thorough understanding of adult safeguarding legislation, local procedures, and organisational policies (Welsh Government, 2014a) and (Care Inspectorate Wales, 2023). Adult safeguarding differs significantly from children’s safeguarding, emphasising consent, autonomy, and proportionality. Adults are presumed to have capacity unless formally assessed otherwise, and their wishes must be considered before interventions are undertaken (Welsh Government, 2014b) and (Welsh Government, 2022). Understanding these principles is essential to ensure that adults at risk are protected while their rights are respected. I mainly work with children within the remit of aged 14 to 18 years old who are at risk of homelessness. Working across children’s and adult services requires professional judgment and reflective practice. For example, a young person may be at risk of homelessness due to parental neglect, while the parent may also be vulnerable. In such cases, I must navigate the differing legal and ethical requirements: child safeguarding allows immediate protective action (HM Government, 1989), whereas adult safeguarding emphasises consent, capacity, and proportionate intervention (Welsh Government, 2014b).</w:t>
            </w:r>
          </w:p>
          <w:p w14:paraId="654EDAFD" w14:textId="77777777" w:rsidR="00AC338D" w:rsidRPr="00AC338D" w:rsidRDefault="00AC338D" w:rsidP="00AC338D">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p>
          <w:p w14:paraId="1D33F6E0" w14:textId="77777777" w:rsidR="00AC338D" w:rsidRPr="00AC338D" w:rsidRDefault="00AC338D" w:rsidP="00AC338D">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r w:rsidRPr="00AC338D">
              <w:rPr>
                <w:rFonts w:eastAsiaTheme="minorHAnsi"/>
                <w:color w:val="auto"/>
                <w:kern w:val="2"/>
                <w:sz w:val="24"/>
                <w:szCs w:val="24"/>
                <w:lang w:eastAsia="en-US"/>
                <w14:ligatures w14:val="standardContextual"/>
              </w:rPr>
              <w:lastRenderedPageBreak/>
              <w:t>Adult safeguarding in Wales is defined under the Social Services and Well-being (Wales) Act (2014), which identifies adults at risk as individuals aged 18 or over who have care and support needs and who are experiencing, or at risk of, abuse or neglect (Welsh Government, 2014a). Local safeguarding is coordinated through Regional Safeguarding Boards, which implement multi-agency procedures in line with the All-Wales Safeguarding Procedures (Welsh Government, 2022). These procedures outline the statutory duties to report concerns, undertake Section 126 enquiries, and ensure collaboration between agencies. Organisational safeguarding policies reflect these statutory requirements, providing clear internal reporting pathways, supervision, information-sharing protocols, and whistleblowing procedures (Care Inspectorate Wales, 2023). These structures ensure a consistent, lawful, and ethical approach to adult safeguarding.</w:t>
            </w:r>
          </w:p>
          <w:p w14:paraId="6D92B67B" w14:textId="77777777" w:rsidR="00AC338D" w:rsidRPr="00AC338D" w:rsidRDefault="00AC338D" w:rsidP="00AC338D">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p>
          <w:p w14:paraId="306F74FC" w14:textId="77777777" w:rsidR="00AC338D" w:rsidRPr="00AC338D" w:rsidRDefault="00AC338D" w:rsidP="00AC338D">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r w:rsidRPr="00AC338D">
              <w:rPr>
                <w:rFonts w:eastAsiaTheme="minorHAnsi"/>
                <w:color w:val="auto"/>
                <w:kern w:val="2"/>
                <w:sz w:val="24"/>
                <w:szCs w:val="24"/>
                <w:lang w:eastAsia="en-US"/>
                <w14:ligatures w14:val="standardContextual"/>
              </w:rPr>
              <w:t>In practice, adult safeguarding often intersects with children’s safeguarding, particularly in family settings where both the adult and child may be vulnerable. In such situations, it is essential to differentiate between the two frameworks. While children’s safeguarding prioritises the child’s welfare (HM Government, 1989), adult safeguarding requires assessment of capacity, consent, and proportionality (Welsh Government, 2014b). For example, if a parent has care and support needs, interventions must be undertaken in a way that respects their autonomy, even while ensuring the child is protected. This requires careful professional judgment, reflective practice, and adherence to statutory procedures.</w:t>
            </w:r>
          </w:p>
          <w:p w14:paraId="3EE7BB64" w14:textId="77777777" w:rsidR="00AC338D" w:rsidRPr="00AC338D" w:rsidRDefault="00AC338D" w:rsidP="00AC338D">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p>
          <w:p w14:paraId="5B0CCEFB" w14:textId="77777777" w:rsidR="00AC338D" w:rsidRPr="00AC338D" w:rsidRDefault="00AC338D" w:rsidP="00AC338D">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r w:rsidRPr="00AC338D">
              <w:rPr>
                <w:rFonts w:eastAsiaTheme="minorHAnsi"/>
                <w:color w:val="auto"/>
                <w:kern w:val="2"/>
                <w:sz w:val="24"/>
                <w:szCs w:val="24"/>
                <w:lang w:eastAsia="en-US"/>
                <w14:ligatures w14:val="standardContextual"/>
              </w:rPr>
              <w:t>Effective adult safeguarding also depends on collaboration between agencies and the application of legislation and organisational policy. By following the Social Services and Well-being (Wales) Act 2014, Part 7 guidance (Welsh Government, 2014b), and local safeguarding procedures (Welsh Government, 2022) and (Care Inspectorate Wales, 2023), professionals can take proportionate, lawful, and ethical action. Training, supervision, and multi-agency communication are critical to ensuring that adults at risk receive timely protection and support.</w:t>
            </w:r>
          </w:p>
          <w:p w14:paraId="156D635B" w14:textId="77777777" w:rsidR="00AC338D" w:rsidRPr="00AC338D" w:rsidRDefault="00AC338D" w:rsidP="00AC338D">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p>
          <w:p w14:paraId="20894A51" w14:textId="77777777" w:rsidR="00AC338D" w:rsidRPr="00AC338D" w:rsidRDefault="00AC338D" w:rsidP="00AC338D">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r w:rsidRPr="00AC338D">
              <w:rPr>
                <w:rFonts w:eastAsiaTheme="minorHAnsi"/>
                <w:color w:val="auto"/>
                <w:kern w:val="2"/>
                <w:sz w:val="24"/>
                <w:szCs w:val="24"/>
                <w:lang w:eastAsia="en-US"/>
                <w14:ligatures w14:val="standardContextual"/>
              </w:rPr>
              <w:lastRenderedPageBreak/>
              <w:t>In conclusion, while my role is primarily within children’s social care, adult safeguarding forms a vital part of my practice. Knowledge of legislation, local multi-agency frameworks, and organisational policies enables me to protect adults effectively, respect autonomy, and maintain professional boundaries. Understanding adult safeguarding demonstrates that safe practice extends beyond one’s main area of work and relies on a combination of statutory knowledge, ethical decision-making, and multi-agency collaboration.</w:t>
            </w:r>
          </w:p>
          <w:p w14:paraId="4DF4B800" w14:textId="77777777" w:rsidR="00AC338D" w:rsidRPr="00AC338D" w:rsidRDefault="00AC338D" w:rsidP="00AC338D">
            <w:pPr>
              <w:overflowPunct/>
              <w:autoSpaceDE/>
              <w:autoSpaceDN/>
              <w:adjustRightInd/>
              <w:spacing w:after="160" w:line="259" w:lineRule="auto"/>
              <w:textAlignment w:val="auto"/>
              <w:rPr>
                <w:rFonts w:eastAsiaTheme="minorHAnsi"/>
                <w:b/>
                <w:bCs/>
                <w:color w:val="auto"/>
                <w:kern w:val="2"/>
                <w:sz w:val="24"/>
                <w:szCs w:val="24"/>
                <w:lang w:eastAsia="en-US"/>
                <w14:ligatures w14:val="standardContextual"/>
              </w:rPr>
            </w:pPr>
            <w:r w:rsidRPr="00AC338D">
              <w:rPr>
                <w:rFonts w:eastAsiaTheme="minorHAnsi"/>
                <w:b/>
                <w:bCs/>
                <w:color w:val="auto"/>
                <w:kern w:val="2"/>
                <w:sz w:val="24"/>
                <w:szCs w:val="24"/>
                <w:lang w:eastAsia="en-US"/>
                <w14:ligatures w14:val="standardContextual"/>
              </w:rPr>
              <w:t>(540)</w:t>
            </w:r>
          </w:p>
          <w:p w14:paraId="4FF8EBF3" w14:textId="4043C924" w:rsidR="005A545C" w:rsidRDefault="005A545C" w:rsidP="00FF7EBB">
            <w:pPr>
              <w:jc w:val="both"/>
              <w:rPr>
                <w:sz w:val="24"/>
                <w:szCs w:val="24"/>
              </w:rPr>
            </w:pP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364052" w:rsidRDefault="00FC0334" w:rsidP="00FC0334">
            <w:pPr>
              <w:jc w:val="both"/>
              <w:rPr>
                <w:b/>
                <w:sz w:val="24"/>
                <w:szCs w:val="24"/>
              </w:rPr>
            </w:pPr>
            <w:r w:rsidRPr="00364052">
              <w:rPr>
                <w:b/>
                <w:sz w:val="24"/>
                <w:szCs w:val="24"/>
              </w:rPr>
              <w:t>Question b:</w:t>
            </w:r>
          </w:p>
          <w:p w14:paraId="2ADF1EC3" w14:textId="58E4B8DE" w:rsidR="00FC0334" w:rsidRPr="00364052" w:rsidRDefault="00FC0334" w:rsidP="00FC0334">
            <w:pPr>
              <w:jc w:val="both"/>
              <w:rPr>
                <w:b/>
                <w:sz w:val="24"/>
                <w:szCs w:val="24"/>
              </w:rPr>
            </w:pPr>
            <w:r w:rsidRPr="00364052">
              <w:rPr>
                <w:b/>
                <w:sz w:val="24"/>
                <w:szCs w:val="24"/>
              </w:rPr>
              <w:t>Reflect on the difference between safeguarding in adult</w:t>
            </w:r>
            <w:r w:rsidR="00C63CAB" w:rsidRPr="00364052">
              <w:rPr>
                <w:b/>
                <w:sz w:val="24"/>
                <w:szCs w:val="24"/>
              </w:rPr>
              <w:t>s’</w:t>
            </w:r>
            <w:r w:rsidRPr="00364052">
              <w:rPr>
                <w:b/>
                <w:sz w:val="24"/>
                <w:szCs w:val="24"/>
              </w:rPr>
              <w:t xml:space="preserve"> and children</w:t>
            </w:r>
            <w:r w:rsidR="007A628F" w:rsidRPr="00364052">
              <w:rPr>
                <w:b/>
                <w:sz w:val="24"/>
                <w:szCs w:val="24"/>
              </w:rPr>
              <w:t>’s</w:t>
            </w:r>
            <w:r w:rsidRPr="00364052">
              <w:rPr>
                <w:b/>
                <w:sz w:val="24"/>
                <w:szCs w:val="24"/>
              </w:rPr>
              <w:t xml:space="preserve"> work</w:t>
            </w:r>
          </w:p>
          <w:p w14:paraId="6BA3DD84" w14:textId="0013357A" w:rsidR="00FC0334" w:rsidRDefault="00FC0334" w:rsidP="00FC0334">
            <w:pPr>
              <w:jc w:val="both"/>
              <w:rPr>
                <w:b/>
                <w:i/>
                <w:sz w:val="24"/>
                <w:szCs w:val="24"/>
              </w:rPr>
            </w:pPr>
            <w:r w:rsidRPr="00364052">
              <w:rPr>
                <w:b/>
                <w:i/>
                <w:sz w:val="24"/>
                <w:szCs w:val="24"/>
              </w:rPr>
              <w:t>400 words</w:t>
            </w:r>
            <w:r w:rsidRPr="00364052">
              <w:rPr>
                <w:b/>
                <w:sz w:val="24"/>
                <w:szCs w:val="24"/>
              </w:rPr>
              <w:t xml:space="preserve"> </w:t>
            </w:r>
            <w:r w:rsidRPr="00364052">
              <w:rPr>
                <w:b/>
                <w:i/>
                <w:sz w:val="24"/>
                <w:szCs w:val="24"/>
              </w:rPr>
              <w:t>(+/- 10%: include your actual word count at the end of each section)</w:t>
            </w:r>
            <w:r w:rsidR="007A628F" w:rsidRPr="00364052">
              <w:rPr>
                <w:b/>
                <w:i/>
                <w:sz w:val="24"/>
                <w:szCs w:val="24"/>
              </w:rPr>
              <w:t>.</w:t>
            </w:r>
          </w:p>
          <w:p w14:paraId="57041E27" w14:textId="77777777" w:rsidR="00364052" w:rsidRDefault="00364052" w:rsidP="00FC0334">
            <w:pPr>
              <w:jc w:val="both"/>
              <w:rPr>
                <w:b/>
                <w:i/>
                <w:sz w:val="24"/>
                <w:szCs w:val="24"/>
              </w:rPr>
            </w:pPr>
          </w:p>
          <w:p w14:paraId="765D4E1E" w14:textId="77777777" w:rsidR="00364052" w:rsidRDefault="00364052" w:rsidP="00FC0334">
            <w:pPr>
              <w:jc w:val="both"/>
              <w:rPr>
                <w:b/>
                <w:i/>
                <w:sz w:val="24"/>
                <w:szCs w:val="24"/>
              </w:rPr>
            </w:pPr>
          </w:p>
          <w:p w14:paraId="4DA86CE3" w14:textId="769A6197" w:rsidR="00C87BC6" w:rsidRPr="008830AE" w:rsidRDefault="00C87BC6" w:rsidP="00C87BC6">
            <w:pPr>
              <w:overflowPunct/>
              <w:autoSpaceDE/>
              <w:autoSpaceDN/>
              <w:adjustRightInd/>
              <w:spacing w:before="100" w:beforeAutospacing="1" w:after="100" w:afterAutospacing="1"/>
              <w:jc w:val="both"/>
              <w:textAlignment w:val="auto"/>
              <w:rPr>
                <w:color w:val="auto"/>
                <w:sz w:val="24"/>
                <w:szCs w:val="24"/>
              </w:rPr>
            </w:pPr>
            <w:r w:rsidRPr="008830AE">
              <w:rPr>
                <w:color w:val="auto"/>
                <w:sz w:val="24"/>
                <w:szCs w:val="24"/>
              </w:rPr>
              <w:t xml:space="preserve">Since qualifying, my professional experience has been primarily in children’s services, but safeguarding work inevitably involves engagement with the adults responsible for the child’s care. The legal and policy frameworks for safeguarding differ between children and adults, reflecting differences in autonomy, capacity, and risk management. For children, the </w:t>
            </w:r>
            <w:r w:rsidRPr="008830AE">
              <w:rPr>
                <w:rFonts w:eastAsiaTheme="majorEastAsia"/>
                <w:color w:val="auto"/>
                <w:sz w:val="24"/>
                <w:szCs w:val="24"/>
              </w:rPr>
              <w:t>Children Act (1989)</w:t>
            </w:r>
            <w:r w:rsidRPr="008830AE">
              <w:rPr>
                <w:color w:val="auto"/>
                <w:sz w:val="24"/>
                <w:szCs w:val="24"/>
              </w:rPr>
              <w:t xml:space="preserve"> and </w:t>
            </w:r>
            <w:r w:rsidRPr="008830AE">
              <w:rPr>
                <w:rFonts w:eastAsiaTheme="majorEastAsia"/>
                <w:color w:val="auto"/>
                <w:sz w:val="24"/>
                <w:szCs w:val="24"/>
              </w:rPr>
              <w:t>Children Act (2004)</w:t>
            </w:r>
            <w:r w:rsidRPr="008830AE">
              <w:rPr>
                <w:color w:val="auto"/>
                <w:sz w:val="24"/>
                <w:szCs w:val="24"/>
              </w:rPr>
              <w:t xml:space="preserve"> place the child’s welfare as the </w:t>
            </w:r>
            <w:r w:rsidRPr="008830AE">
              <w:rPr>
                <w:rFonts w:eastAsiaTheme="majorEastAsia"/>
                <w:color w:val="auto"/>
                <w:sz w:val="24"/>
                <w:szCs w:val="24"/>
              </w:rPr>
              <w:t>highest priority</w:t>
            </w:r>
            <w:r w:rsidRPr="008830AE">
              <w:rPr>
                <w:color w:val="auto"/>
                <w:sz w:val="24"/>
                <w:szCs w:val="24"/>
              </w:rPr>
              <w:t xml:space="preserve">, requiring early intervention and multi-agency collaboration to protect children from harm explain Davies and Duckett, (2008 p. vii) </w:t>
            </w:r>
            <w:r w:rsidR="008830AE" w:rsidRPr="008830AE">
              <w:rPr>
                <w:color w:val="auto"/>
                <w:sz w:val="24"/>
                <w:szCs w:val="24"/>
              </w:rPr>
              <w:t>and Law</w:t>
            </w:r>
            <w:r w:rsidRPr="008830AE">
              <w:rPr>
                <w:color w:val="auto"/>
                <w:sz w:val="24"/>
                <w:szCs w:val="24"/>
              </w:rPr>
              <w:t xml:space="preserve"> Wales (2021). Local authorities and safeguarding boards are legally obliged to act when a child is, or may be, at risk, prioritising protection over personal choice. </w:t>
            </w:r>
            <w:r w:rsidRPr="008830AE">
              <w:rPr>
                <w:b/>
                <w:bCs/>
                <w:color w:val="auto"/>
                <w:sz w:val="24"/>
                <w:szCs w:val="24"/>
              </w:rPr>
              <w:t>(108)</w:t>
            </w:r>
          </w:p>
          <w:p w14:paraId="51661B6D" w14:textId="77777777" w:rsidR="00C87BC6" w:rsidRPr="008830AE" w:rsidRDefault="00C87BC6" w:rsidP="00C87BC6">
            <w:pPr>
              <w:overflowPunct/>
              <w:autoSpaceDE/>
              <w:autoSpaceDN/>
              <w:adjustRightInd/>
              <w:spacing w:before="100" w:beforeAutospacing="1" w:after="100" w:afterAutospacing="1"/>
              <w:jc w:val="both"/>
              <w:textAlignment w:val="auto"/>
              <w:rPr>
                <w:color w:val="auto"/>
                <w:sz w:val="24"/>
                <w:szCs w:val="24"/>
              </w:rPr>
            </w:pPr>
            <w:r w:rsidRPr="008830AE">
              <w:rPr>
                <w:color w:val="auto"/>
                <w:sz w:val="24"/>
                <w:szCs w:val="24"/>
              </w:rPr>
              <w:t xml:space="preserve">Adult safeguarding, in comparison, is defined by the </w:t>
            </w:r>
            <w:r w:rsidRPr="008830AE">
              <w:rPr>
                <w:rFonts w:eastAsiaTheme="majorEastAsia"/>
                <w:color w:val="auto"/>
                <w:sz w:val="24"/>
                <w:szCs w:val="24"/>
              </w:rPr>
              <w:t>Social Services and Well</w:t>
            </w:r>
            <w:r w:rsidRPr="008830AE">
              <w:rPr>
                <w:rFonts w:eastAsiaTheme="majorEastAsia"/>
                <w:color w:val="auto"/>
                <w:sz w:val="24"/>
                <w:szCs w:val="24"/>
              </w:rPr>
              <w:noBreakHyphen/>
              <w:t>being (Wales) Act (2014</w:t>
            </w:r>
            <w:r w:rsidRPr="008830AE">
              <w:rPr>
                <w:color w:val="auto"/>
                <w:sz w:val="24"/>
                <w:szCs w:val="24"/>
              </w:rPr>
              <w:t xml:space="preserve">), which describes an adult at risk as someone with care and support needs who is unable to safeguard themselves from harm. Adults are generally presumed capable of making decisions about their welfare unless formally assessed under the </w:t>
            </w:r>
            <w:r w:rsidRPr="008830AE">
              <w:rPr>
                <w:rFonts w:eastAsiaTheme="majorEastAsia"/>
                <w:color w:val="auto"/>
                <w:sz w:val="24"/>
                <w:szCs w:val="24"/>
              </w:rPr>
              <w:t>Mental Capacity Act (2005)</w:t>
            </w:r>
            <w:r w:rsidRPr="008830AE">
              <w:rPr>
                <w:color w:val="auto"/>
                <w:sz w:val="24"/>
                <w:szCs w:val="24"/>
              </w:rPr>
              <w:t xml:space="preserve">. This framework requires practitioners to carefully balance protection with respect for autonomy, supporting adults to make informed choices and intervening only where necessary (Social Care Wales, 2023). </w:t>
            </w:r>
            <w:r w:rsidRPr="008830AE">
              <w:rPr>
                <w:b/>
                <w:bCs/>
                <w:color w:val="auto"/>
                <w:sz w:val="24"/>
                <w:szCs w:val="24"/>
              </w:rPr>
              <w:t>(83)</w:t>
            </w:r>
          </w:p>
          <w:p w14:paraId="55371211" w14:textId="77777777" w:rsidR="00C87BC6" w:rsidRPr="008830AE" w:rsidRDefault="00C87BC6" w:rsidP="00C87BC6">
            <w:pPr>
              <w:overflowPunct/>
              <w:autoSpaceDE/>
              <w:autoSpaceDN/>
              <w:adjustRightInd/>
              <w:spacing w:before="100" w:beforeAutospacing="1" w:after="100" w:afterAutospacing="1"/>
              <w:jc w:val="both"/>
              <w:textAlignment w:val="auto"/>
              <w:rPr>
                <w:color w:val="auto"/>
                <w:sz w:val="24"/>
                <w:szCs w:val="24"/>
              </w:rPr>
            </w:pPr>
            <w:r w:rsidRPr="008830AE">
              <w:rPr>
                <w:color w:val="auto"/>
                <w:sz w:val="24"/>
                <w:szCs w:val="24"/>
              </w:rPr>
              <w:t xml:space="preserve">A key consideration in child safeguarding is </w:t>
            </w:r>
            <w:r w:rsidRPr="008830AE">
              <w:rPr>
                <w:rFonts w:eastAsiaTheme="majorEastAsia"/>
                <w:color w:val="auto"/>
                <w:sz w:val="24"/>
                <w:szCs w:val="24"/>
              </w:rPr>
              <w:t>Gillick competence</w:t>
            </w:r>
            <w:r w:rsidRPr="008830AE">
              <w:rPr>
                <w:color w:val="auto"/>
                <w:sz w:val="24"/>
                <w:szCs w:val="24"/>
              </w:rPr>
              <w:t xml:space="preserve">, which recognises that children under 16 may have sufficient understanding to make informed decisions about their care. Practitioners must assess a child’s maturity, knowledge, and awareness of the consequences, distinguishing this situational capacity from adults, whose autonomy is usually assumed unless there is evidence to the contrary (Department of Health, 2019). </w:t>
            </w:r>
            <w:r w:rsidRPr="008830AE">
              <w:rPr>
                <w:b/>
                <w:bCs/>
                <w:color w:val="auto"/>
                <w:sz w:val="24"/>
                <w:szCs w:val="24"/>
              </w:rPr>
              <w:t>(60)</w:t>
            </w:r>
          </w:p>
          <w:p w14:paraId="3CBCFE7A" w14:textId="77777777" w:rsidR="00C87BC6" w:rsidRPr="008830AE" w:rsidRDefault="00C87BC6" w:rsidP="00C87BC6">
            <w:pPr>
              <w:overflowPunct/>
              <w:autoSpaceDE/>
              <w:autoSpaceDN/>
              <w:adjustRightInd/>
              <w:spacing w:before="100" w:beforeAutospacing="1" w:after="100" w:afterAutospacing="1"/>
              <w:jc w:val="both"/>
              <w:textAlignment w:val="auto"/>
              <w:rPr>
                <w:color w:val="auto"/>
                <w:sz w:val="24"/>
                <w:szCs w:val="24"/>
              </w:rPr>
            </w:pPr>
            <w:r w:rsidRPr="008830AE">
              <w:rPr>
                <w:color w:val="auto"/>
                <w:sz w:val="24"/>
                <w:szCs w:val="24"/>
              </w:rPr>
              <w:t xml:space="preserve">The nature of harm differs between the two populations. Children are vulnerable due to dependency and developmental needs, with harm often arising from abuse, neglect, or unsafe </w:t>
            </w:r>
            <w:r w:rsidRPr="008830AE">
              <w:rPr>
                <w:color w:val="auto"/>
                <w:sz w:val="24"/>
                <w:szCs w:val="24"/>
              </w:rPr>
              <w:lastRenderedPageBreak/>
              <w:t xml:space="preserve">environments. Adults may be at risk from exploitation, neglect, disability, or mental and physical health challenges, and safeguarding interventions must protect them while respecting autonomy (Safeguarding Wales, 2025). Organisational policies mirror these differences: child safeguarding emphasises statutory duties, mandatory reporting, and protective intervention, whereas adult safeguarding prioritises person-centred approaches, advocacy, and least restrictive action. </w:t>
            </w:r>
            <w:r w:rsidRPr="008830AE">
              <w:rPr>
                <w:b/>
                <w:bCs/>
                <w:color w:val="auto"/>
                <w:sz w:val="24"/>
                <w:szCs w:val="24"/>
              </w:rPr>
              <w:t>(81)</w:t>
            </w:r>
          </w:p>
          <w:p w14:paraId="397B622A" w14:textId="77777777" w:rsidR="00C87BC6" w:rsidRPr="008830AE" w:rsidRDefault="00C87BC6" w:rsidP="00C87BC6">
            <w:pPr>
              <w:overflowPunct/>
              <w:autoSpaceDE/>
              <w:autoSpaceDN/>
              <w:adjustRightInd/>
              <w:spacing w:before="100" w:beforeAutospacing="1" w:after="100" w:afterAutospacing="1"/>
              <w:jc w:val="both"/>
              <w:textAlignment w:val="auto"/>
              <w:rPr>
                <w:b/>
                <w:bCs/>
                <w:color w:val="auto"/>
                <w:sz w:val="24"/>
                <w:szCs w:val="24"/>
              </w:rPr>
            </w:pPr>
            <w:r w:rsidRPr="008830AE">
              <w:rPr>
                <w:color w:val="auto"/>
                <w:sz w:val="24"/>
                <w:szCs w:val="24"/>
              </w:rPr>
              <w:t xml:space="preserve">In conclusion, effective safeguarding aims not only to prevent harm but also to promote the wellbeing and safety of both children and adults at risk. The preferred outcomes include protecting individuals from abuse or neglect, supporting their capacity to make informed decisions, ensuring timely intervention, and fostering environments where children can </w:t>
            </w:r>
            <w:proofErr w:type="gramStart"/>
            <w:r w:rsidRPr="008830AE">
              <w:rPr>
                <w:color w:val="auto"/>
                <w:sz w:val="24"/>
                <w:szCs w:val="24"/>
              </w:rPr>
              <w:t>thrive</w:t>
            </w:r>
            <w:proofErr w:type="gramEnd"/>
            <w:r w:rsidRPr="008830AE">
              <w:rPr>
                <w:color w:val="auto"/>
                <w:sz w:val="24"/>
                <w:szCs w:val="24"/>
              </w:rPr>
              <w:t xml:space="preserve"> and adults can exercise autonomy safely. By applying legal frameworks, multi-agency collaboration, and person-centred practice, safeguarding ensures that vulnerable individuals receive the protection, guidance, and support they need to live safely and with dignity (Davies and Duckett, 2008 p. vii) and (Social Care Wales, 2023). </w:t>
            </w:r>
            <w:r w:rsidRPr="008830AE">
              <w:rPr>
                <w:b/>
                <w:bCs/>
                <w:color w:val="auto"/>
                <w:sz w:val="24"/>
                <w:szCs w:val="24"/>
              </w:rPr>
              <w:t>(96)</w:t>
            </w:r>
          </w:p>
          <w:p w14:paraId="4D71C8E9" w14:textId="77777777" w:rsidR="00C87BC6" w:rsidRPr="008830AE" w:rsidRDefault="00C87BC6" w:rsidP="00C87BC6">
            <w:pPr>
              <w:overflowPunct/>
              <w:autoSpaceDE/>
              <w:autoSpaceDN/>
              <w:adjustRightInd/>
              <w:spacing w:after="160" w:line="259" w:lineRule="auto"/>
              <w:textAlignment w:val="auto"/>
              <w:rPr>
                <w:rFonts w:eastAsiaTheme="minorHAnsi"/>
                <w:b/>
                <w:bCs/>
                <w:color w:val="auto"/>
                <w:kern w:val="2"/>
                <w:sz w:val="24"/>
                <w:szCs w:val="24"/>
                <w:lang w:eastAsia="en-US"/>
                <w14:ligatures w14:val="standardContextual"/>
              </w:rPr>
            </w:pPr>
            <w:r w:rsidRPr="008830AE">
              <w:rPr>
                <w:rFonts w:eastAsiaTheme="minorHAnsi"/>
                <w:b/>
                <w:bCs/>
                <w:color w:val="auto"/>
                <w:kern w:val="2"/>
                <w:sz w:val="24"/>
                <w:szCs w:val="24"/>
                <w:lang w:eastAsia="en-US"/>
                <w14:ligatures w14:val="standardContextual"/>
              </w:rPr>
              <w:t>(Total 428 words)</w:t>
            </w:r>
          </w:p>
          <w:p w14:paraId="0DC4D0B2" w14:textId="77777777" w:rsidR="00364052" w:rsidRPr="00364052" w:rsidRDefault="00364052" w:rsidP="00FC0334">
            <w:pPr>
              <w:jc w:val="both"/>
              <w:rPr>
                <w:bCs/>
                <w:iCs/>
                <w:sz w:val="24"/>
                <w:szCs w:val="24"/>
              </w:rPr>
            </w:pPr>
          </w:p>
          <w:p w14:paraId="1D612AA2" w14:textId="77777777" w:rsidR="00364052" w:rsidRDefault="00364052" w:rsidP="00FC0334">
            <w:pPr>
              <w:jc w:val="both"/>
              <w:rPr>
                <w:b/>
                <w:i/>
                <w:sz w:val="24"/>
                <w:szCs w:val="24"/>
              </w:rPr>
            </w:pPr>
          </w:p>
          <w:p w14:paraId="1926A639" w14:textId="77777777" w:rsidR="00364052" w:rsidRPr="00364052" w:rsidRDefault="00364052" w:rsidP="00FC0334">
            <w:pPr>
              <w:jc w:val="both"/>
              <w:rPr>
                <w:bCs/>
                <w:iCs/>
                <w:sz w:val="24"/>
                <w:szCs w:val="24"/>
              </w:rPr>
            </w:pP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55CD7A" w14:textId="77777777" w:rsidR="00E62E13" w:rsidRDefault="00E62E13">
      <w:r>
        <w:separator/>
      </w:r>
    </w:p>
  </w:endnote>
  <w:endnote w:type="continuationSeparator" w:id="0">
    <w:p w14:paraId="3E837342" w14:textId="77777777" w:rsidR="00E62E13" w:rsidRDefault="00E62E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B00A08" w14:textId="77777777" w:rsidR="00E62E13" w:rsidRDefault="00E62E13">
      <w:r>
        <w:separator/>
      </w:r>
    </w:p>
  </w:footnote>
  <w:footnote w:type="continuationSeparator" w:id="0">
    <w:p w14:paraId="74713B58" w14:textId="77777777" w:rsidR="00E62E13" w:rsidRDefault="00E62E1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013A"/>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3272"/>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259A6"/>
    <w:rsid w:val="00230439"/>
    <w:rsid w:val="00232A09"/>
    <w:rsid w:val="00235176"/>
    <w:rsid w:val="00236061"/>
    <w:rsid w:val="0024100E"/>
    <w:rsid w:val="00241C1B"/>
    <w:rsid w:val="0024288B"/>
    <w:rsid w:val="00243DB0"/>
    <w:rsid w:val="00247265"/>
    <w:rsid w:val="00260663"/>
    <w:rsid w:val="002607E2"/>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24125"/>
    <w:rsid w:val="00330881"/>
    <w:rsid w:val="00331CD2"/>
    <w:rsid w:val="00332426"/>
    <w:rsid w:val="00335C41"/>
    <w:rsid w:val="00335FC5"/>
    <w:rsid w:val="0033771E"/>
    <w:rsid w:val="00337FEF"/>
    <w:rsid w:val="00354B6D"/>
    <w:rsid w:val="00355210"/>
    <w:rsid w:val="00355CFD"/>
    <w:rsid w:val="00364052"/>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D7636"/>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5306"/>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AF5"/>
    <w:rsid w:val="00846D84"/>
    <w:rsid w:val="00850233"/>
    <w:rsid w:val="0085230E"/>
    <w:rsid w:val="008550A1"/>
    <w:rsid w:val="00861038"/>
    <w:rsid w:val="00865B58"/>
    <w:rsid w:val="00866B50"/>
    <w:rsid w:val="00867A63"/>
    <w:rsid w:val="008708F1"/>
    <w:rsid w:val="00871960"/>
    <w:rsid w:val="0087369F"/>
    <w:rsid w:val="00880539"/>
    <w:rsid w:val="008830AE"/>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3984"/>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2B4F"/>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14BE"/>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38D"/>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87BC6"/>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74DB8"/>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25F08"/>
    <w:rsid w:val="00E3288D"/>
    <w:rsid w:val="00E35112"/>
    <w:rsid w:val="00E35BEC"/>
    <w:rsid w:val="00E41A6A"/>
    <w:rsid w:val="00E50821"/>
    <w:rsid w:val="00E51F91"/>
    <w:rsid w:val="00E5498A"/>
    <w:rsid w:val="00E559CE"/>
    <w:rsid w:val="00E60F42"/>
    <w:rsid w:val="00E62E13"/>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5</Pages>
  <Words>1183</Words>
  <Characters>7350</Characters>
  <Application>Microsoft Office Word</Application>
  <DocSecurity>0</DocSecurity>
  <Lines>150</Lines>
  <Paragraphs>37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Kelly Jenkins</cp:lastModifiedBy>
  <cp:revision>14</cp:revision>
  <cp:lastPrinted>2020-02-11T19:20:00Z</cp:lastPrinted>
  <dcterms:created xsi:type="dcterms:W3CDTF">2026-02-22T13:02:00Z</dcterms:created>
  <dcterms:modified xsi:type="dcterms:W3CDTF">2026-02-24T22:11:00Z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