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708B0" w14:textId="77777777" w:rsidR="00B70ABB" w:rsidRDefault="00B70ABB">
      <w:pPr>
        <w:rPr>
          <w:lang w:val="en-US"/>
        </w:rPr>
      </w:pPr>
    </w:p>
    <w:p w14:paraId="4AC802DD" w14:textId="77777777" w:rsidR="001627D1" w:rsidRDefault="001627D1">
      <w:pPr>
        <w:rPr>
          <w:lang w:val="en-US"/>
        </w:rPr>
      </w:pPr>
    </w:p>
    <w:p w14:paraId="2E1DB005" w14:textId="77777777" w:rsidR="001627D1" w:rsidRDefault="001627D1">
      <w:pPr>
        <w:rPr>
          <w:lang w:val="en-US"/>
        </w:rPr>
      </w:pPr>
    </w:p>
    <w:p w14:paraId="6211DA76" w14:textId="77777777" w:rsidR="001627D1" w:rsidRDefault="001627D1">
      <w:pPr>
        <w:rPr>
          <w:lang w:val="en-US"/>
        </w:rPr>
      </w:pPr>
    </w:p>
    <w:p w14:paraId="568A0832" w14:textId="77777777" w:rsidR="001627D1" w:rsidRDefault="001627D1">
      <w:pPr>
        <w:rPr>
          <w:lang w:val="en-US"/>
        </w:rPr>
      </w:pPr>
    </w:p>
    <w:p w14:paraId="4792C601" w14:textId="77777777" w:rsidR="001627D1" w:rsidRDefault="001627D1">
      <w:pPr>
        <w:rPr>
          <w:lang w:val="en-US"/>
        </w:rPr>
      </w:pPr>
    </w:p>
    <w:p w14:paraId="22DD6DB9" w14:textId="77777777" w:rsidR="001627D1" w:rsidRDefault="001627D1">
      <w:pPr>
        <w:rPr>
          <w:lang w:val="en-US"/>
        </w:rPr>
      </w:pPr>
    </w:p>
    <w:p w14:paraId="40AF5649" w14:textId="77777777" w:rsidR="00BE2D89" w:rsidRDefault="00BE2D89" w:rsidP="001627D1">
      <w:pPr>
        <w:spacing w:line="360" w:lineRule="auto"/>
        <w:jc w:val="center"/>
        <w:rPr>
          <w:rFonts w:ascii="Times New Roman" w:hAnsi="Times New Roman" w:cs="Times New Roman"/>
          <w:b/>
          <w:bCs/>
          <w:lang w:val="en-US"/>
        </w:rPr>
      </w:pPr>
    </w:p>
    <w:p w14:paraId="5E12038E" w14:textId="77777777" w:rsidR="00BE2D89" w:rsidRDefault="00BE2D89" w:rsidP="001627D1">
      <w:pPr>
        <w:spacing w:line="360" w:lineRule="auto"/>
        <w:jc w:val="center"/>
        <w:rPr>
          <w:rFonts w:ascii="Times New Roman" w:hAnsi="Times New Roman" w:cs="Times New Roman"/>
          <w:b/>
          <w:bCs/>
          <w:lang w:val="en-US"/>
        </w:rPr>
      </w:pPr>
    </w:p>
    <w:p w14:paraId="37160673" w14:textId="2F59A087" w:rsidR="001F0EFD" w:rsidRPr="001F0EFD" w:rsidRDefault="001F0EFD" w:rsidP="001F0EFD">
      <w:pPr>
        <w:spacing w:line="360" w:lineRule="auto"/>
        <w:jc w:val="center"/>
        <w:rPr>
          <w:rFonts w:ascii="Verdana" w:hAnsi="Verdana" w:cs="Times New Roman"/>
          <w:b/>
          <w:bCs/>
          <w:sz w:val="20"/>
          <w:szCs w:val="20"/>
          <w:lang w:val="en-US"/>
        </w:rPr>
      </w:pPr>
      <w:r w:rsidRPr="001F0EFD">
        <w:rPr>
          <w:rFonts w:ascii="Verdana" w:hAnsi="Verdana" w:cs="Times New Roman"/>
          <w:b/>
          <w:bCs/>
          <w:sz w:val="20"/>
          <w:szCs w:val="20"/>
          <w:lang w:val="en-US"/>
        </w:rPr>
        <w:t>Name of Students: Sona Jandi Sila</w:t>
      </w:r>
      <w:r w:rsidRPr="001F0EFD">
        <w:rPr>
          <w:rFonts w:ascii="Verdana" w:hAnsi="Verdana" w:cs="Times New Roman"/>
          <w:b/>
          <w:bCs/>
          <w:sz w:val="20"/>
          <w:szCs w:val="20"/>
          <w:lang w:val="en-US"/>
        </w:rPr>
        <w:br/>
        <w:t>Student Numbers: 2216032</w:t>
      </w:r>
      <w:r w:rsidRPr="001F0EFD">
        <w:rPr>
          <w:rFonts w:ascii="Verdana" w:hAnsi="Verdana" w:cs="Times New Roman"/>
          <w:b/>
          <w:bCs/>
          <w:sz w:val="20"/>
          <w:szCs w:val="20"/>
          <w:lang w:val="en-US"/>
        </w:rPr>
        <w:br/>
        <w:t>Module Code: LCHS7006</w:t>
      </w:r>
      <w:r w:rsidRPr="001F0EFD">
        <w:rPr>
          <w:rFonts w:ascii="Verdana" w:hAnsi="Verdana" w:cs="Times New Roman"/>
          <w:b/>
          <w:bCs/>
          <w:sz w:val="20"/>
          <w:szCs w:val="20"/>
          <w:lang w:val="en-US"/>
        </w:rPr>
        <w:br/>
        <w:t>Module Title: Quality Assurance and Service Improvements</w:t>
      </w:r>
      <w:r w:rsidRPr="001F0EFD">
        <w:rPr>
          <w:rFonts w:ascii="Verdana" w:hAnsi="Verdana" w:cs="Times New Roman"/>
          <w:b/>
          <w:bCs/>
          <w:sz w:val="20"/>
          <w:szCs w:val="20"/>
          <w:lang w:val="en-US"/>
        </w:rPr>
        <w:br/>
        <w:t xml:space="preserve">Lecturer’s Name: Christopher </w:t>
      </w:r>
      <w:proofErr w:type="spellStart"/>
      <w:r w:rsidRPr="001F0EFD">
        <w:rPr>
          <w:rFonts w:ascii="Verdana" w:hAnsi="Verdana" w:cs="Times New Roman"/>
          <w:b/>
          <w:bCs/>
          <w:sz w:val="20"/>
          <w:szCs w:val="20"/>
          <w:lang w:val="en-US"/>
        </w:rPr>
        <w:t>Mafuva</w:t>
      </w:r>
      <w:proofErr w:type="spellEnd"/>
      <w:r w:rsidRPr="001F0EFD">
        <w:rPr>
          <w:rFonts w:ascii="Verdana" w:hAnsi="Verdana" w:cs="Times New Roman"/>
          <w:b/>
          <w:bCs/>
          <w:sz w:val="20"/>
          <w:szCs w:val="20"/>
          <w:lang w:val="en-US"/>
        </w:rPr>
        <w:br/>
        <w:t>Assignment Title: Mid Staffordshire NHS Foundation Trust Case Study Report</w:t>
      </w:r>
    </w:p>
    <w:p w14:paraId="63022A4A" w14:textId="2C7C3FE7" w:rsidR="001F0EFD" w:rsidRPr="001F0EFD" w:rsidRDefault="001F0EFD" w:rsidP="001F0EFD">
      <w:pPr>
        <w:spacing w:line="360" w:lineRule="auto"/>
        <w:jc w:val="center"/>
        <w:rPr>
          <w:rFonts w:ascii="Times New Roman" w:hAnsi="Times New Roman" w:cs="Times New Roman"/>
          <w:b/>
          <w:bCs/>
          <w:lang w:val="en-US"/>
        </w:rPr>
      </w:pPr>
      <w:r w:rsidRPr="001F0EFD">
        <w:rPr>
          <w:rFonts w:ascii="Times New Roman" w:hAnsi="Times New Roman" w:cs="Times New Roman"/>
          <w:b/>
          <w:bCs/>
          <w:noProof/>
          <w:lang w:val="en-US"/>
        </w:rPr>
        <w:drawing>
          <wp:inline distT="0" distB="0" distL="0" distR="0" wp14:anchorId="71B7E696" wp14:editId="30C5B9F9">
            <wp:extent cx="9525" cy="9525"/>
            <wp:effectExtent l="0" t="0" r="0" b="0"/>
            <wp:docPr id="6" name="Picture 6" descr="https://ssl.gstatic.com/ui/v1/icons/mail/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sl.gstatic.com/ui/v1/icons/mail/images/cleardot.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48606111" w14:textId="7F5C19C4" w:rsidR="00743B98" w:rsidRPr="00BE2D89" w:rsidRDefault="00743B98" w:rsidP="001627D1">
      <w:pPr>
        <w:spacing w:line="360" w:lineRule="auto"/>
        <w:jc w:val="center"/>
        <w:rPr>
          <w:rFonts w:ascii="Times New Roman" w:hAnsi="Times New Roman" w:cs="Times New Roman"/>
          <w:b/>
          <w:bCs/>
          <w:lang w:val="en-US"/>
        </w:rPr>
      </w:pPr>
    </w:p>
    <w:p w14:paraId="2E4B5FFA" w14:textId="77777777" w:rsidR="001627D1" w:rsidRDefault="001627D1">
      <w:pPr>
        <w:rPr>
          <w:rFonts w:ascii="Times New Roman" w:hAnsi="Times New Roman" w:cs="Times New Roman"/>
          <w:lang w:val="en-US"/>
        </w:rPr>
      </w:pPr>
      <w:r>
        <w:rPr>
          <w:rFonts w:ascii="Times New Roman" w:hAnsi="Times New Roman" w:cs="Times New Roman"/>
          <w:lang w:val="en-US"/>
        </w:rPr>
        <w:br w:type="page"/>
      </w:r>
    </w:p>
    <w:p w14:paraId="0578BB98" w14:textId="0CDA3E91" w:rsidR="001627D1" w:rsidRDefault="00BE2D89" w:rsidP="007B446A">
      <w:pPr>
        <w:pStyle w:val="Heading1"/>
        <w:rPr>
          <w:lang w:val="en-US"/>
        </w:rPr>
      </w:pPr>
      <w:r>
        <w:rPr>
          <w:lang w:val="en-US"/>
        </w:rPr>
        <w:lastRenderedPageBreak/>
        <w:t>Introduction</w:t>
      </w:r>
    </w:p>
    <w:p w14:paraId="1DC9D7FD" w14:textId="48C7729C" w:rsidR="00666BBF" w:rsidRPr="00666BBF" w:rsidRDefault="00666BBF" w:rsidP="00666BBF">
      <w:pPr>
        <w:spacing w:line="360" w:lineRule="auto"/>
        <w:jc w:val="both"/>
        <w:rPr>
          <w:rFonts w:ascii="Arial" w:hAnsi="Arial" w:cs="Arial"/>
          <w:sz w:val="22"/>
          <w:lang w:val="en-US"/>
        </w:rPr>
      </w:pPr>
      <w:r w:rsidRPr="00666BBF">
        <w:rPr>
          <w:rFonts w:ascii="Arial" w:hAnsi="Arial" w:cs="Arial"/>
          <w:sz w:val="22"/>
          <w:lang w:val="en-US"/>
        </w:rPr>
        <w:t xml:space="preserve">Quality in healthcare is defined as the extent to which the services are consistently improved to achieve the desired health outcomes by providing safe, effective, person-centred, timely, efficient and equitable care covering six core domains of healthcare quality </w:t>
      </w:r>
      <w:r w:rsidRPr="00666BBF">
        <w:rPr>
          <w:rFonts w:ascii="Arial" w:hAnsi="Arial" w:cs="Arial"/>
          <w:sz w:val="22"/>
        </w:rPr>
        <w:t>(WHO, 2025)</w:t>
      </w:r>
      <w:r w:rsidRPr="00666BBF">
        <w:rPr>
          <w:rFonts w:ascii="Arial" w:hAnsi="Arial" w:cs="Arial"/>
          <w:sz w:val="22"/>
          <w:lang w:val="en-US"/>
        </w:rPr>
        <w:t xml:space="preserve">. </w:t>
      </w:r>
      <w:r w:rsidR="00181A7F">
        <w:rPr>
          <w:rFonts w:ascii="Arial" w:hAnsi="Arial" w:cs="Arial"/>
          <w:sz w:val="22"/>
          <w:lang w:val="en-US"/>
        </w:rPr>
        <w:t>Q</w:t>
      </w:r>
      <w:r w:rsidRPr="00666BBF">
        <w:rPr>
          <w:rFonts w:ascii="Arial" w:hAnsi="Arial" w:cs="Arial"/>
          <w:sz w:val="22"/>
          <w:lang w:val="en-US"/>
        </w:rPr>
        <w:t xml:space="preserve">uality is a fundamental concept of delivering healthcare improving patient safety and quality of care by improved patient experiences, organisational performance and clinical outcomes </w:t>
      </w:r>
      <w:r w:rsidRPr="00666BBF">
        <w:rPr>
          <w:rFonts w:ascii="Arial" w:hAnsi="Arial" w:cs="Arial"/>
          <w:sz w:val="22"/>
        </w:rPr>
        <w:t>(Busse, Panteli and Quentin, 2019)</w:t>
      </w:r>
      <w:r w:rsidRPr="00666BBF">
        <w:rPr>
          <w:rFonts w:ascii="Arial" w:hAnsi="Arial" w:cs="Arial"/>
          <w:sz w:val="22"/>
          <w:lang w:val="en-US"/>
        </w:rPr>
        <w:t xml:space="preserve">. </w:t>
      </w:r>
    </w:p>
    <w:p w14:paraId="636FC858" w14:textId="322A0918" w:rsidR="00666BBF" w:rsidRPr="00666BBF" w:rsidRDefault="00666BBF" w:rsidP="00666BBF">
      <w:pPr>
        <w:spacing w:line="360" w:lineRule="auto"/>
        <w:jc w:val="both"/>
        <w:rPr>
          <w:rFonts w:ascii="Arial" w:hAnsi="Arial" w:cs="Arial"/>
          <w:sz w:val="22"/>
          <w:lang w:val="en-US"/>
        </w:rPr>
      </w:pPr>
      <w:r w:rsidRPr="00666BBF">
        <w:rPr>
          <w:rFonts w:ascii="Arial" w:hAnsi="Arial" w:cs="Arial"/>
          <w:sz w:val="22"/>
          <w:lang w:val="en-US"/>
        </w:rPr>
        <w:t xml:space="preserve">Quality assurance is considered to be a systematic process in which the healthcare services comply with the standards, policies and regulatory requirements using auditing, monitoring and performance evaluation </w:t>
      </w:r>
      <w:r w:rsidR="00A4651C" w:rsidRPr="00A20A10">
        <w:rPr>
          <w:rFonts w:ascii="Arial" w:hAnsi="Arial" w:cs="Arial"/>
          <w:sz w:val="22"/>
          <w:lang w:val="en-US"/>
        </w:rPr>
        <w:t>(</w:t>
      </w:r>
      <w:r w:rsidR="00A4651C" w:rsidRPr="00A20A10">
        <w:rPr>
          <w:rFonts w:ascii="Arial" w:hAnsi="Arial" w:cs="Arial"/>
          <w:sz w:val="22"/>
        </w:rPr>
        <w:t xml:space="preserve">Akram, Sharma and Chasta, </w:t>
      </w:r>
      <w:r w:rsidRPr="00A20A10">
        <w:rPr>
          <w:rFonts w:ascii="Arial" w:hAnsi="Arial" w:cs="Arial"/>
          <w:sz w:val="22"/>
        </w:rPr>
        <w:t>2025)</w:t>
      </w:r>
      <w:r w:rsidRPr="00740930">
        <w:rPr>
          <w:rFonts w:ascii="Arial" w:hAnsi="Arial" w:cs="Arial"/>
          <w:color w:val="FF0000"/>
          <w:sz w:val="22"/>
          <w:lang w:val="en-US"/>
        </w:rPr>
        <w:t xml:space="preserve">. </w:t>
      </w:r>
      <w:r w:rsidRPr="00666BBF">
        <w:rPr>
          <w:rFonts w:ascii="Arial" w:hAnsi="Arial" w:cs="Arial"/>
          <w:sz w:val="22"/>
          <w:lang w:val="en-US"/>
        </w:rPr>
        <w:t>Further, continuous quality improvement (CQI) undertook an ongoing, evidence-based approach which helps in identifying the performance gaps, implement changes and assess the outcomes so as to enhance healthcare quality over time. In public health and social care, CQI is effective in strengthening multidisciplinary collaboration, promoting efficient resource utilisation, encouraging organisational learning and hereby supporting patient safety (</w:t>
      </w:r>
      <w:r w:rsidRPr="00666BBF">
        <w:rPr>
          <w:rFonts w:ascii="Arial" w:hAnsi="Arial" w:cs="Arial"/>
          <w:sz w:val="22"/>
        </w:rPr>
        <w:t xml:space="preserve">Endalamaw </w:t>
      </w:r>
      <w:r w:rsidRPr="00666BBF">
        <w:rPr>
          <w:rFonts w:ascii="Arial" w:hAnsi="Arial" w:cs="Arial"/>
          <w:i/>
          <w:sz w:val="22"/>
        </w:rPr>
        <w:t>et al.</w:t>
      </w:r>
      <w:r w:rsidRPr="00666BBF">
        <w:rPr>
          <w:rFonts w:ascii="Arial" w:hAnsi="Arial" w:cs="Arial"/>
          <w:sz w:val="22"/>
        </w:rPr>
        <w:t>, 2024)</w:t>
      </w:r>
      <w:r w:rsidRPr="00666BBF">
        <w:rPr>
          <w:rFonts w:ascii="Arial" w:hAnsi="Arial" w:cs="Arial"/>
          <w:sz w:val="22"/>
          <w:lang w:val="en-US"/>
        </w:rPr>
        <w:t xml:space="preserve">. </w:t>
      </w:r>
    </w:p>
    <w:p w14:paraId="5265C417" w14:textId="77777777" w:rsidR="00666BBF" w:rsidRPr="00666BBF" w:rsidRDefault="00666BBF" w:rsidP="00666BBF">
      <w:pPr>
        <w:spacing w:line="360" w:lineRule="auto"/>
        <w:jc w:val="both"/>
        <w:rPr>
          <w:rFonts w:ascii="Arial" w:hAnsi="Arial" w:cs="Arial"/>
          <w:sz w:val="22"/>
          <w:lang w:val="en-US"/>
        </w:rPr>
      </w:pPr>
      <w:r w:rsidRPr="00666BBF">
        <w:rPr>
          <w:rFonts w:ascii="Arial" w:hAnsi="Arial" w:cs="Arial"/>
          <w:sz w:val="22"/>
          <w:lang w:val="en-US"/>
        </w:rPr>
        <w:t>The aim of this report is to critically analyse the Mid Staffordshire NHS Foundation Trust case which has been a significant healthcare failure cases in the UK. Between 2005 and 2008, there has been identified deficiencies in leadership, governance, staffing levels and oganisational culture which contributed to avoidable patient harm, poor standards of care and increased mortality that lead to the Francis Public Inquiry (</w:t>
      </w:r>
      <w:r w:rsidRPr="00666BBF">
        <w:rPr>
          <w:rFonts w:ascii="Arial" w:hAnsi="Arial" w:cs="Arial"/>
          <w:sz w:val="22"/>
        </w:rPr>
        <w:t>Francis, 2013)</w:t>
      </w:r>
      <w:r w:rsidRPr="00666BBF">
        <w:rPr>
          <w:rFonts w:ascii="Arial" w:hAnsi="Arial" w:cs="Arial"/>
          <w:sz w:val="22"/>
          <w:lang w:val="en-US"/>
        </w:rPr>
        <w:t xml:space="preserve">. This report will applying the root cause analysis tool to determine the systemic failures and recognised the problems to use quality improvement tools including Fishbone analysis, 5Whys Framework, Donabedian Model and SWOT analysis . Further, based on the problems, evidence-based recommendations will be suggested with implementation strategy using the Plan-Do-Study-Act framework. This would help to strengthen leadership, enhance quality governance, improve patient safety and support sustainable service improvement within healthcare organisations. </w:t>
      </w:r>
    </w:p>
    <w:p w14:paraId="0EDDAD41" w14:textId="77777777" w:rsidR="00A20F62" w:rsidRPr="00A20F62" w:rsidRDefault="00A20F62" w:rsidP="00A20F62">
      <w:pPr>
        <w:rPr>
          <w:lang w:val="en-US"/>
        </w:rPr>
      </w:pPr>
    </w:p>
    <w:p w14:paraId="35AE70B1" w14:textId="694C46F1" w:rsidR="00BE2D89" w:rsidRDefault="007B446A" w:rsidP="007B446A">
      <w:pPr>
        <w:pStyle w:val="Heading1"/>
        <w:rPr>
          <w:lang w:val="en-US"/>
        </w:rPr>
      </w:pPr>
      <w:r>
        <w:rPr>
          <w:lang w:val="en-US"/>
        </w:rPr>
        <w:t>Main Body</w:t>
      </w:r>
    </w:p>
    <w:p w14:paraId="628CBA66" w14:textId="77777777" w:rsidR="00A20F62" w:rsidRPr="00257214" w:rsidRDefault="00A20F62" w:rsidP="00A20F62">
      <w:pPr>
        <w:spacing w:line="360" w:lineRule="auto"/>
        <w:jc w:val="both"/>
        <w:rPr>
          <w:rFonts w:ascii="Arial" w:hAnsi="Arial" w:cs="Arial"/>
          <w:b/>
          <w:bCs/>
          <w:sz w:val="22"/>
          <w:szCs w:val="22"/>
          <w:lang w:val="en-US"/>
        </w:rPr>
      </w:pPr>
      <w:r w:rsidRPr="00257214">
        <w:rPr>
          <w:rFonts w:ascii="Arial" w:hAnsi="Arial" w:cs="Arial"/>
          <w:b/>
          <w:bCs/>
          <w:sz w:val="22"/>
          <w:szCs w:val="22"/>
          <w:lang w:val="en-US"/>
        </w:rPr>
        <w:t>Overview of the Continuous Quality Improvement</w:t>
      </w:r>
    </w:p>
    <w:p w14:paraId="4BD7C8D3" w14:textId="74A01265" w:rsidR="00A20F62" w:rsidRPr="00257214" w:rsidRDefault="00A20F62" w:rsidP="00A20F62">
      <w:pPr>
        <w:spacing w:line="360" w:lineRule="auto"/>
        <w:jc w:val="both"/>
        <w:rPr>
          <w:rFonts w:ascii="Arial" w:hAnsi="Arial" w:cs="Arial"/>
          <w:sz w:val="22"/>
          <w:szCs w:val="22"/>
          <w:lang w:val="en-US"/>
        </w:rPr>
      </w:pPr>
      <w:r w:rsidRPr="00257214">
        <w:rPr>
          <w:rFonts w:ascii="Arial" w:hAnsi="Arial" w:cs="Arial"/>
          <w:sz w:val="22"/>
          <w:szCs w:val="22"/>
          <w:lang w:val="en-US"/>
        </w:rPr>
        <w:lastRenderedPageBreak/>
        <w:t xml:space="preserve">The term quality improvement in healthcare setting refers to the collaborative efforts of families, healthcare professional, patients and carers to positively contribute to achieve positive patient health outcome, professional development and system performance (Aggarwal, Aeran and Rathee, 2019). In the context of the case study of the Mid Staffordshire NHS Foundation Trust, continuous quality improvement is important to address the workplace challenges within the hospital and its impact on patient outcome and wellbeing (Endalamaw </w:t>
      </w:r>
      <w:r w:rsidRPr="00257214">
        <w:rPr>
          <w:rFonts w:ascii="Arial" w:hAnsi="Arial" w:cs="Arial"/>
          <w:i/>
          <w:iCs/>
          <w:sz w:val="22"/>
          <w:szCs w:val="22"/>
          <w:lang w:val="en-US"/>
        </w:rPr>
        <w:t>et al.</w:t>
      </w:r>
      <w:r w:rsidRPr="00257214">
        <w:rPr>
          <w:rFonts w:ascii="Arial" w:hAnsi="Arial" w:cs="Arial"/>
          <w:sz w:val="22"/>
          <w:szCs w:val="22"/>
          <w:lang w:val="en-US"/>
        </w:rPr>
        <w:t xml:space="preserve">, 2024). Some of the key problems recognised within the Mid Staffordshire hospital </w:t>
      </w:r>
      <w:r w:rsidR="002E6E6C" w:rsidRPr="00257214">
        <w:rPr>
          <w:rFonts w:ascii="Arial" w:hAnsi="Arial" w:cs="Arial"/>
          <w:sz w:val="22"/>
          <w:szCs w:val="22"/>
          <w:lang w:val="en-US"/>
        </w:rPr>
        <w:t>include</w:t>
      </w:r>
      <w:r w:rsidRPr="00257214">
        <w:rPr>
          <w:rFonts w:ascii="Arial" w:hAnsi="Arial" w:cs="Arial"/>
          <w:sz w:val="22"/>
          <w:szCs w:val="22"/>
          <w:lang w:val="en-US"/>
        </w:rPr>
        <w:t xml:space="preserve"> inefficient or weak leadership, shortage of staff, poor organisational culture, poor accountability, governance, multidisciplinary working and patient involvement, cost reduction and prioritisation on financial targets. All of these issues within the hospital had invariably reflected upon compromised patient safety, care standards and negligence of patients. </w:t>
      </w:r>
    </w:p>
    <w:p w14:paraId="30402477" w14:textId="042EC6E3" w:rsidR="00A20F62" w:rsidRPr="00257214" w:rsidRDefault="00A20F62" w:rsidP="00A20F62">
      <w:pPr>
        <w:spacing w:line="360" w:lineRule="auto"/>
        <w:jc w:val="both"/>
        <w:rPr>
          <w:rFonts w:ascii="Arial" w:hAnsi="Arial" w:cs="Arial"/>
          <w:sz w:val="22"/>
          <w:szCs w:val="22"/>
          <w:lang w:val="en-US"/>
        </w:rPr>
      </w:pPr>
      <w:r w:rsidRPr="00257214">
        <w:rPr>
          <w:rFonts w:ascii="Arial" w:hAnsi="Arial" w:cs="Arial"/>
          <w:sz w:val="22"/>
          <w:szCs w:val="22"/>
          <w:lang w:val="en-US"/>
        </w:rPr>
        <w:t xml:space="preserve">Thereby, considering the overall problems, it becomes essential for the Mid Staffordshire hospital to implement quality improvement with the aim to transform the hospital into a better working environment. Tyler and Glasgow (2021) had supported that quality improvement paves the way for hospital to innovate service offerings to achieve positive health outcome. Therefore, implementing quality improvement within the case study will be significant in improving health outcome of patients through creating an environment of person-centeredness, strengthening of multidisciplinary working, promoting continuous learning environment and strengthening clinical leadership. The enquiry report of the Mid Staffordshire hospital clearly exhibited the extent and seriousness of the problems such as cost reduction measures, patient neglect, </w:t>
      </w:r>
      <w:r w:rsidR="002E6E6C" w:rsidRPr="00257214">
        <w:rPr>
          <w:rFonts w:ascii="Arial" w:hAnsi="Arial" w:cs="Arial"/>
          <w:sz w:val="22"/>
          <w:szCs w:val="22"/>
          <w:lang w:val="en-US"/>
        </w:rPr>
        <w:t>and lack</w:t>
      </w:r>
      <w:r w:rsidRPr="00257214">
        <w:rPr>
          <w:rFonts w:ascii="Arial" w:hAnsi="Arial" w:cs="Arial"/>
          <w:sz w:val="22"/>
          <w:szCs w:val="22"/>
          <w:lang w:val="en-US"/>
        </w:rPr>
        <w:t xml:space="preserve"> of patient involvement, poor communication, staff shortages and unsafe care practices (Francis, 2013). All of these problems triggered as the result of the poor policy reforms and governance within the hospital. Lack of governance measures and cost reduction targets are most likely to restrict hospital staff to deliver quality care interventions which in-turn reflect upon delayed care and neglect of needs of patients (George </w:t>
      </w:r>
      <w:r w:rsidRPr="00257214">
        <w:rPr>
          <w:rFonts w:ascii="Arial" w:hAnsi="Arial" w:cs="Arial"/>
          <w:i/>
          <w:iCs/>
          <w:sz w:val="22"/>
          <w:szCs w:val="22"/>
          <w:lang w:val="en-US"/>
        </w:rPr>
        <w:t>et al.</w:t>
      </w:r>
      <w:r w:rsidRPr="00257214">
        <w:rPr>
          <w:rFonts w:ascii="Arial" w:hAnsi="Arial" w:cs="Arial"/>
          <w:sz w:val="22"/>
          <w:szCs w:val="22"/>
          <w:lang w:val="en-US"/>
        </w:rPr>
        <w:t>, 2023).</w:t>
      </w:r>
    </w:p>
    <w:p w14:paraId="27C3AC98" w14:textId="778545D6" w:rsidR="00A20F62" w:rsidRPr="00257214" w:rsidRDefault="00A20F62" w:rsidP="00A20F62">
      <w:pPr>
        <w:spacing w:line="360" w:lineRule="auto"/>
        <w:jc w:val="both"/>
        <w:rPr>
          <w:rFonts w:ascii="Arial" w:hAnsi="Arial" w:cs="Arial"/>
          <w:b/>
          <w:bCs/>
          <w:sz w:val="22"/>
          <w:szCs w:val="22"/>
          <w:lang w:val="en-US"/>
        </w:rPr>
      </w:pPr>
      <w:r w:rsidRPr="00257214">
        <w:rPr>
          <w:rFonts w:ascii="Arial" w:hAnsi="Arial" w:cs="Arial"/>
          <w:b/>
          <w:bCs/>
          <w:sz w:val="22"/>
          <w:szCs w:val="22"/>
          <w:lang w:val="en-US"/>
        </w:rPr>
        <w:t xml:space="preserve">Swiss </w:t>
      </w:r>
      <w:r w:rsidR="002E6E6C" w:rsidRPr="00257214">
        <w:rPr>
          <w:rFonts w:ascii="Arial" w:hAnsi="Arial" w:cs="Arial"/>
          <w:b/>
          <w:bCs/>
          <w:sz w:val="22"/>
          <w:szCs w:val="22"/>
          <w:lang w:val="en-US"/>
        </w:rPr>
        <w:t>cheese</w:t>
      </w:r>
      <w:r w:rsidRPr="00257214">
        <w:rPr>
          <w:rFonts w:ascii="Arial" w:hAnsi="Arial" w:cs="Arial"/>
          <w:b/>
          <w:bCs/>
          <w:sz w:val="22"/>
          <w:szCs w:val="22"/>
          <w:lang w:val="en-US"/>
        </w:rPr>
        <w:t xml:space="preserve"> Model</w:t>
      </w:r>
    </w:p>
    <w:p w14:paraId="7964B94E" w14:textId="7BA16D95" w:rsidR="00F93123" w:rsidRPr="00A20F62" w:rsidRDefault="00A20F62" w:rsidP="00A20F62">
      <w:pPr>
        <w:spacing w:line="360" w:lineRule="auto"/>
        <w:jc w:val="both"/>
        <w:rPr>
          <w:rFonts w:ascii="Arial" w:hAnsi="Arial" w:cs="Arial"/>
          <w:sz w:val="22"/>
          <w:szCs w:val="22"/>
          <w:lang w:val="en-US"/>
        </w:rPr>
      </w:pPr>
      <w:r w:rsidRPr="00257214">
        <w:rPr>
          <w:rFonts w:ascii="Arial" w:hAnsi="Arial" w:cs="Arial"/>
          <w:sz w:val="22"/>
          <w:szCs w:val="22"/>
          <w:lang w:val="en-US"/>
        </w:rPr>
        <w:t xml:space="preserve">Swiss Cheese Model developed by James Reason outlines the link between errors in potential errors in different areas within the system can initiate an overall failure of the entire process (Wiegmann </w:t>
      </w:r>
      <w:r w:rsidRPr="00257214">
        <w:rPr>
          <w:rFonts w:ascii="Arial" w:hAnsi="Arial" w:cs="Arial"/>
          <w:i/>
          <w:iCs/>
          <w:sz w:val="22"/>
          <w:szCs w:val="22"/>
          <w:lang w:val="en-US"/>
        </w:rPr>
        <w:t>et al.</w:t>
      </w:r>
      <w:r w:rsidRPr="00257214">
        <w:rPr>
          <w:rFonts w:ascii="Arial" w:hAnsi="Arial" w:cs="Arial"/>
          <w:sz w:val="22"/>
          <w:szCs w:val="22"/>
          <w:lang w:val="en-US"/>
        </w:rPr>
        <w:t xml:space="preserve">, 2022). The key fundamental principles of the Swiss Cheese Model that could be aligned with the case study of Mid Staffordshire hospital includes application of cost-cutting measures directly reflected on compromised safety and wellbeing. Inadequate service standards of working practiced within the hospital as the result of poor leadership and </w:t>
      </w:r>
      <w:r w:rsidRPr="00257214">
        <w:rPr>
          <w:rFonts w:ascii="Arial" w:hAnsi="Arial" w:cs="Arial"/>
          <w:sz w:val="22"/>
          <w:szCs w:val="22"/>
          <w:lang w:val="en-US"/>
        </w:rPr>
        <w:lastRenderedPageBreak/>
        <w:t xml:space="preserve">governance; staff shortages and weak governance have resulted in the overall failure of the care standard process in achieving positive patient outcome (Acevedo-Peña </w:t>
      </w:r>
      <w:r w:rsidRPr="00257214">
        <w:rPr>
          <w:rFonts w:ascii="Arial" w:hAnsi="Arial" w:cs="Arial"/>
          <w:i/>
          <w:iCs/>
          <w:sz w:val="22"/>
          <w:szCs w:val="22"/>
          <w:lang w:val="en-US"/>
        </w:rPr>
        <w:t>et al.</w:t>
      </w:r>
      <w:r w:rsidRPr="00257214">
        <w:rPr>
          <w:rFonts w:ascii="Arial" w:hAnsi="Arial" w:cs="Arial"/>
          <w:sz w:val="22"/>
          <w:szCs w:val="22"/>
          <w:lang w:val="en-US"/>
        </w:rPr>
        <w:t xml:space="preserve">, 2026). </w:t>
      </w:r>
    </w:p>
    <w:p w14:paraId="4A03B971" w14:textId="7AF5E024" w:rsidR="007B446A" w:rsidRDefault="007B446A" w:rsidP="00A20F62">
      <w:pPr>
        <w:spacing w:line="360" w:lineRule="auto"/>
        <w:jc w:val="both"/>
        <w:rPr>
          <w:rFonts w:ascii="Arial" w:hAnsi="Arial" w:cs="Arial"/>
          <w:b/>
          <w:bCs/>
          <w:sz w:val="22"/>
          <w:szCs w:val="28"/>
          <w:lang w:val="en-US"/>
        </w:rPr>
      </w:pPr>
      <w:r w:rsidRPr="00A20F62">
        <w:rPr>
          <w:rFonts w:ascii="Arial" w:hAnsi="Arial" w:cs="Arial"/>
          <w:b/>
          <w:bCs/>
          <w:sz w:val="22"/>
          <w:szCs w:val="28"/>
          <w:lang w:val="en-US"/>
        </w:rPr>
        <w:t>Identifying the Root Cause</w:t>
      </w:r>
    </w:p>
    <w:p w14:paraId="396F144D" w14:textId="77777777" w:rsidR="008B5848" w:rsidRPr="00D36F63" w:rsidRDefault="008B5848" w:rsidP="008B5848">
      <w:pPr>
        <w:spacing w:line="360" w:lineRule="auto"/>
        <w:jc w:val="both"/>
        <w:rPr>
          <w:rFonts w:ascii="Arial" w:hAnsi="Arial" w:cs="Arial"/>
          <w:sz w:val="22"/>
          <w:lang w:val="en-US"/>
        </w:rPr>
      </w:pPr>
      <w:r w:rsidRPr="00D36F63">
        <w:rPr>
          <w:rFonts w:ascii="Arial" w:hAnsi="Arial" w:cs="Arial"/>
          <w:sz w:val="22"/>
          <w:lang w:val="en-US"/>
        </w:rPr>
        <w:t>Root Cause Analysis (RCA) is considered to be a structured method which has the goal of identifying the underlying problems and analyse the serious adverse events in healthcare processes (AHRQ, 2024). Under the RCA framework, it is important to identify the underlying problems since it could increase the likelihood of an error with a non-punitive approach. There are different RCA tools which are applied in health and social care such as Fishbone Analysis and 5 Whys (</w:t>
      </w:r>
      <w:r w:rsidRPr="00D36F63">
        <w:rPr>
          <w:rFonts w:ascii="Arial" w:hAnsi="Arial" w:cs="Arial"/>
          <w:sz w:val="22"/>
        </w:rPr>
        <w:t>Renger, Davis and Granillo, 2018)</w:t>
      </w:r>
      <w:r w:rsidRPr="00D36F63">
        <w:rPr>
          <w:rFonts w:ascii="Arial" w:hAnsi="Arial" w:cs="Arial"/>
          <w:sz w:val="22"/>
          <w:lang w:val="en-US"/>
        </w:rPr>
        <w:t>. In regards to the Mid Staffordshire case, the systemic failures at the organisation will be analysed using the fishbone tool. Fishbone analysis diagram or Ishikawa diagram is the visual tool which supports the individual and teams to understand and determine the root causes of a specific problem (</w:t>
      </w:r>
      <w:r w:rsidRPr="00D36F63">
        <w:rPr>
          <w:rFonts w:ascii="Arial" w:hAnsi="Arial" w:cs="Arial"/>
          <w:sz w:val="22"/>
        </w:rPr>
        <w:t xml:space="preserve">Kumah </w:t>
      </w:r>
      <w:r w:rsidRPr="00D36F63">
        <w:rPr>
          <w:rFonts w:ascii="Arial" w:hAnsi="Arial" w:cs="Arial"/>
          <w:i/>
          <w:sz w:val="22"/>
        </w:rPr>
        <w:t>et al.</w:t>
      </w:r>
      <w:r w:rsidRPr="00D36F63">
        <w:rPr>
          <w:rFonts w:ascii="Arial" w:hAnsi="Arial" w:cs="Arial"/>
          <w:sz w:val="22"/>
        </w:rPr>
        <w:t>, 2024)</w:t>
      </w:r>
      <w:r w:rsidRPr="00D36F63">
        <w:rPr>
          <w:rFonts w:ascii="Arial" w:hAnsi="Arial" w:cs="Arial"/>
          <w:sz w:val="22"/>
          <w:lang w:val="en-US"/>
        </w:rPr>
        <w:t xml:space="preserve">. A simple fishbone analysis diagram will be developed since this version does not have predetermined categories offering flexibility to develop specific causes suitable for analysing the systemic failures at Mid Staffordshire NHS Foundation Trust. The fishbone analysis diagram for Mid Staffordshire case is developed below: </w:t>
      </w:r>
    </w:p>
    <w:p w14:paraId="756AA244" w14:textId="77777777" w:rsidR="008B5848" w:rsidRDefault="008B5848" w:rsidP="008B5848">
      <w:pPr>
        <w:spacing w:line="360" w:lineRule="auto"/>
        <w:jc w:val="both"/>
        <w:rPr>
          <w:rFonts w:ascii="Times New Roman" w:hAnsi="Times New Roman" w:cs="Times New Roman"/>
          <w:lang w:val="en-US"/>
        </w:rPr>
      </w:pPr>
      <w:r>
        <w:rPr>
          <w:noProof/>
          <w:lang w:val="en-US" w:bidi="ar-SA"/>
        </w:rPr>
        <w:drawing>
          <wp:inline distT="0" distB="0" distL="0" distR="0" wp14:anchorId="6AF12528" wp14:editId="402B6133">
            <wp:extent cx="5943600" cy="2841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2841625"/>
                    </a:xfrm>
                    <a:prstGeom prst="rect">
                      <a:avLst/>
                    </a:prstGeom>
                  </pic:spPr>
                </pic:pic>
              </a:graphicData>
            </a:graphic>
          </wp:inline>
        </w:drawing>
      </w:r>
    </w:p>
    <w:p w14:paraId="16DFF1CF" w14:textId="77777777" w:rsidR="008B5848" w:rsidRDefault="008B5848" w:rsidP="008B5848">
      <w:pPr>
        <w:pStyle w:val="Caption"/>
      </w:pPr>
      <w:r>
        <w:t xml:space="preserve">Figure </w:t>
      </w:r>
      <w:r>
        <w:fldChar w:fldCharType="begin"/>
      </w:r>
      <w:r>
        <w:instrText xml:space="preserve"> SEQ Figure \* ARABIC </w:instrText>
      </w:r>
      <w:r>
        <w:fldChar w:fldCharType="separate"/>
      </w:r>
      <w:r>
        <w:rPr>
          <w:noProof/>
        </w:rPr>
        <w:t>1</w:t>
      </w:r>
      <w:r>
        <w:fldChar w:fldCharType="end"/>
      </w:r>
      <w:r>
        <w:t>: Fishbone Analysis Diagram</w:t>
      </w:r>
    </w:p>
    <w:p w14:paraId="284C4347" w14:textId="77777777" w:rsidR="008B5848" w:rsidRPr="0065230E" w:rsidRDefault="008B5848" w:rsidP="008B5848">
      <w:pPr>
        <w:pStyle w:val="Caption"/>
      </w:pPr>
      <w:r>
        <w:t>Source: Self</w:t>
      </w:r>
    </w:p>
    <w:p w14:paraId="10BDD3A9" w14:textId="77777777" w:rsidR="008B5848" w:rsidRPr="00D36F63" w:rsidRDefault="008B5848" w:rsidP="008B5848">
      <w:pPr>
        <w:spacing w:line="360" w:lineRule="auto"/>
        <w:jc w:val="both"/>
        <w:rPr>
          <w:rFonts w:ascii="Arial" w:hAnsi="Arial" w:cs="Arial"/>
          <w:sz w:val="22"/>
          <w:lang w:val="en-US"/>
        </w:rPr>
      </w:pPr>
      <w:r w:rsidRPr="00D36F63">
        <w:rPr>
          <w:rFonts w:ascii="Arial" w:hAnsi="Arial" w:cs="Arial"/>
          <w:sz w:val="22"/>
          <w:lang w:val="en-US"/>
        </w:rPr>
        <w:t xml:space="preserve">Leadership and governance had been weak with inadequate board oversight and lack of accountability of the staff and organisation which paved the path for unsafe practices </w:t>
      </w:r>
      <w:r w:rsidRPr="00D36F63">
        <w:rPr>
          <w:rFonts w:ascii="Arial" w:hAnsi="Arial" w:cs="Arial"/>
          <w:sz w:val="22"/>
          <w:lang w:val="en-US"/>
        </w:rPr>
        <w:lastRenderedPageBreak/>
        <w:t>compromising patient safety despite receiving repeated warning signs. The Trust board mainly focused on the status and financial targets disregarding the need for monitoring the deteriorating patients under effective leadership and governance (</w:t>
      </w:r>
      <w:r w:rsidRPr="00D36F63">
        <w:rPr>
          <w:rFonts w:ascii="Arial" w:hAnsi="Arial" w:cs="Arial"/>
          <w:sz w:val="22"/>
        </w:rPr>
        <w:t>Francis, 2013)</w:t>
      </w:r>
      <w:r w:rsidRPr="00D36F63">
        <w:rPr>
          <w:rFonts w:ascii="Arial" w:hAnsi="Arial" w:cs="Arial"/>
          <w:sz w:val="22"/>
          <w:lang w:val="en-US"/>
        </w:rPr>
        <w:t xml:space="preserve">. According to </w:t>
      </w:r>
      <w:r w:rsidRPr="00D36F63">
        <w:rPr>
          <w:rFonts w:ascii="Arial" w:hAnsi="Arial" w:cs="Arial"/>
          <w:sz w:val="22"/>
        </w:rPr>
        <w:t>Singh, Yeravdekar and Jadhav (2023)</w:t>
      </w:r>
      <w:r w:rsidRPr="00D36F63">
        <w:rPr>
          <w:rFonts w:ascii="Arial" w:hAnsi="Arial" w:cs="Arial"/>
          <w:sz w:val="22"/>
          <w:lang w:val="en-US"/>
        </w:rPr>
        <w:t xml:space="preserve">, transformational leadership and governance are crucial for patient safety since it helps in promoting a safety culture, establishing accountability and supporting evidence-based decision making for continuous quality improvement. </w:t>
      </w:r>
    </w:p>
    <w:p w14:paraId="5D6DBE34" w14:textId="77777777" w:rsidR="008B5848" w:rsidRPr="00D36F63" w:rsidRDefault="008B5848" w:rsidP="008B5848">
      <w:pPr>
        <w:spacing w:line="360" w:lineRule="auto"/>
        <w:jc w:val="both"/>
        <w:rPr>
          <w:rFonts w:ascii="Arial" w:hAnsi="Arial" w:cs="Arial"/>
          <w:sz w:val="22"/>
          <w:lang w:val="en-US"/>
        </w:rPr>
      </w:pPr>
      <w:r w:rsidRPr="00D36F63">
        <w:rPr>
          <w:rFonts w:ascii="Arial" w:hAnsi="Arial" w:cs="Arial"/>
          <w:sz w:val="22"/>
          <w:lang w:val="en-US"/>
        </w:rPr>
        <w:t>Workforce has been crucial cause of the systemic failure at Mid Staffordshire case which is attributed chronic understaffing, excessive workload and inadequate training which impaired the ability of the healthcare professionals to deliver safe and compassionate care. As per Francis Inquiry, there have been numerous occasions documented where patients were left without food and drinking water with soiled bedding for prolonged periods and no assisted eating due to insufficient staff. This has caused severe dehydration and malnutrition of the patients compromising safety (</w:t>
      </w:r>
      <w:r w:rsidRPr="00D36F63">
        <w:rPr>
          <w:rFonts w:ascii="Arial" w:hAnsi="Arial" w:cs="Arial"/>
          <w:sz w:val="22"/>
        </w:rPr>
        <w:t>Francis, 2013)</w:t>
      </w:r>
      <w:r w:rsidRPr="00D36F63">
        <w:rPr>
          <w:rFonts w:ascii="Arial" w:hAnsi="Arial" w:cs="Arial"/>
          <w:sz w:val="22"/>
          <w:lang w:val="en-US"/>
        </w:rPr>
        <w:t xml:space="preserve">. A well-trained and sufficient workforce ensures that there is effective monitoring of the patients while they would receive timely and compassionate care. Adequate staffing is also significant for reducing medication errors, missed cares and patient deterioration thereby improving quality of care (Drennan </w:t>
      </w:r>
      <w:r w:rsidRPr="00D36F63">
        <w:rPr>
          <w:rFonts w:ascii="Arial" w:hAnsi="Arial" w:cs="Arial"/>
          <w:i/>
          <w:sz w:val="22"/>
          <w:lang w:val="en-US"/>
        </w:rPr>
        <w:t>et al.</w:t>
      </w:r>
      <w:r w:rsidRPr="00D36F63">
        <w:rPr>
          <w:rFonts w:ascii="Arial" w:hAnsi="Arial" w:cs="Arial"/>
          <w:sz w:val="22"/>
          <w:lang w:val="en-US"/>
        </w:rPr>
        <w:t xml:space="preserve">, 2024). </w:t>
      </w:r>
    </w:p>
    <w:p w14:paraId="5626B97D" w14:textId="77777777" w:rsidR="008B5848" w:rsidRPr="00D36F63" w:rsidRDefault="008B5848" w:rsidP="008B5848">
      <w:pPr>
        <w:spacing w:line="360" w:lineRule="auto"/>
        <w:jc w:val="both"/>
        <w:rPr>
          <w:rFonts w:ascii="Arial" w:hAnsi="Arial" w:cs="Arial"/>
          <w:sz w:val="22"/>
          <w:lang w:val="en-US"/>
        </w:rPr>
      </w:pPr>
      <w:r w:rsidRPr="00D36F63">
        <w:rPr>
          <w:rFonts w:ascii="Arial" w:hAnsi="Arial" w:cs="Arial"/>
          <w:sz w:val="22"/>
          <w:lang w:val="en-US"/>
        </w:rPr>
        <w:t>The Mid Staffordshire case has also highlighted poor communication as a significant problem where there had been ineffective escalation of patient deterioration by the staff and that staffs were often ignored due to poor communication between the departments thereby delaying treatments (</w:t>
      </w:r>
      <w:r w:rsidRPr="00D36F63">
        <w:rPr>
          <w:rFonts w:ascii="Arial" w:hAnsi="Arial" w:cs="Arial"/>
          <w:sz w:val="22"/>
        </w:rPr>
        <w:t>Francis, 2013)</w:t>
      </w:r>
      <w:r w:rsidRPr="00D36F63">
        <w:rPr>
          <w:rFonts w:ascii="Arial" w:hAnsi="Arial" w:cs="Arial"/>
          <w:sz w:val="22"/>
          <w:lang w:val="en-US"/>
        </w:rPr>
        <w:t>. According to Norman (2024), effective communication between healthcare staffs and departments is essential for patient safety and quality of care as it enables accurate handovers, timely escalation of deterioration, and coordination in multidisciplinary teams and reinforces informed decisions. The Trust also developed a culture which emphasised more on government targets rather than patient welfare. This was evident when staff did not receive managerial support and reported fear of raising concerns due to the blame culture (</w:t>
      </w:r>
      <w:r w:rsidRPr="00D36F63">
        <w:rPr>
          <w:rFonts w:ascii="Arial" w:hAnsi="Arial" w:cs="Arial"/>
          <w:sz w:val="22"/>
        </w:rPr>
        <w:t>Francis, 2013)</w:t>
      </w:r>
      <w:r w:rsidRPr="00D36F63">
        <w:rPr>
          <w:rFonts w:ascii="Arial" w:hAnsi="Arial" w:cs="Arial"/>
          <w:sz w:val="22"/>
          <w:lang w:val="en-US"/>
        </w:rPr>
        <w:t xml:space="preserve">. A positive organisational culture is effective for patient safety as it encourages open communication, alleviates fear of being blamed and promotes learning from errors thereby reducing preventable harm and improving quality of care </w:t>
      </w:r>
      <w:r w:rsidRPr="00D36F63">
        <w:rPr>
          <w:rFonts w:ascii="Arial" w:hAnsi="Arial" w:cs="Arial"/>
          <w:sz w:val="22"/>
        </w:rPr>
        <w:t xml:space="preserve">(Vibe </w:t>
      </w:r>
      <w:r w:rsidRPr="00D36F63">
        <w:rPr>
          <w:rFonts w:ascii="Arial" w:hAnsi="Arial" w:cs="Arial"/>
          <w:i/>
          <w:iCs/>
          <w:sz w:val="22"/>
        </w:rPr>
        <w:t>et al.</w:t>
      </w:r>
      <w:r w:rsidRPr="00D36F63">
        <w:rPr>
          <w:rFonts w:ascii="Arial" w:hAnsi="Arial" w:cs="Arial"/>
          <w:sz w:val="22"/>
        </w:rPr>
        <w:t>, 2024)</w:t>
      </w:r>
      <w:r w:rsidRPr="00D36F63">
        <w:rPr>
          <w:rFonts w:ascii="Arial" w:hAnsi="Arial" w:cs="Arial"/>
          <w:sz w:val="22"/>
          <w:lang w:val="en-US"/>
        </w:rPr>
        <w:t xml:space="preserve">. </w:t>
      </w:r>
    </w:p>
    <w:p w14:paraId="26A6E021" w14:textId="77777777" w:rsidR="008B5848" w:rsidRPr="00D36F63" w:rsidRDefault="008B5848" w:rsidP="008B5848">
      <w:pPr>
        <w:spacing w:line="360" w:lineRule="auto"/>
        <w:jc w:val="both"/>
        <w:rPr>
          <w:rFonts w:ascii="Arial" w:hAnsi="Arial" w:cs="Arial"/>
          <w:sz w:val="22"/>
          <w:lang w:val="en-US"/>
        </w:rPr>
      </w:pPr>
      <w:r w:rsidRPr="00D36F63">
        <w:rPr>
          <w:rFonts w:ascii="Arial" w:hAnsi="Arial" w:cs="Arial"/>
          <w:sz w:val="22"/>
          <w:lang w:val="en-US"/>
        </w:rPr>
        <w:t>Patient involvement was limited at the Trust as the patients and family members repeatedly complained about the poor standards of care that went unheard rarely translating into any meaningful service improvements (</w:t>
      </w:r>
      <w:r w:rsidRPr="00D36F63">
        <w:rPr>
          <w:rFonts w:ascii="Arial" w:hAnsi="Arial" w:cs="Arial"/>
          <w:sz w:val="22"/>
        </w:rPr>
        <w:t>Francis, 2013)</w:t>
      </w:r>
      <w:r w:rsidRPr="00D36F63">
        <w:rPr>
          <w:rFonts w:ascii="Arial" w:hAnsi="Arial" w:cs="Arial"/>
          <w:sz w:val="22"/>
          <w:lang w:val="en-US"/>
        </w:rPr>
        <w:t>. Patient involvement improves shared decision-making, identifies care deficiencies and strengthens accountability promoting continuous quality improvement and preventing recurrent safety failures (</w:t>
      </w:r>
      <w:r w:rsidRPr="00D36F63">
        <w:rPr>
          <w:rFonts w:ascii="Arial" w:hAnsi="Arial" w:cs="Arial"/>
          <w:sz w:val="22"/>
        </w:rPr>
        <w:t xml:space="preserve">Fucile </w:t>
      </w:r>
      <w:r w:rsidRPr="00D36F63">
        <w:rPr>
          <w:rFonts w:ascii="Arial" w:hAnsi="Arial" w:cs="Arial"/>
          <w:i/>
          <w:sz w:val="22"/>
        </w:rPr>
        <w:t>et al.</w:t>
      </w:r>
      <w:r w:rsidRPr="00D36F63">
        <w:rPr>
          <w:rFonts w:ascii="Arial" w:hAnsi="Arial" w:cs="Arial"/>
          <w:sz w:val="22"/>
        </w:rPr>
        <w:t>, 2017)</w:t>
      </w:r>
      <w:r w:rsidRPr="00D36F63">
        <w:rPr>
          <w:rFonts w:ascii="Arial" w:hAnsi="Arial" w:cs="Arial"/>
          <w:sz w:val="22"/>
          <w:lang w:val="en-US"/>
        </w:rPr>
        <w:t>.</w:t>
      </w:r>
    </w:p>
    <w:p w14:paraId="34C7BC75" w14:textId="45A4BE63" w:rsidR="007B446A" w:rsidRDefault="007B446A" w:rsidP="00A20F62">
      <w:pPr>
        <w:spacing w:line="360" w:lineRule="auto"/>
        <w:jc w:val="both"/>
        <w:rPr>
          <w:rFonts w:ascii="Arial" w:hAnsi="Arial" w:cs="Arial"/>
          <w:b/>
          <w:bCs/>
          <w:sz w:val="22"/>
          <w:szCs w:val="28"/>
          <w:lang w:val="en-US"/>
        </w:rPr>
      </w:pPr>
      <w:r w:rsidRPr="00A20F62">
        <w:rPr>
          <w:rFonts w:ascii="Arial" w:hAnsi="Arial" w:cs="Arial"/>
          <w:b/>
          <w:bCs/>
          <w:sz w:val="22"/>
          <w:szCs w:val="28"/>
          <w:lang w:val="en-US"/>
        </w:rPr>
        <w:lastRenderedPageBreak/>
        <w:t>Reflect on augmenting your Fish Bone with the 5Y’s framework</w:t>
      </w:r>
    </w:p>
    <w:p w14:paraId="456A058C" w14:textId="7777777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The 5 Whys Framework is a significant model that supports an</w:t>
      </w:r>
      <w:r>
        <w:rPr>
          <w:rFonts w:ascii="Arial" w:hAnsi="Arial" w:cs="Arial"/>
          <w:sz w:val="22"/>
          <w:szCs w:val="22"/>
          <w:lang w:val="en-US"/>
        </w:rPr>
        <w:t>d complements the Fishbone analy</w:t>
      </w:r>
      <w:r w:rsidRPr="00D36F63">
        <w:rPr>
          <w:rFonts w:ascii="Arial" w:hAnsi="Arial" w:cs="Arial"/>
          <w:sz w:val="22"/>
          <w:szCs w:val="22"/>
          <w:lang w:val="en-US"/>
        </w:rPr>
        <w:t>sis by exploring the identified problems in a systematic way until the underlying systemic causes are determined. This technique develops a logical sequence of questioning which distinguishes the root causes from symptoms and this is crucial for supporting the sustainable quality improvement (</w:t>
      </w:r>
      <w:r w:rsidRPr="00D36F63">
        <w:rPr>
          <w:rFonts w:ascii="Arial" w:hAnsi="Arial" w:cs="Arial"/>
          <w:sz w:val="22"/>
          <w:szCs w:val="22"/>
        </w:rPr>
        <w:t>Joint Commission Resources, Inc, 2017)</w:t>
      </w:r>
      <w:r w:rsidRPr="00D36F63">
        <w:rPr>
          <w:rFonts w:ascii="Arial" w:hAnsi="Arial" w:cs="Arial"/>
          <w:sz w:val="22"/>
          <w:szCs w:val="22"/>
          <w:lang w:val="en-US"/>
        </w:rPr>
        <w:t xml:space="preserve">. Considering Mid Staffordshire case, this framework has been applied below to identify the underlying cause of systemic failures where poor standards of care being the problem. </w:t>
      </w:r>
    </w:p>
    <w:p w14:paraId="0F63B104" w14:textId="107C6677" w:rsidR="0025369C" w:rsidRPr="00D36F63" w:rsidRDefault="0025369C" w:rsidP="0025369C">
      <w:pPr>
        <w:spacing w:line="360" w:lineRule="auto"/>
        <w:jc w:val="both"/>
        <w:rPr>
          <w:rFonts w:ascii="Arial" w:hAnsi="Arial" w:cs="Arial"/>
          <w:b/>
          <w:sz w:val="22"/>
          <w:szCs w:val="22"/>
          <w:lang w:val="en-US"/>
        </w:rPr>
      </w:pPr>
      <w:r w:rsidRPr="00D36F63">
        <w:rPr>
          <w:rFonts w:ascii="Arial" w:hAnsi="Arial" w:cs="Arial"/>
          <w:b/>
          <w:sz w:val="22"/>
          <w:szCs w:val="22"/>
          <w:lang w:val="en-US"/>
        </w:rPr>
        <w:t xml:space="preserve">Why? – Why poor standards of care were provided to the patients? </w:t>
      </w:r>
    </w:p>
    <w:p w14:paraId="7E8AA22B" w14:textId="7777777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Because there were shortage of staffs, poor monitoring and delayed delivery of care and escalation</w:t>
      </w:r>
    </w:p>
    <w:p w14:paraId="277C42E9" w14:textId="0F739B94" w:rsidR="0025369C" w:rsidRPr="00D36F63" w:rsidRDefault="0025369C" w:rsidP="0025369C">
      <w:pPr>
        <w:spacing w:line="360" w:lineRule="auto"/>
        <w:jc w:val="both"/>
        <w:rPr>
          <w:rFonts w:ascii="Arial" w:hAnsi="Arial" w:cs="Arial"/>
          <w:b/>
          <w:sz w:val="22"/>
          <w:szCs w:val="22"/>
          <w:lang w:val="en-US"/>
        </w:rPr>
      </w:pPr>
      <w:r w:rsidRPr="00D36F63">
        <w:rPr>
          <w:rFonts w:ascii="Arial" w:hAnsi="Arial" w:cs="Arial"/>
          <w:b/>
          <w:sz w:val="22"/>
          <w:szCs w:val="22"/>
          <w:lang w:val="en-US"/>
        </w:rPr>
        <w:t xml:space="preserve">Why? – Why was there shortage of staff? </w:t>
      </w:r>
    </w:p>
    <w:p w14:paraId="651F9EB6" w14:textId="7777777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 xml:space="preserve">Because the Trust focused on financial savings over workforce capacity </w:t>
      </w:r>
    </w:p>
    <w:p w14:paraId="0918A38E" w14:textId="61244705" w:rsidR="0025369C" w:rsidRPr="00D36F63" w:rsidRDefault="0025369C" w:rsidP="0025369C">
      <w:pPr>
        <w:spacing w:line="360" w:lineRule="auto"/>
        <w:jc w:val="both"/>
        <w:rPr>
          <w:rFonts w:ascii="Arial" w:hAnsi="Arial" w:cs="Arial"/>
          <w:b/>
          <w:sz w:val="22"/>
          <w:szCs w:val="22"/>
          <w:lang w:val="en-US"/>
        </w:rPr>
      </w:pPr>
      <w:r w:rsidRPr="00D36F63">
        <w:rPr>
          <w:rFonts w:ascii="Arial" w:hAnsi="Arial" w:cs="Arial"/>
          <w:b/>
          <w:sz w:val="22"/>
          <w:szCs w:val="22"/>
          <w:lang w:val="en-US"/>
        </w:rPr>
        <w:t xml:space="preserve">Why? – Why did the Trust prioritised financial targets over patient care? </w:t>
      </w:r>
    </w:p>
    <w:p w14:paraId="11474698" w14:textId="0C699BC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 xml:space="preserve">Because the senior leadership and Board </w:t>
      </w:r>
      <w:r w:rsidR="009B134A" w:rsidRPr="00D36F63">
        <w:rPr>
          <w:rFonts w:ascii="Arial" w:hAnsi="Arial" w:cs="Arial"/>
          <w:sz w:val="22"/>
          <w:szCs w:val="22"/>
          <w:lang w:val="en-US"/>
        </w:rPr>
        <w:t>emphasised</w:t>
      </w:r>
      <w:r w:rsidRPr="00D36F63">
        <w:rPr>
          <w:rFonts w:ascii="Arial" w:hAnsi="Arial" w:cs="Arial"/>
          <w:sz w:val="22"/>
          <w:szCs w:val="22"/>
          <w:lang w:val="en-US"/>
        </w:rPr>
        <w:t xml:space="preserve"> organisational performance indicators rather than patient safety and quality of care (</w:t>
      </w:r>
      <w:r w:rsidRPr="00D36F63">
        <w:rPr>
          <w:rFonts w:ascii="Arial" w:hAnsi="Arial" w:cs="Arial"/>
          <w:sz w:val="22"/>
          <w:szCs w:val="22"/>
        </w:rPr>
        <w:t>Smith and Chambers, 2019).</w:t>
      </w:r>
    </w:p>
    <w:p w14:paraId="766BFE0C" w14:textId="77777777" w:rsidR="0025369C" w:rsidRPr="00D36F63" w:rsidRDefault="0025369C" w:rsidP="0025369C">
      <w:pPr>
        <w:spacing w:line="360" w:lineRule="auto"/>
        <w:jc w:val="both"/>
        <w:rPr>
          <w:rFonts w:ascii="Arial" w:hAnsi="Arial" w:cs="Arial"/>
          <w:b/>
          <w:sz w:val="22"/>
          <w:szCs w:val="22"/>
          <w:lang w:val="en-US"/>
        </w:rPr>
      </w:pPr>
      <w:r w:rsidRPr="00D36F63">
        <w:rPr>
          <w:rFonts w:ascii="Arial" w:hAnsi="Arial" w:cs="Arial"/>
          <w:b/>
          <w:sz w:val="22"/>
          <w:szCs w:val="22"/>
          <w:lang w:val="en-US"/>
        </w:rPr>
        <w:t xml:space="preserve">Why? – Why the leadership failed to promote patient safety and quality of care? </w:t>
      </w:r>
    </w:p>
    <w:p w14:paraId="27FE017B" w14:textId="1DC445DD"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 xml:space="preserve">Because there was weak governance with ineffective oversight and poor organisational culture that </w:t>
      </w:r>
      <w:r w:rsidR="009B134A" w:rsidRPr="00D36F63">
        <w:rPr>
          <w:rFonts w:ascii="Arial" w:hAnsi="Arial" w:cs="Arial"/>
          <w:sz w:val="22"/>
          <w:szCs w:val="22"/>
          <w:lang w:val="en-US"/>
        </w:rPr>
        <w:t>led</w:t>
      </w:r>
      <w:r w:rsidRPr="00D36F63">
        <w:rPr>
          <w:rFonts w:ascii="Arial" w:hAnsi="Arial" w:cs="Arial"/>
          <w:sz w:val="22"/>
          <w:szCs w:val="22"/>
          <w:lang w:val="en-US"/>
        </w:rPr>
        <w:t xml:space="preserve"> to the situation (Francis, 2013). </w:t>
      </w:r>
    </w:p>
    <w:p w14:paraId="568B8D8B" w14:textId="77777777" w:rsidR="0025369C" w:rsidRPr="00D36F63" w:rsidRDefault="0025369C" w:rsidP="0025369C">
      <w:pPr>
        <w:spacing w:line="360" w:lineRule="auto"/>
        <w:jc w:val="both"/>
        <w:rPr>
          <w:rFonts w:ascii="Arial" w:hAnsi="Arial" w:cs="Arial"/>
          <w:b/>
          <w:sz w:val="22"/>
          <w:szCs w:val="22"/>
          <w:lang w:val="en-US"/>
        </w:rPr>
      </w:pPr>
      <w:r w:rsidRPr="00D36F63">
        <w:rPr>
          <w:rFonts w:ascii="Arial" w:hAnsi="Arial" w:cs="Arial"/>
          <w:b/>
          <w:sz w:val="22"/>
          <w:szCs w:val="22"/>
          <w:lang w:val="en-US"/>
        </w:rPr>
        <w:t xml:space="preserve">Why? – Why was there ineffective governance? </w:t>
      </w:r>
    </w:p>
    <w:p w14:paraId="42C200BC" w14:textId="7777777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 xml:space="preserve">Because there were inefficacies in accountability mechanisms, patient feedback systems and regulatory oversight which led to failure in identifying and responding to the persistent patient safety concerns (Francis, 2013). </w:t>
      </w:r>
    </w:p>
    <w:p w14:paraId="27A31413" w14:textId="7334762E"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sz w:val="22"/>
          <w:szCs w:val="22"/>
          <w:lang w:val="en-US"/>
        </w:rPr>
        <w:t xml:space="preserve">While the fishbone analysis and 5 Whys framework helped to identify the underlying causes of the Mid Staffordshire failures, there is a need for further examining the impact of these failures using </w:t>
      </w:r>
      <w:r w:rsidR="009B134A" w:rsidRPr="00D36F63">
        <w:rPr>
          <w:rFonts w:ascii="Arial" w:hAnsi="Arial" w:cs="Arial"/>
          <w:sz w:val="22"/>
          <w:szCs w:val="22"/>
          <w:lang w:val="en-US"/>
        </w:rPr>
        <w:t>Donabedian’s</w:t>
      </w:r>
      <w:r w:rsidRPr="00D36F63">
        <w:rPr>
          <w:rFonts w:ascii="Arial" w:hAnsi="Arial" w:cs="Arial"/>
          <w:sz w:val="22"/>
          <w:szCs w:val="22"/>
          <w:lang w:val="en-US"/>
        </w:rPr>
        <w:t xml:space="preserve"> Structure-Process-Outcome model. This model is an effective framework which is used to evaluate the healthcare quality using the three core components and thereby proposing structural setups for improving the quality of care </w:t>
      </w:r>
      <w:r w:rsidRPr="00D36F63">
        <w:rPr>
          <w:rFonts w:ascii="Arial" w:hAnsi="Arial" w:cs="Arial"/>
          <w:sz w:val="22"/>
          <w:szCs w:val="22"/>
        </w:rPr>
        <w:t xml:space="preserve">(Yang </w:t>
      </w:r>
      <w:r w:rsidRPr="00D36F63">
        <w:rPr>
          <w:rFonts w:ascii="Arial" w:hAnsi="Arial" w:cs="Arial"/>
          <w:i/>
          <w:iCs/>
          <w:sz w:val="22"/>
          <w:szCs w:val="22"/>
        </w:rPr>
        <w:t>et al.</w:t>
      </w:r>
      <w:r w:rsidRPr="00D36F63">
        <w:rPr>
          <w:rFonts w:ascii="Arial" w:hAnsi="Arial" w:cs="Arial"/>
          <w:sz w:val="22"/>
          <w:szCs w:val="22"/>
        </w:rPr>
        <w:t>, 2025)</w:t>
      </w:r>
      <w:r w:rsidRPr="00D36F63">
        <w:rPr>
          <w:rFonts w:ascii="Arial" w:hAnsi="Arial" w:cs="Arial"/>
          <w:sz w:val="22"/>
          <w:szCs w:val="22"/>
          <w:lang w:val="en-US"/>
        </w:rPr>
        <w:t xml:space="preserve">. </w:t>
      </w:r>
    </w:p>
    <w:p w14:paraId="3645E655" w14:textId="77777777" w:rsidR="0025369C" w:rsidRPr="00D36F63" w:rsidRDefault="0025369C" w:rsidP="0025369C">
      <w:pPr>
        <w:spacing w:line="360" w:lineRule="auto"/>
        <w:jc w:val="both"/>
        <w:rPr>
          <w:rFonts w:ascii="Arial" w:hAnsi="Arial" w:cs="Arial"/>
          <w:sz w:val="22"/>
          <w:szCs w:val="22"/>
          <w:lang w:val="en-US"/>
        </w:rPr>
      </w:pPr>
      <w:r w:rsidRPr="00D36F63">
        <w:rPr>
          <w:rFonts w:ascii="Arial" w:hAnsi="Arial" w:cs="Arial"/>
          <w:noProof/>
          <w:sz w:val="22"/>
          <w:szCs w:val="22"/>
          <w:lang w:val="en-US" w:bidi="ar-SA"/>
        </w:rPr>
        <w:lastRenderedPageBreak/>
        <w:drawing>
          <wp:inline distT="0" distB="0" distL="0" distR="0" wp14:anchorId="70E0F401" wp14:editId="00FDAE66">
            <wp:extent cx="5943600" cy="3200400"/>
            <wp:effectExtent l="3810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2A22505" w14:textId="77777777" w:rsidR="0025369C" w:rsidRPr="00D36F63" w:rsidRDefault="0025369C" w:rsidP="0025369C">
      <w:pPr>
        <w:pStyle w:val="Caption"/>
        <w:spacing w:line="360" w:lineRule="auto"/>
        <w:jc w:val="both"/>
        <w:rPr>
          <w:rFonts w:ascii="Arial" w:hAnsi="Arial" w:cs="Arial"/>
          <w:sz w:val="22"/>
        </w:rPr>
      </w:pPr>
      <w:r w:rsidRPr="00D36F63">
        <w:rPr>
          <w:rFonts w:ascii="Arial" w:hAnsi="Arial" w:cs="Arial"/>
          <w:sz w:val="22"/>
        </w:rPr>
        <w:t xml:space="preserve">Figure </w:t>
      </w:r>
      <w:r w:rsidRPr="00D36F63">
        <w:rPr>
          <w:rFonts w:ascii="Arial" w:hAnsi="Arial" w:cs="Arial"/>
          <w:sz w:val="22"/>
        </w:rPr>
        <w:fldChar w:fldCharType="begin"/>
      </w:r>
      <w:r w:rsidRPr="00D36F63">
        <w:rPr>
          <w:rFonts w:ascii="Arial" w:hAnsi="Arial" w:cs="Arial"/>
          <w:sz w:val="22"/>
        </w:rPr>
        <w:instrText xml:space="preserve"> SEQ Figure \* ARABIC </w:instrText>
      </w:r>
      <w:r w:rsidRPr="00D36F63">
        <w:rPr>
          <w:rFonts w:ascii="Arial" w:hAnsi="Arial" w:cs="Arial"/>
          <w:sz w:val="22"/>
        </w:rPr>
        <w:fldChar w:fldCharType="separate"/>
      </w:r>
      <w:r w:rsidRPr="00D36F63">
        <w:rPr>
          <w:rFonts w:ascii="Arial" w:hAnsi="Arial" w:cs="Arial"/>
          <w:noProof/>
          <w:sz w:val="22"/>
        </w:rPr>
        <w:t>2</w:t>
      </w:r>
      <w:r w:rsidRPr="00D36F63">
        <w:rPr>
          <w:rFonts w:ascii="Arial" w:hAnsi="Arial" w:cs="Arial"/>
          <w:sz w:val="22"/>
        </w:rPr>
        <w:fldChar w:fldCharType="end"/>
      </w:r>
      <w:r w:rsidRPr="00D36F63">
        <w:rPr>
          <w:rFonts w:ascii="Arial" w:hAnsi="Arial" w:cs="Arial"/>
          <w:sz w:val="22"/>
        </w:rPr>
        <w:t>:</w:t>
      </w:r>
      <w:r w:rsidRPr="00D36F63">
        <w:rPr>
          <w:rFonts w:ascii="Arial" w:hAnsi="Arial" w:cs="Arial"/>
          <w:sz w:val="22"/>
          <w:lang w:val="en-US"/>
        </w:rPr>
        <w:t xml:space="preserve"> Donabedian’s Model</w:t>
      </w:r>
    </w:p>
    <w:p w14:paraId="1172F800" w14:textId="77777777" w:rsidR="0025369C" w:rsidRPr="00D36F63" w:rsidRDefault="0025369C" w:rsidP="0025369C">
      <w:pPr>
        <w:pStyle w:val="Caption"/>
        <w:spacing w:line="360" w:lineRule="auto"/>
        <w:jc w:val="both"/>
        <w:rPr>
          <w:rFonts w:ascii="Arial" w:hAnsi="Arial" w:cs="Arial"/>
          <w:sz w:val="22"/>
        </w:rPr>
      </w:pPr>
      <w:r w:rsidRPr="00D36F63">
        <w:rPr>
          <w:rFonts w:ascii="Arial" w:hAnsi="Arial" w:cs="Arial"/>
          <w:sz w:val="22"/>
        </w:rPr>
        <w:t>Source: Self</w:t>
      </w:r>
    </w:p>
    <w:p w14:paraId="4993C7EF" w14:textId="0E187AC2" w:rsidR="0025369C" w:rsidRPr="0088483F" w:rsidRDefault="0025369C" w:rsidP="00A20F62">
      <w:pPr>
        <w:spacing w:line="360" w:lineRule="auto"/>
        <w:jc w:val="both"/>
        <w:rPr>
          <w:rFonts w:ascii="Arial" w:hAnsi="Arial" w:cs="Arial"/>
          <w:sz w:val="22"/>
          <w:szCs w:val="22"/>
          <w:lang w:val="en-US"/>
        </w:rPr>
      </w:pPr>
      <w:r w:rsidRPr="00D36F63">
        <w:rPr>
          <w:rFonts w:ascii="Arial" w:hAnsi="Arial" w:cs="Arial"/>
          <w:sz w:val="22"/>
          <w:szCs w:val="22"/>
          <w:lang w:val="en-US"/>
        </w:rPr>
        <w:t xml:space="preserve">On applying this model, </w:t>
      </w:r>
      <w:r w:rsidRPr="00D36F63">
        <w:rPr>
          <w:rFonts w:ascii="Arial" w:hAnsi="Arial" w:cs="Arial"/>
          <w:b/>
          <w:sz w:val="22"/>
          <w:szCs w:val="22"/>
          <w:lang w:val="en-US"/>
        </w:rPr>
        <w:t>structure</w:t>
      </w:r>
      <w:r w:rsidRPr="00D36F63">
        <w:rPr>
          <w:rFonts w:ascii="Arial" w:hAnsi="Arial" w:cs="Arial"/>
          <w:sz w:val="22"/>
          <w:szCs w:val="22"/>
          <w:lang w:val="en-US"/>
        </w:rPr>
        <w:t xml:space="preserve"> is the organisational environment including leadership, governance and staffing which at Mid Staffordshire was ineffective since there was inadequate nursing staffing, ineffective leadership and weak governance which compromised patient safety and quality of care (</w:t>
      </w:r>
      <w:r w:rsidRPr="00D36F63">
        <w:rPr>
          <w:rFonts w:ascii="Arial" w:hAnsi="Arial" w:cs="Arial"/>
          <w:sz w:val="22"/>
          <w:szCs w:val="22"/>
        </w:rPr>
        <w:t>Smith and Chambers, 2019)</w:t>
      </w:r>
      <w:r w:rsidRPr="00D36F63">
        <w:rPr>
          <w:rFonts w:ascii="Arial" w:hAnsi="Arial" w:cs="Arial"/>
          <w:sz w:val="22"/>
          <w:szCs w:val="22"/>
          <w:lang w:val="en-US"/>
        </w:rPr>
        <w:t xml:space="preserve">. </w:t>
      </w:r>
      <w:r w:rsidRPr="00D36F63">
        <w:rPr>
          <w:rFonts w:ascii="Arial" w:hAnsi="Arial" w:cs="Arial"/>
          <w:b/>
          <w:sz w:val="22"/>
          <w:szCs w:val="22"/>
          <w:lang w:val="en-US"/>
        </w:rPr>
        <w:t>Process</w:t>
      </w:r>
      <w:r w:rsidRPr="00D36F63">
        <w:rPr>
          <w:rFonts w:ascii="Arial" w:hAnsi="Arial" w:cs="Arial"/>
          <w:sz w:val="22"/>
          <w:szCs w:val="22"/>
          <w:lang w:val="en-US"/>
        </w:rPr>
        <w:t xml:space="preserve"> entails the way healthcare is delivered where at the Trust there was poor communication, failure to escalate deterioration, inadequate patient monitoring and, neglecting nursing care and ineffective complaint handling which suggested significant failures to the care processes (Francis, 2013). </w:t>
      </w:r>
      <w:r w:rsidRPr="00D36F63">
        <w:rPr>
          <w:rFonts w:ascii="Arial" w:hAnsi="Arial" w:cs="Arial"/>
          <w:b/>
          <w:sz w:val="22"/>
          <w:szCs w:val="22"/>
          <w:lang w:val="en-US"/>
        </w:rPr>
        <w:t>Outcome</w:t>
      </w:r>
      <w:r w:rsidRPr="00D36F63">
        <w:rPr>
          <w:rFonts w:ascii="Arial" w:hAnsi="Arial" w:cs="Arial"/>
          <w:sz w:val="22"/>
          <w:szCs w:val="22"/>
          <w:lang w:val="en-US"/>
        </w:rPr>
        <w:t xml:space="preserve"> is related to the impact of care on the patients and the organisation as a whole. In this regards, there has been structural failures at the Trust which contributed to avoidable patient harm and increase mortality which led to loss of public trust and damage to the Trust’s reputation (Francis, 2013). Overall, the healthcare quality at the Trust needs improvement which could be strengthen through safe and standardised clinical processes, strengthening organisational structures and continuously monitoring patient outcomes as su</w:t>
      </w:r>
      <w:r w:rsidR="0088483F">
        <w:rPr>
          <w:rFonts w:ascii="Arial" w:hAnsi="Arial" w:cs="Arial"/>
          <w:sz w:val="22"/>
          <w:szCs w:val="22"/>
          <w:lang w:val="en-US"/>
        </w:rPr>
        <w:t xml:space="preserve">stainable quality improvement. </w:t>
      </w:r>
    </w:p>
    <w:p w14:paraId="1997C8CC" w14:textId="25B6ED3F" w:rsidR="00283935" w:rsidRDefault="00283935" w:rsidP="00A20F62">
      <w:pPr>
        <w:spacing w:line="360" w:lineRule="auto"/>
        <w:jc w:val="both"/>
        <w:rPr>
          <w:rFonts w:ascii="Arial" w:hAnsi="Arial" w:cs="Arial"/>
          <w:b/>
          <w:bCs/>
          <w:sz w:val="22"/>
          <w:szCs w:val="28"/>
          <w:lang w:val="en-US"/>
        </w:rPr>
      </w:pPr>
      <w:r w:rsidRPr="00A20F62">
        <w:rPr>
          <w:rFonts w:ascii="Arial" w:hAnsi="Arial" w:cs="Arial"/>
          <w:b/>
          <w:bCs/>
          <w:sz w:val="22"/>
          <w:szCs w:val="28"/>
          <w:lang w:val="en-US"/>
        </w:rPr>
        <w:t>Strategic Planning</w:t>
      </w:r>
    </w:p>
    <w:p w14:paraId="287FD4F0" w14:textId="496E56E9" w:rsidR="00CD3113" w:rsidRPr="00D36F63" w:rsidRDefault="004A6A8B" w:rsidP="00CD3113">
      <w:pPr>
        <w:spacing w:line="360" w:lineRule="auto"/>
        <w:jc w:val="both"/>
        <w:rPr>
          <w:rFonts w:ascii="Arial" w:hAnsi="Arial" w:cs="Arial"/>
          <w:sz w:val="22"/>
          <w:szCs w:val="22"/>
          <w:lang w:val="en-US"/>
        </w:rPr>
      </w:pPr>
      <w:r>
        <w:rPr>
          <w:rFonts w:ascii="Arial" w:hAnsi="Arial" w:cs="Arial"/>
          <w:sz w:val="22"/>
          <w:szCs w:val="22"/>
          <w:lang w:val="en-US"/>
        </w:rPr>
        <w:t>O</w:t>
      </w:r>
      <w:r w:rsidR="00CD3113" w:rsidRPr="00D36F63">
        <w:rPr>
          <w:rFonts w:ascii="Arial" w:hAnsi="Arial" w:cs="Arial"/>
          <w:sz w:val="22"/>
          <w:szCs w:val="22"/>
          <w:lang w:val="en-US"/>
        </w:rPr>
        <w:t xml:space="preserve">ne of the most suitable strategic planning tools is SWOT analysis which entails Strengths, Weaknesses, Opportunities and Threats. This tool supports evidence-based decision making to </w:t>
      </w:r>
      <w:r w:rsidR="00CD3113" w:rsidRPr="00D36F63">
        <w:rPr>
          <w:rFonts w:ascii="Arial" w:hAnsi="Arial" w:cs="Arial"/>
          <w:sz w:val="22"/>
          <w:szCs w:val="22"/>
          <w:lang w:val="en-US"/>
        </w:rPr>
        <w:lastRenderedPageBreak/>
        <w:t xml:space="preserve">match the organisation’s goals, capacities and programmes to the environment where the organisation operates </w:t>
      </w:r>
      <w:r w:rsidR="00CD3113" w:rsidRPr="00D36F63">
        <w:rPr>
          <w:rFonts w:ascii="Arial" w:hAnsi="Arial" w:cs="Arial"/>
          <w:sz w:val="22"/>
          <w:szCs w:val="22"/>
        </w:rPr>
        <w:t xml:space="preserve">(Benzaghta </w:t>
      </w:r>
      <w:r w:rsidR="00CD3113" w:rsidRPr="00D36F63">
        <w:rPr>
          <w:rFonts w:ascii="Arial" w:hAnsi="Arial" w:cs="Arial"/>
          <w:i/>
          <w:iCs/>
          <w:sz w:val="22"/>
          <w:szCs w:val="22"/>
        </w:rPr>
        <w:t>et al.</w:t>
      </w:r>
      <w:r w:rsidR="00CD3113" w:rsidRPr="00D36F63">
        <w:rPr>
          <w:rFonts w:ascii="Arial" w:hAnsi="Arial" w:cs="Arial"/>
          <w:sz w:val="22"/>
          <w:szCs w:val="22"/>
        </w:rPr>
        <w:t>, 2021)</w:t>
      </w:r>
      <w:r w:rsidR="00CD3113" w:rsidRPr="00D36F63">
        <w:rPr>
          <w:rFonts w:ascii="Arial" w:hAnsi="Arial" w:cs="Arial"/>
          <w:sz w:val="22"/>
          <w:szCs w:val="22"/>
          <w:lang w:val="en-US"/>
        </w:rPr>
        <w:t xml:space="preserve">. When applying to Mid Staffordshire NHS Foundation Trust, the SWOT analysis demonstrates an organisational learning that will inform the quality improvement initiatives in future. The </w:t>
      </w:r>
      <w:r w:rsidR="00CD3113" w:rsidRPr="00D36F63">
        <w:rPr>
          <w:rFonts w:ascii="Arial" w:hAnsi="Arial" w:cs="Arial"/>
          <w:b/>
          <w:sz w:val="22"/>
          <w:szCs w:val="22"/>
          <w:lang w:val="en-US"/>
        </w:rPr>
        <w:t>strength</w:t>
      </w:r>
      <w:r w:rsidR="00CD3113" w:rsidRPr="00D36F63">
        <w:rPr>
          <w:rFonts w:ascii="Arial" w:hAnsi="Arial" w:cs="Arial"/>
          <w:sz w:val="22"/>
          <w:szCs w:val="22"/>
          <w:lang w:val="en-US"/>
        </w:rPr>
        <w:t xml:space="preserve"> of the Trust is that there has been a presence of dedicated healthcare professionals who had been delivering care to the patients’ in spite of facing challenges and constraints (Francis, 2013). Therefore, there has been strong demonstration of commitment in supporting future organisational change. </w:t>
      </w:r>
    </w:p>
    <w:p w14:paraId="4B18BF26" w14:textId="77777777" w:rsidR="00CD3113" w:rsidRPr="00D36F63" w:rsidRDefault="00CD3113" w:rsidP="00CD3113">
      <w:pPr>
        <w:spacing w:line="360" w:lineRule="auto"/>
        <w:jc w:val="both"/>
        <w:rPr>
          <w:rFonts w:ascii="Arial" w:hAnsi="Arial" w:cs="Arial"/>
          <w:sz w:val="22"/>
          <w:szCs w:val="22"/>
          <w:lang w:val="en-US"/>
        </w:rPr>
      </w:pPr>
      <w:r w:rsidRPr="00D36F63">
        <w:rPr>
          <w:rFonts w:ascii="Arial" w:hAnsi="Arial" w:cs="Arial"/>
          <w:sz w:val="22"/>
          <w:szCs w:val="22"/>
          <w:lang w:val="en-US"/>
        </w:rPr>
        <w:t xml:space="preserve">The </w:t>
      </w:r>
      <w:r w:rsidRPr="00D36F63">
        <w:rPr>
          <w:rFonts w:ascii="Arial" w:hAnsi="Arial" w:cs="Arial"/>
          <w:b/>
          <w:sz w:val="22"/>
          <w:szCs w:val="22"/>
          <w:lang w:val="en-US"/>
        </w:rPr>
        <w:t>weaknesses</w:t>
      </w:r>
      <w:r w:rsidRPr="00D36F63">
        <w:rPr>
          <w:rFonts w:ascii="Arial" w:hAnsi="Arial" w:cs="Arial"/>
          <w:sz w:val="22"/>
          <w:szCs w:val="22"/>
          <w:lang w:val="en-US"/>
        </w:rPr>
        <w:t xml:space="preserve"> of the Trust include ineffective leadership, inadequate clinical governance with chronic workforce shortages and ineffective communication and organisational culture. The weakness also included the Trust’s focus and prioritisation of financial targets over patient care that continued to compromised quality of care and patient safety while also reduced public confidence which necessitated developing robust governance and continuous quality monitoring (Francis, 2013). </w:t>
      </w:r>
    </w:p>
    <w:p w14:paraId="0F69E4FB" w14:textId="77777777" w:rsidR="00CD3113" w:rsidRPr="00D36F63" w:rsidRDefault="00CD3113" w:rsidP="00CD3113">
      <w:pPr>
        <w:spacing w:line="360" w:lineRule="auto"/>
        <w:jc w:val="both"/>
        <w:rPr>
          <w:rFonts w:ascii="Arial" w:hAnsi="Arial" w:cs="Arial"/>
          <w:sz w:val="22"/>
          <w:szCs w:val="22"/>
          <w:lang w:val="en-US"/>
        </w:rPr>
      </w:pPr>
      <w:r w:rsidRPr="00D36F63">
        <w:rPr>
          <w:rFonts w:ascii="Arial" w:hAnsi="Arial" w:cs="Arial"/>
          <w:sz w:val="22"/>
          <w:szCs w:val="22"/>
          <w:lang w:val="en-US"/>
        </w:rPr>
        <w:t xml:space="preserve">In case of </w:t>
      </w:r>
      <w:r w:rsidRPr="00D36F63">
        <w:rPr>
          <w:rFonts w:ascii="Arial" w:hAnsi="Arial" w:cs="Arial"/>
          <w:b/>
          <w:sz w:val="22"/>
          <w:szCs w:val="22"/>
          <w:lang w:val="en-US"/>
        </w:rPr>
        <w:t>opportunities</w:t>
      </w:r>
      <w:r w:rsidRPr="00D36F63">
        <w:rPr>
          <w:rFonts w:ascii="Arial" w:hAnsi="Arial" w:cs="Arial"/>
          <w:sz w:val="22"/>
          <w:szCs w:val="22"/>
          <w:lang w:val="en-US"/>
        </w:rPr>
        <w:t xml:space="preserve">, the Trust has scope of implementing quality improvement initiatives to strengthen the quality of care through implementation of safe staffing policies, digital patient safety reporting systems, evidence-based leadership programmes, training for the multidisciplinary team and strong patient engagement strategies </w:t>
      </w:r>
      <w:r w:rsidRPr="00D36F63">
        <w:rPr>
          <w:rFonts w:ascii="Arial" w:hAnsi="Arial" w:cs="Arial"/>
          <w:sz w:val="22"/>
          <w:szCs w:val="22"/>
        </w:rPr>
        <w:t>(Powell, 2019)</w:t>
      </w:r>
      <w:r w:rsidRPr="00D36F63">
        <w:rPr>
          <w:rFonts w:ascii="Arial" w:hAnsi="Arial" w:cs="Arial"/>
          <w:sz w:val="22"/>
          <w:szCs w:val="22"/>
          <w:lang w:val="en-US"/>
        </w:rPr>
        <w:t>. This also signified that appointing transformational leader could promote a culture of continuous learning and also staff empowerment to improve patient safety and quality improvement outcomes. Additionally, the NHS Patient Safety Strategy would provide opportunity for Mid Staffordshire NHS Foundation Trust to utilise structured guidance for embedding a culture of continuous improvement and learning (</w:t>
      </w:r>
      <w:r w:rsidRPr="00D36F63">
        <w:rPr>
          <w:rFonts w:ascii="Arial" w:hAnsi="Arial" w:cs="Arial"/>
          <w:sz w:val="22"/>
          <w:szCs w:val="22"/>
        </w:rPr>
        <w:t>NHS England, 2019)</w:t>
      </w:r>
      <w:r w:rsidRPr="00D36F63">
        <w:rPr>
          <w:rFonts w:ascii="Arial" w:hAnsi="Arial" w:cs="Arial"/>
          <w:sz w:val="22"/>
          <w:szCs w:val="22"/>
          <w:lang w:val="en-US"/>
        </w:rPr>
        <w:t xml:space="preserve">. </w:t>
      </w:r>
    </w:p>
    <w:p w14:paraId="6C82324B" w14:textId="77777777" w:rsidR="00CD3113" w:rsidRPr="00D36F63" w:rsidRDefault="00CD3113" w:rsidP="00CD3113">
      <w:pPr>
        <w:spacing w:line="360" w:lineRule="auto"/>
        <w:jc w:val="both"/>
        <w:rPr>
          <w:rFonts w:ascii="Arial" w:hAnsi="Arial" w:cs="Arial"/>
          <w:sz w:val="22"/>
          <w:szCs w:val="22"/>
          <w:lang w:val="en-US"/>
        </w:rPr>
      </w:pPr>
      <w:r w:rsidRPr="00D36F63">
        <w:rPr>
          <w:rFonts w:ascii="Arial" w:hAnsi="Arial" w:cs="Arial"/>
          <w:sz w:val="22"/>
          <w:szCs w:val="22"/>
          <w:lang w:val="en-US"/>
        </w:rPr>
        <w:t xml:space="preserve">Lastly, the potential </w:t>
      </w:r>
      <w:r w:rsidRPr="00D36F63">
        <w:rPr>
          <w:rFonts w:ascii="Arial" w:hAnsi="Arial" w:cs="Arial"/>
          <w:b/>
          <w:sz w:val="22"/>
          <w:szCs w:val="22"/>
          <w:lang w:val="en-US"/>
        </w:rPr>
        <w:t>threats</w:t>
      </w:r>
      <w:r w:rsidRPr="00D36F63">
        <w:rPr>
          <w:rFonts w:ascii="Arial" w:hAnsi="Arial" w:cs="Arial"/>
          <w:sz w:val="22"/>
          <w:szCs w:val="22"/>
          <w:lang w:val="en-US"/>
        </w:rPr>
        <w:t xml:space="preserve"> to the Trust is the continued workforce shortages, financial pressures, increased demand for services and resistance of the staff towards organisational change which could hinder any improvement strategies. These threats and challenges are not effectively eliminated or addressed through effective guidance, resource allocation and workforce planning by the Trust then the quality failures will continue with unsuccessful implementation of quality improvements (Francis, 2013). Thus, the SWOT analysis has been a structured planning took which will enable the healthcare leaders to leverage the strengths, address the weaknesses, pursue the improvement initiatives and mitigate the threats to support effective, safe and patient-care delivery of healthcare services. </w:t>
      </w:r>
    </w:p>
    <w:p w14:paraId="09EC99CC" w14:textId="5995778B" w:rsidR="007B446A" w:rsidRDefault="007B446A" w:rsidP="007410CB">
      <w:pPr>
        <w:pStyle w:val="Heading1"/>
        <w:rPr>
          <w:lang w:val="en-US"/>
        </w:rPr>
      </w:pPr>
      <w:r w:rsidRPr="007B446A">
        <w:rPr>
          <w:lang w:val="en-US"/>
        </w:rPr>
        <w:lastRenderedPageBreak/>
        <w:t>Recommendations</w:t>
      </w:r>
    </w:p>
    <w:p w14:paraId="6F364B54" w14:textId="77777777" w:rsidR="00754E99" w:rsidRPr="006E15A7" w:rsidRDefault="00754E99" w:rsidP="00754E99">
      <w:pPr>
        <w:spacing w:line="360" w:lineRule="auto"/>
        <w:jc w:val="both"/>
        <w:rPr>
          <w:rFonts w:ascii="Arial" w:hAnsi="Arial" w:cs="Arial"/>
          <w:sz w:val="22"/>
          <w:szCs w:val="22"/>
          <w:lang w:val="en-US"/>
        </w:rPr>
      </w:pPr>
      <w:r w:rsidRPr="006E15A7">
        <w:rPr>
          <w:rFonts w:ascii="Arial" w:hAnsi="Arial" w:cs="Arial"/>
          <w:sz w:val="22"/>
          <w:szCs w:val="22"/>
          <w:lang w:val="en-US"/>
        </w:rPr>
        <w:t xml:space="preserve">The recommendations or good practice appropriate actions for the addressing the root causes of the problems and systemic failure at Mid Staffordshire NHS Foundation Trust are as below: </w:t>
      </w:r>
    </w:p>
    <w:p w14:paraId="10F4B8B9" w14:textId="77777777" w:rsidR="00754E99" w:rsidRPr="009B134A" w:rsidRDefault="00754E99" w:rsidP="009B134A">
      <w:pPr>
        <w:spacing w:line="360" w:lineRule="auto"/>
        <w:jc w:val="both"/>
        <w:rPr>
          <w:rFonts w:ascii="Arial" w:hAnsi="Arial" w:cs="Arial"/>
          <w:sz w:val="22"/>
          <w:szCs w:val="22"/>
          <w:lang w:val="en-US"/>
        </w:rPr>
      </w:pPr>
      <w:r w:rsidRPr="009B134A">
        <w:rPr>
          <w:rFonts w:ascii="Arial" w:hAnsi="Arial" w:cs="Arial"/>
          <w:sz w:val="22"/>
          <w:szCs w:val="22"/>
          <w:lang w:val="en-US"/>
        </w:rPr>
        <w:t>Strengthening leadership and governance by adopting a transformational leadership approach in which transparent patient safety culture and board accountability will be reinforced (</w:t>
      </w:r>
      <w:r w:rsidRPr="009B134A">
        <w:rPr>
          <w:rFonts w:ascii="Arial" w:hAnsi="Arial" w:cs="Arial"/>
          <w:sz w:val="22"/>
          <w:szCs w:val="22"/>
        </w:rPr>
        <w:t xml:space="preserve">Moffatt-Bruce </w:t>
      </w:r>
      <w:r w:rsidRPr="009B134A">
        <w:rPr>
          <w:rFonts w:ascii="Arial" w:hAnsi="Arial" w:cs="Arial"/>
          <w:i/>
          <w:sz w:val="22"/>
          <w:szCs w:val="22"/>
        </w:rPr>
        <w:t>et al.</w:t>
      </w:r>
      <w:r w:rsidRPr="009B134A">
        <w:rPr>
          <w:rFonts w:ascii="Arial" w:hAnsi="Arial" w:cs="Arial"/>
          <w:sz w:val="22"/>
          <w:szCs w:val="22"/>
        </w:rPr>
        <w:t>, 2018)</w:t>
      </w:r>
      <w:r w:rsidRPr="009B134A">
        <w:rPr>
          <w:rFonts w:ascii="Arial" w:hAnsi="Arial" w:cs="Arial"/>
          <w:sz w:val="22"/>
          <w:szCs w:val="22"/>
          <w:lang w:val="en-US"/>
        </w:rPr>
        <w:t xml:space="preserve">. Regular board reviews of incident reporting, patient feedback and quality indicators must be in compliance with the Care Quality Commission (CQC) quality statements for Safe, Effective and Well-led services </w:t>
      </w:r>
      <w:r w:rsidRPr="009B134A">
        <w:rPr>
          <w:rFonts w:ascii="Arial" w:hAnsi="Arial" w:cs="Arial"/>
          <w:sz w:val="22"/>
          <w:szCs w:val="22"/>
        </w:rPr>
        <w:t>(CQC, 2025)</w:t>
      </w:r>
      <w:r w:rsidRPr="009B134A">
        <w:rPr>
          <w:rFonts w:ascii="Arial" w:hAnsi="Arial" w:cs="Arial"/>
          <w:sz w:val="22"/>
          <w:szCs w:val="22"/>
          <w:lang w:val="en-US"/>
        </w:rPr>
        <w:t xml:space="preserve">. This is crucial for setting inclusive leadership to foster compassionate care and improve staff engagement to reduce patient safety incidents and promote quality of care. </w:t>
      </w:r>
    </w:p>
    <w:p w14:paraId="175F5791" w14:textId="77777777" w:rsidR="00754E99" w:rsidRPr="009B134A" w:rsidRDefault="00754E99" w:rsidP="009B134A">
      <w:pPr>
        <w:spacing w:line="360" w:lineRule="auto"/>
        <w:jc w:val="both"/>
        <w:rPr>
          <w:rFonts w:ascii="Arial" w:hAnsi="Arial" w:cs="Arial"/>
          <w:sz w:val="22"/>
          <w:szCs w:val="22"/>
          <w:lang w:val="en-US"/>
        </w:rPr>
      </w:pPr>
      <w:r w:rsidRPr="009B134A">
        <w:rPr>
          <w:rFonts w:ascii="Arial" w:hAnsi="Arial" w:cs="Arial"/>
          <w:sz w:val="22"/>
          <w:szCs w:val="22"/>
          <w:lang w:val="en-US"/>
        </w:rPr>
        <w:t xml:space="preserve">The Trust needs to develop sustainable workforce by ensuring safe staffing is prioritised using evidence-based workforce planning, recruitment and retention and continuous professional development. This would include setting mandatory training on communication, safeguarding, human factors and duty of candour to demonstrate qualified staffs while recruit and hire from universities and medical colleges to show that adequately trained staff is linked with fewer adverse events and higher quality of care since safe staffing is a key expectation of the CQC assessment framework </w:t>
      </w:r>
      <w:r w:rsidRPr="009B134A">
        <w:rPr>
          <w:rFonts w:ascii="Arial" w:hAnsi="Arial" w:cs="Arial"/>
          <w:sz w:val="22"/>
          <w:szCs w:val="22"/>
        </w:rPr>
        <w:t xml:space="preserve">(Morris </w:t>
      </w:r>
      <w:r w:rsidRPr="009B134A">
        <w:rPr>
          <w:rFonts w:ascii="Arial" w:hAnsi="Arial" w:cs="Arial"/>
          <w:i/>
          <w:iCs/>
          <w:sz w:val="22"/>
          <w:szCs w:val="22"/>
        </w:rPr>
        <w:t>et al.</w:t>
      </w:r>
      <w:r w:rsidRPr="009B134A">
        <w:rPr>
          <w:rFonts w:ascii="Arial" w:hAnsi="Arial" w:cs="Arial"/>
          <w:sz w:val="22"/>
          <w:szCs w:val="22"/>
        </w:rPr>
        <w:t>, 2023)</w:t>
      </w:r>
      <w:r w:rsidRPr="009B134A">
        <w:rPr>
          <w:rFonts w:ascii="Arial" w:hAnsi="Arial" w:cs="Arial"/>
          <w:sz w:val="22"/>
          <w:szCs w:val="22"/>
          <w:lang w:val="en-US"/>
        </w:rPr>
        <w:t xml:space="preserve">. </w:t>
      </w:r>
    </w:p>
    <w:p w14:paraId="3FAF1EA8" w14:textId="77777777" w:rsidR="00754E99" w:rsidRPr="009B134A" w:rsidRDefault="00754E99" w:rsidP="009B134A">
      <w:pPr>
        <w:spacing w:line="360" w:lineRule="auto"/>
        <w:jc w:val="both"/>
        <w:rPr>
          <w:rFonts w:ascii="Arial" w:hAnsi="Arial" w:cs="Arial"/>
          <w:sz w:val="22"/>
          <w:szCs w:val="22"/>
          <w:lang w:val="en-US"/>
        </w:rPr>
      </w:pPr>
      <w:r w:rsidRPr="009B134A">
        <w:rPr>
          <w:rFonts w:ascii="Arial" w:hAnsi="Arial" w:cs="Arial"/>
          <w:sz w:val="22"/>
          <w:szCs w:val="22"/>
          <w:lang w:val="en-US"/>
        </w:rPr>
        <w:t xml:space="preserve">The trust must also establish patient engagement mechanisms by optimising patient and family involvement in care planning, complaint resolution and quality improvement initiatives. This would be implemented through regular multidisciplinary safety huddles with structured handover tools and digital incident reporting systems to improve communication and facilitate early escalation of deterioration patients </w:t>
      </w:r>
      <w:r w:rsidRPr="009B134A">
        <w:rPr>
          <w:rFonts w:ascii="Arial" w:hAnsi="Arial" w:cs="Arial"/>
          <w:sz w:val="22"/>
          <w:szCs w:val="22"/>
        </w:rPr>
        <w:t xml:space="preserve">(Bressan, Mio and Palese, 2020); (Cerrone </w:t>
      </w:r>
      <w:r w:rsidRPr="009B134A">
        <w:rPr>
          <w:rFonts w:ascii="Arial" w:hAnsi="Arial" w:cs="Arial"/>
          <w:i/>
          <w:sz w:val="22"/>
          <w:szCs w:val="22"/>
        </w:rPr>
        <w:t>et al.</w:t>
      </w:r>
      <w:r w:rsidRPr="009B134A">
        <w:rPr>
          <w:rFonts w:ascii="Arial" w:hAnsi="Arial" w:cs="Arial"/>
          <w:sz w:val="22"/>
          <w:szCs w:val="22"/>
        </w:rPr>
        <w:t>, 2025)</w:t>
      </w:r>
      <w:r w:rsidRPr="009B134A">
        <w:rPr>
          <w:rFonts w:ascii="Arial" w:hAnsi="Arial" w:cs="Arial"/>
          <w:sz w:val="22"/>
          <w:szCs w:val="22"/>
          <w:lang w:val="en-US"/>
        </w:rPr>
        <w:t xml:space="preserve">. These approaches should be embedded in clinical governance for responsive, caring and well-led services outlined by the CQC expectations. </w:t>
      </w:r>
    </w:p>
    <w:p w14:paraId="3C37E9B9" w14:textId="77777777" w:rsidR="00754E99" w:rsidRPr="006E15A7" w:rsidRDefault="00754E99" w:rsidP="00754E99">
      <w:pPr>
        <w:spacing w:line="360" w:lineRule="auto"/>
        <w:jc w:val="both"/>
        <w:rPr>
          <w:rFonts w:ascii="Arial" w:hAnsi="Arial" w:cs="Arial"/>
          <w:sz w:val="22"/>
          <w:szCs w:val="22"/>
          <w:lang w:val="en-US"/>
        </w:rPr>
      </w:pPr>
      <w:r w:rsidRPr="006E15A7">
        <w:rPr>
          <w:rFonts w:ascii="Arial" w:hAnsi="Arial" w:cs="Arial"/>
          <w:sz w:val="22"/>
          <w:szCs w:val="22"/>
          <w:lang w:val="en-US"/>
        </w:rPr>
        <w:t xml:space="preserve">For the proposed implementation strategy embedded within the three actionable recommendations, Plan-Do-Study-Act (PDSA) cycle will be adopted as a continuously improvement tool or methodology. The PDSA will be significant in enabling the organisations like Mid Staffordshire NHS Foundation Trust to test pilot interventions and then evaluate the effectiveness wit measurable outcomes to refine the improvement strategies for its wider implementation </w:t>
      </w:r>
      <w:r w:rsidRPr="006E15A7">
        <w:rPr>
          <w:rFonts w:ascii="Arial" w:hAnsi="Arial" w:cs="Arial"/>
          <w:sz w:val="22"/>
          <w:szCs w:val="22"/>
        </w:rPr>
        <w:t xml:space="preserve">(Taylor </w:t>
      </w:r>
      <w:r w:rsidRPr="006E15A7">
        <w:rPr>
          <w:rFonts w:ascii="Arial" w:hAnsi="Arial" w:cs="Arial"/>
          <w:i/>
          <w:iCs/>
          <w:sz w:val="22"/>
          <w:szCs w:val="22"/>
        </w:rPr>
        <w:t>et al.</w:t>
      </w:r>
      <w:r w:rsidRPr="006E15A7">
        <w:rPr>
          <w:rFonts w:ascii="Arial" w:hAnsi="Arial" w:cs="Arial"/>
          <w:sz w:val="22"/>
          <w:szCs w:val="22"/>
        </w:rPr>
        <w:t>, 2014)</w:t>
      </w:r>
      <w:r w:rsidRPr="006E15A7">
        <w:rPr>
          <w:rFonts w:ascii="Arial" w:hAnsi="Arial" w:cs="Arial"/>
          <w:sz w:val="22"/>
          <w:szCs w:val="22"/>
          <w:lang w:val="en-US"/>
        </w:rPr>
        <w:t xml:space="preserve">. The PDSA cycle for the Trust has been applied below: </w:t>
      </w:r>
    </w:p>
    <w:p w14:paraId="480E3E1D" w14:textId="1CFBA131" w:rsidR="00754E99" w:rsidRPr="006E15A7" w:rsidRDefault="00754E99" w:rsidP="00754E99">
      <w:pPr>
        <w:spacing w:line="360" w:lineRule="auto"/>
        <w:jc w:val="both"/>
        <w:rPr>
          <w:rFonts w:ascii="Arial" w:hAnsi="Arial" w:cs="Arial"/>
          <w:sz w:val="22"/>
          <w:szCs w:val="22"/>
          <w:lang w:val="en-US"/>
        </w:rPr>
      </w:pPr>
      <w:r w:rsidRPr="006E15A7">
        <w:rPr>
          <w:rFonts w:ascii="Arial" w:hAnsi="Arial" w:cs="Arial"/>
          <w:sz w:val="22"/>
          <w:szCs w:val="22"/>
          <w:lang w:val="en-US"/>
        </w:rPr>
        <w:lastRenderedPageBreak/>
        <w:t xml:space="preserve">During this </w:t>
      </w:r>
      <w:r w:rsidR="009B7C8E" w:rsidRPr="006E15A7">
        <w:rPr>
          <w:rFonts w:ascii="Arial" w:hAnsi="Arial" w:cs="Arial"/>
          <w:b/>
          <w:sz w:val="22"/>
          <w:szCs w:val="22"/>
          <w:lang w:val="en-US"/>
        </w:rPr>
        <w:t>Plan</w:t>
      </w:r>
      <w:r w:rsidR="009B7C8E" w:rsidRPr="006E15A7">
        <w:rPr>
          <w:rFonts w:ascii="Arial" w:hAnsi="Arial" w:cs="Arial"/>
          <w:sz w:val="22"/>
          <w:szCs w:val="22"/>
          <w:lang w:val="en-US"/>
        </w:rPr>
        <w:t xml:space="preserve"> </w:t>
      </w:r>
      <w:r w:rsidRPr="006E15A7">
        <w:rPr>
          <w:rFonts w:ascii="Arial" w:hAnsi="Arial" w:cs="Arial"/>
          <w:sz w:val="22"/>
          <w:szCs w:val="22"/>
          <w:lang w:val="en-US"/>
        </w:rPr>
        <w:t xml:space="preserve">phase, the Trust is significant in establishing the reasons and causes along with gap analysis against CQC Single Assessment Framework to the multidisciplinary team including nurses, physicians, senior leaders, allied health professionals and patient representatives </w:t>
      </w:r>
      <w:r w:rsidRPr="006E15A7">
        <w:rPr>
          <w:rFonts w:ascii="Arial" w:hAnsi="Arial" w:cs="Arial"/>
          <w:sz w:val="22"/>
          <w:szCs w:val="22"/>
        </w:rPr>
        <w:t>(CQC, 2025)</w:t>
      </w:r>
      <w:r w:rsidRPr="006E15A7">
        <w:rPr>
          <w:rFonts w:ascii="Arial" w:hAnsi="Arial" w:cs="Arial"/>
          <w:sz w:val="22"/>
          <w:szCs w:val="22"/>
          <w:lang w:val="en-US"/>
        </w:rPr>
        <w:t xml:space="preserve">. At this point, baseline data on the staffing levels, complaints patient safety incidents, mortality and rates and patient satisfaction level should be collected in order to conduct a gap analysis against the CQC Single Assessment Framework. Using the baseline information about the quality of care and patient safety at the Trust, clear objectives would be set for the new strategies including strengthening leadership accountability, staffing compliance, increasing patient involvement and enhancing communication practices </w:t>
      </w:r>
      <w:r w:rsidRPr="006E15A7">
        <w:rPr>
          <w:rFonts w:ascii="Arial" w:hAnsi="Arial" w:cs="Arial"/>
          <w:sz w:val="22"/>
          <w:szCs w:val="22"/>
        </w:rPr>
        <w:t>(Christoff, 2018)</w:t>
      </w:r>
      <w:r w:rsidRPr="006E15A7">
        <w:rPr>
          <w:rFonts w:ascii="Arial" w:hAnsi="Arial" w:cs="Arial"/>
          <w:sz w:val="22"/>
          <w:szCs w:val="22"/>
          <w:lang w:val="en-US"/>
        </w:rPr>
        <w:t xml:space="preserve">. </w:t>
      </w:r>
    </w:p>
    <w:p w14:paraId="6571CB8E" w14:textId="6EE8C8D2" w:rsidR="00754E99" w:rsidRPr="006E15A7" w:rsidRDefault="00754E99" w:rsidP="00754E99">
      <w:pPr>
        <w:spacing w:line="360" w:lineRule="auto"/>
        <w:jc w:val="both"/>
        <w:rPr>
          <w:rFonts w:ascii="Arial" w:hAnsi="Arial" w:cs="Arial"/>
          <w:sz w:val="22"/>
          <w:szCs w:val="22"/>
          <w:lang w:val="en-US"/>
        </w:rPr>
      </w:pPr>
      <w:r w:rsidRPr="006E15A7">
        <w:rPr>
          <w:rFonts w:ascii="Arial" w:hAnsi="Arial" w:cs="Arial"/>
          <w:sz w:val="22"/>
          <w:szCs w:val="22"/>
          <w:lang w:val="en-US"/>
        </w:rPr>
        <w:t xml:space="preserve">During this </w:t>
      </w:r>
      <w:r w:rsidR="009B7C8E" w:rsidRPr="006E15A7">
        <w:rPr>
          <w:rFonts w:ascii="Arial" w:hAnsi="Arial" w:cs="Arial"/>
          <w:b/>
          <w:sz w:val="22"/>
          <w:szCs w:val="22"/>
          <w:lang w:val="en-US"/>
        </w:rPr>
        <w:t xml:space="preserve">Do </w:t>
      </w:r>
      <w:r w:rsidRPr="006E15A7">
        <w:rPr>
          <w:rFonts w:ascii="Arial" w:hAnsi="Arial" w:cs="Arial"/>
          <w:sz w:val="22"/>
          <w:szCs w:val="22"/>
          <w:lang w:val="en-US"/>
        </w:rPr>
        <w:t xml:space="preserve">phase, the Trust will employ a small scale, called pilot interventions which would be introduced to the selected wards. These should also include of implementing the evidence-based staffing models, mandatory communication and safeguarding education, multidisciplinary safety huddle along with structured SBAR (Situation-Background- Assessment- Recommendations) handovers and digital incident reporting systems </w:t>
      </w:r>
      <w:r w:rsidRPr="006E15A7">
        <w:rPr>
          <w:rFonts w:ascii="Arial" w:hAnsi="Arial" w:cs="Arial"/>
          <w:sz w:val="22"/>
          <w:szCs w:val="22"/>
        </w:rPr>
        <w:t xml:space="preserve">(Bressan, Mio and Palese, 2020); (Cerrone </w:t>
      </w:r>
      <w:r w:rsidRPr="006E15A7">
        <w:rPr>
          <w:rFonts w:ascii="Arial" w:hAnsi="Arial" w:cs="Arial"/>
          <w:i/>
          <w:sz w:val="22"/>
          <w:szCs w:val="22"/>
        </w:rPr>
        <w:t>et al.</w:t>
      </w:r>
      <w:r w:rsidRPr="006E15A7">
        <w:rPr>
          <w:rFonts w:ascii="Arial" w:hAnsi="Arial" w:cs="Arial"/>
          <w:sz w:val="22"/>
          <w:szCs w:val="22"/>
        </w:rPr>
        <w:t>, 2025)</w:t>
      </w:r>
      <w:r w:rsidRPr="006E15A7">
        <w:rPr>
          <w:rFonts w:ascii="Arial" w:hAnsi="Arial" w:cs="Arial"/>
          <w:sz w:val="22"/>
          <w:szCs w:val="22"/>
          <w:lang w:val="en-US"/>
        </w:rPr>
        <w:t xml:space="preserve">. The patients and family members will be actively involved in the service evaluation and care planning processes. </w:t>
      </w:r>
    </w:p>
    <w:p w14:paraId="599AEB70" w14:textId="097ECA0D" w:rsidR="00754E99" w:rsidRPr="006E15A7" w:rsidRDefault="009B7C8E" w:rsidP="00754E99">
      <w:pPr>
        <w:spacing w:line="360" w:lineRule="auto"/>
        <w:jc w:val="both"/>
        <w:rPr>
          <w:rFonts w:ascii="Arial" w:hAnsi="Arial" w:cs="Arial"/>
          <w:sz w:val="22"/>
          <w:szCs w:val="22"/>
          <w:lang w:val="en-US"/>
        </w:rPr>
      </w:pPr>
      <w:r>
        <w:rPr>
          <w:rFonts w:ascii="Arial" w:hAnsi="Arial" w:cs="Arial"/>
          <w:sz w:val="22"/>
          <w:szCs w:val="22"/>
          <w:lang w:val="en-US"/>
        </w:rPr>
        <w:t>In the</w:t>
      </w:r>
      <w:r w:rsidR="00754E99" w:rsidRPr="006E15A7">
        <w:rPr>
          <w:rFonts w:ascii="Arial" w:hAnsi="Arial" w:cs="Arial"/>
          <w:sz w:val="22"/>
          <w:szCs w:val="22"/>
          <w:lang w:val="en-US"/>
        </w:rPr>
        <w:t xml:space="preserve"> </w:t>
      </w:r>
      <w:r>
        <w:rPr>
          <w:rFonts w:ascii="Arial" w:hAnsi="Arial" w:cs="Arial"/>
          <w:b/>
          <w:sz w:val="22"/>
          <w:szCs w:val="22"/>
          <w:lang w:val="en-US"/>
        </w:rPr>
        <w:t xml:space="preserve">Study </w:t>
      </w:r>
      <w:r w:rsidR="00754E99" w:rsidRPr="006E15A7">
        <w:rPr>
          <w:rFonts w:ascii="Arial" w:hAnsi="Arial" w:cs="Arial"/>
          <w:sz w:val="22"/>
          <w:szCs w:val="22"/>
          <w:lang w:val="en-US"/>
        </w:rPr>
        <w:t xml:space="preserve">phase, the change leader along with the multidisciplinary team members would evaluate intervention effectiveness through clinical audits, patient experience questionnaires, staff feedback surveys, incident reporting rate, complaint trends and CQC quality indicators. These outcome measures could be a coupled with reductions in patient safety incidents, enhanced patient satisfaction, improved staff engagement and compliance with governance standards </w:t>
      </w:r>
      <w:r w:rsidR="00754E99" w:rsidRPr="006E15A7">
        <w:rPr>
          <w:rFonts w:ascii="Arial" w:hAnsi="Arial" w:cs="Arial"/>
          <w:sz w:val="22"/>
          <w:szCs w:val="22"/>
        </w:rPr>
        <w:t xml:space="preserve">(Taylor </w:t>
      </w:r>
      <w:r w:rsidR="00754E99" w:rsidRPr="006E15A7">
        <w:rPr>
          <w:rFonts w:ascii="Arial" w:hAnsi="Arial" w:cs="Arial"/>
          <w:i/>
          <w:iCs/>
          <w:sz w:val="22"/>
          <w:szCs w:val="22"/>
        </w:rPr>
        <w:t>et al.</w:t>
      </w:r>
      <w:r w:rsidR="00754E99" w:rsidRPr="006E15A7">
        <w:rPr>
          <w:rFonts w:ascii="Arial" w:hAnsi="Arial" w:cs="Arial"/>
          <w:sz w:val="22"/>
          <w:szCs w:val="22"/>
        </w:rPr>
        <w:t>, 2014)</w:t>
      </w:r>
      <w:r w:rsidR="00754E99" w:rsidRPr="006E15A7">
        <w:rPr>
          <w:rFonts w:ascii="Arial" w:hAnsi="Arial" w:cs="Arial"/>
          <w:sz w:val="22"/>
          <w:szCs w:val="22"/>
          <w:lang w:val="en-US"/>
        </w:rPr>
        <w:t xml:space="preserve">. </w:t>
      </w:r>
    </w:p>
    <w:p w14:paraId="27471443" w14:textId="601A0C3E" w:rsidR="00754E99" w:rsidRPr="006E15A7" w:rsidRDefault="00754E99" w:rsidP="00754E99">
      <w:pPr>
        <w:spacing w:line="360" w:lineRule="auto"/>
        <w:jc w:val="both"/>
        <w:rPr>
          <w:rFonts w:ascii="Arial" w:hAnsi="Arial" w:cs="Arial"/>
          <w:sz w:val="22"/>
          <w:szCs w:val="22"/>
          <w:lang w:val="en-US"/>
        </w:rPr>
      </w:pPr>
      <w:r w:rsidRPr="006E15A7">
        <w:rPr>
          <w:rFonts w:ascii="Arial" w:hAnsi="Arial" w:cs="Arial"/>
          <w:sz w:val="22"/>
          <w:szCs w:val="22"/>
          <w:lang w:val="en-US"/>
        </w:rPr>
        <w:t xml:space="preserve">At the </w:t>
      </w:r>
      <w:r w:rsidRPr="009B7C8E">
        <w:rPr>
          <w:rFonts w:ascii="Arial" w:hAnsi="Arial" w:cs="Arial"/>
          <w:b/>
          <w:sz w:val="22"/>
          <w:szCs w:val="22"/>
          <w:lang w:val="en-US"/>
        </w:rPr>
        <w:t>Act</w:t>
      </w:r>
      <w:r w:rsidRPr="006E15A7">
        <w:rPr>
          <w:rFonts w:ascii="Arial" w:hAnsi="Arial" w:cs="Arial"/>
          <w:sz w:val="22"/>
          <w:szCs w:val="22"/>
          <w:lang w:val="en-US"/>
        </w:rPr>
        <w:t xml:space="preserve"> phase, the interventions is successfully standardised across the organisation using governance policies, workforce strategies and leadership development programmes. The key areas that will be improved and modified after the pilot intervention evaluation findings would lead to repeated PDSA cycles to sustain continuous quality improvement and ensure that safe, effective and patient-centred healthcare delivery is achieved </w:t>
      </w:r>
      <w:r w:rsidRPr="006E15A7">
        <w:rPr>
          <w:rFonts w:ascii="Arial" w:hAnsi="Arial" w:cs="Arial"/>
          <w:sz w:val="22"/>
          <w:szCs w:val="22"/>
        </w:rPr>
        <w:t xml:space="preserve">(Taylor </w:t>
      </w:r>
      <w:r w:rsidRPr="006E15A7">
        <w:rPr>
          <w:rFonts w:ascii="Arial" w:hAnsi="Arial" w:cs="Arial"/>
          <w:i/>
          <w:iCs/>
          <w:sz w:val="22"/>
          <w:szCs w:val="22"/>
        </w:rPr>
        <w:t>et al.</w:t>
      </w:r>
      <w:r w:rsidRPr="006E15A7">
        <w:rPr>
          <w:rFonts w:ascii="Arial" w:hAnsi="Arial" w:cs="Arial"/>
          <w:sz w:val="22"/>
          <w:szCs w:val="22"/>
        </w:rPr>
        <w:t>, 2014)</w:t>
      </w:r>
      <w:r w:rsidRPr="006E15A7">
        <w:rPr>
          <w:rFonts w:ascii="Arial" w:hAnsi="Arial" w:cs="Arial"/>
          <w:sz w:val="22"/>
          <w:szCs w:val="22"/>
          <w:lang w:val="en-US"/>
        </w:rPr>
        <w:t xml:space="preserve">.  </w:t>
      </w:r>
    </w:p>
    <w:p w14:paraId="18E21610" w14:textId="7431DC19" w:rsidR="007B446A" w:rsidRDefault="007B446A" w:rsidP="007410CB">
      <w:pPr>
        <w:pStyle w:val="Heading1"/>
        <w:rPr>
          <w:lang w:val="en-US"/>
        </w:rPr>
      </w:pPr>
      <w:r w:rsidRPr="007B446A">
        <w:rPr>
          <w:lang w:val="en-US"/>
        </w:rPr>
        <w:t>Conclusion</w:t>
      </w:r>
    </w:p>
    <w:p w14:paraId="2A243AA8" w14:textId="4ED525CB" w:rsidR="00F54B60" w:rsidRPr="002648F0" w:rsidRDefault="00F54B60" w:rsidP="00F54B60">
      <w:pPr>
        <w:spacing w:line="360" w:lineRule="auto"/>
        <w:jc w:val="both"/>
        <w:rPr>
          <w:rFonts w:ascii="Arial" w:hAnsi="Arial" w:cs="Arial"/>
          <w:sz w:val="22"/>
          <w:lang w:val="en-US"/>
        </w:rPr>
      </w:pPr>
      <w:r w:rsidRPr="002648F0">
        <w:rPr>
          <w:rFonts w:ascii="Arial" w:hAnsi="Arial" w:cs="Arial"/>
          <w:sz w:val="22"/>
          <w:lang w:val="en-US"/>
        </w:rPr>
        <w:t xml:space="preserve">Thus, the report has critically analysed the systemic failures at Mid Staffordshire NHS Foundation Trust by identifying the problems to be ineffective leadership, weak governance, </w:t>
      </w:r>
      <w:r w:rsidRPr="002648F0">
        <w:rPr>
          <w:rFonts w:ascii="Arial" w:hAnsi="Arial" w:cs="Arial"/>
          <w:sz w:val="22"/>
          <w:lang w:val="en-US"/>
        </w:rPr>
        <w:lastRenderedPageBreak/>
        <w:t>poor communication, inadequate workforce planning, unsupportive organ</w:t>
      </w:r>
      <w:r w:rsidR="002E6E6C">
        <w:rPr>
          <w:rFonts w:ascii="Arial" w:hAnsi="Arial" w:cs="Arial"/>
          <w:sz w:val="22"/>
          <w:lang w:val="en-US"/>
        </w:rPr>
        <w:t>i</w:t>
      </w:r>
      <w:r w:rsidRPr="002648F0">
        <w:rPr>
          <w:rFonts w:ascii="Arial" w:hAnsi="Arial" w:cs="Arial"/>
          <w:sz w:val="22"/>
          <w:lang w:val="en-US"/>
        </w:rPr>
        <w:t xml:space="preserve">sational culture and limited patient involvement and this led to poor standards of care that compromised patient safety. In this regard, the RCA has been applied using Fishbone analysis diagram and 5Whys to identify the organisational factors which contributed to the se failures and highlighted the need for established interconnected system weaknesses instead of individual errors. Further, the Donabedian </w:t>
      </w:r>
      <w:r w:rsidR="009B134A" w:rsidRPr="002648F0">
        <w:rPr>
          <w:rFonts w:ascii="Arial" w:hAnsi="Arial" w:cs="Arial"/>
          <w:sz w:val="22"/>
          <w:lang w:val="en-US"/>
        </w:rPr>
        <w:t>mode</w:t>
      </w:r>
      <w:r w:rsidRPr="002648F0">
        <w:rPr>
          <w:rFonts w:ascii="Arial" w:hAnsi="Arial" w:cs="Arial"/>
          <w:sz w:val="22"/>
          <w:lang w:val="en-US"/>
        </w:rPr>
        <w:t xml:space="preserve"> evaluated the deficiencies in the organisational structure and care processes affecting patient outcomes. Additionally, strategic tool, SWOT analysis has been crucial to determine strengths, weaknesses, opportunities and threats of the Trust that provide a strategic foundation for devising and implementing evidence-based and sustainable service improvement. The findings indicate that there is a need for improving the services with strong transformational leader, clear governance and developing a sustainable workforce to improve communication and patient engagement while also promoting programme pilot intervention through continuous improvement and refinement. </w:t>
      </w:r>
    </w:p>
    <w:p w14:paraId="522680B3" w14:textId="77777777" w:rsidR="00F54B60" w:rsidRPr="00F54B60" w:rsidRDefault="00F54B60" w:rsidP="00F54B60">
      <w:pPr>
        <w:rPr>
          <w:lang w:val="en-US"/>
        </w:rPr>
      </w:pPr>
    </w:p>
    <w:p w14:paraId="5DBE1E8B" w14:textId="77777777" w:rsidR="007B446A" w:rsidRDefault="007B446A" w:rsidP="007B446A">
      <w:pPr>
        <w:spacing w:line="360" w:lineRule="auto"/>
        <w:rPr>
          <w:rFonts w:ascii="Times New Roman" w:hAnsi="Times New Roman" w:cs="Times New Roman"/>
          <w:lang w:val="en-US"/>
        </w:rPr>
      </w:pPr>
    </w:p>
    <w:p w14:paraId="178F69EF" w14:textId="77777777" w:rsidR="00A20F62" w:rsidRDefault="00A20F62">
      <w:pPr>
        <w:rPr>
          <w:rFonts w:asciiTheme="majorHAnsi" w:eastAsiaTheme="majorEastAsia" w:hAnsiTheme="majorHAnsi" w:cstheme="majorBidi"/>
          <w:color w:val="2F5496" w:themeColor="accent1" w:themeShade="BF"/>
          <w:sz w:val="40"/>
          <w:szCs w:val="50"/>
          <w:lang w:val="en-US"/>
        </w:rPr>
      </w:pPr>
      <w:r>
        <w:rPr>
          <w:lang w:val="en-US"/>
        </w:rPr>
        <w:br w:type="page"/>
      </w:r>
    </w:p>
    <w:p w14:paraId="179C7A8C" w14:textId="37D593AF" w:rsidR="007B446A" w:rsidRDefault="007410CB" w:rsidP="007410CB">
      <w:pPr>
        <w:pStyle w:val="Heading1"/>
        <w:rPr>
          <w:lang w:val="en-US"/>
        </w:rPr>
      </w:pPr>
      <w:r>
        <w:rPr>
          <w:lang w:val="en-US"/>
        </w:rPr>
        <w:lastRenderedPageBreak/>
        <w:t>References</w:t>
      </w:r>
    </w:p>
    <w:p w14:paraId="23EC1F64"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Acevedo-Peña, J.R., Morón-Duarte, L.S., Chacón-Acevedo, K.R., Aguilar Ramírez, D.O., Torres Castro, Y.M., Robayo Rodriguez, S.M., Gonzalez Bello, A.M., Avila Reina, A.Y., Gomez Linares, E.B. and Yomayusa Gonzalez, N. (2026) “Direct healthcare costs associated with reported patient safety incidents in two tertiary hospitals in Colombia,” </w:t>
      </w:r>
      <w:r w:rsidRPr="00257214">
        <w:rPr>
          <w:rFonts w:ascii="Arial" w:hAnsi="Arial" w:cs="Arial"/>
          <w:i/>
          <w:iCs/>
          <w:sz w:val="22"/>
          <w:szCs w:val="22"/>
          <w:lang w:val="en-US"/>
        </w:rPr>
        <w:t>BMC Health Services Research</w:t>
      </w:r>
      <w:r w:rsidRPr="00257214">
        <w:rPr>
          <w:rFonts w:ascii="Arial" w:hAnsi="Arial" w:cs="Arial"/>
          <w:sz w:val="22"/>
          <w:szCs w:val="22"/>
          <w:lang w:val="en-US"/>
        </w:rPr>
        <w:t>, 26(1). Available at: https://doi.org/10.1186/s12913-026-14212-y.</w:t>
      </w:r>
    </w:p>
    <w:p w14:paraId="347CFA39"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Aggarwal, A., Aeran, H. and Rathee, M. (2019) “Quality management in healthcare: the pivotal desideratum,” </w:t>
      </w:r>
      <w:r w:rsidRPr="00257214">
        <w:rPr>
          <w:rFonts w:ascii="Arial" w:hAnsi="Arial" w:cs="Arial"/>
          <w:i/>
          <w:iCs/>
          <w:sz w:val="22"/>
          <w:szCs w:val="22"/>
          <w:lang w:val="en-US"/>
        </w:rPr>
        <w:t>Journal of Oral Biology and Craniofacial Research</w:t>
      </w:r>
      <w:r w:rsidRPr="00257214">
        <w:rPr>
          <w:rFonts w:ascii="Arial" w:hAnsi="Arial" w:cs="Arial"/>
          <w:sz w:val="22"/>
          <w:szCs w:val="22"/>
          <w:lang w:val="en-US"/>
        </w:rPr>
        <w:t>, 9(2), pp. 180–182. Available at: https://doi.org/10.1016/j.jobcr.2018.06.006.</w:t>
      </w:r>
    </w:p>
    <w:p w14:paraId="39982DB5"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AHRQ (2024) </w:t>
      </w:r>
      <w:r w:rsidRPr="0065207C">
        <w:rPr>
          <w:rFonts w:ascii="Arial" w:hAnsi="Arial" w:cs="Arial"/>
          <w:i/>
          <w:iCs/>
          <w:sz w:val="22"/>
          <w:lang w:val="en-US"/>
        </w:rPr>
        <w:t>Root cause analysis</w:t>
      </w:r>
      <w:r w:rsidRPr="0065207C">
        <w:rPr>
          <w:rFonts w:ascii="Arial" w:hAnsi="Arial" w:cs="Arial"/>
          <w:sz w:val="22"/>
          <w:lang w:val="en-US"/>
        </w:rPr>
        <w:t>, </w:t>
      </w:r>
      <w:r w:rsidRPr="0065207C">
        <w:rPr>
          <w:rFonts w:ascii="Arial" w:hAnsi="Arial" w:cs="Arial"/>
          <w:i/>
          <w:iCs/>
          <w:sz w:val="22"/>
          <w:lang w:val="en-US"/>
        </w:rPr>
        <w:t>Patient Safety Network</w:t>
      </w:r>
      <w:r w:rsidRPr="0065207C">
        <w:rPr>
          <w:rFonts w:ascii="Arial" w:hAnsi="Arial" w:cs="Arial"/>
          <w:sz w:val="22"/>
          <w:lang w:val="en-US"/>
        </w:rPr>
        <w:t>. Agency for Healthcare Research and Quality (AHRQ). Available at: https://psnet.ahrq.gov/primer/root-cause-analysis (Accessed: August 3, 2026).</w:t>
      </w:r>
    </w:p>
    <w:p w14:paraId="1E1E39CB"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Akram, S., Sharma, N.T. and Chasta, P. (2025) “Quality assurance in health care improving patient safety of service quality,” </w:t>
      </w:r>
      <w:r w:rsidRPr="0065207C">
        <w:rPr>
          <w:rFonts w:ascii="Arial" w:hAnsi="Arial" w:cs="Arial"/>
          <w:i/>
          <w:iCs/>
          <w:sz w:val="22"/>
          <w:lang w:val="en-US"/>
        </w:rPr>
        <w:t>International Journal of Allied Medical Sciences and Clinical Research</w:t>
      </w:r>
      <w:r w:rsidRPr="0065207C">
        <w:rPr>
          <w:rFonts w:ascii="Arial" w:hAnsi="Arial" w:cs="Arial"/>
          <w:sz w:val="22"/>
          <w:lang w:val="en-US"/>
        </w:rPr>
        <w:t>, 13(2), pp. 351–359. Available at: https://doi.org/10.61096/ijamscr.v13.iss2.2025.351-359.</w:t>
      </w:r>
    </w:p>
    <w:p w14:paraId="089BEDB3"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Benzaghta, M.A., Elwalda, A., Mousa, M., Erkan, I. and Rahman, M. (2021) “SWOT analysis applications: An integrative literature review,” </w:t>
      </w:r>
      <w:r w:rsidRPr="0065207C">
        <w:rPr>
          <w:rFonts w:ascii="Arial" w:hAnsi="Arial" w:cs="Arial"/>
          <w:i/>
          <w:iCs/>
          <w:sz w:val="22"/>
          <w:lang w:val="en-US"/>
        </w:rPr>
        <w:t>Journal of Global Business Insights</w:t>
      </w:r>
      <w:r w:rsidRPr="0065207C">
        <w:rPr>
          <w:rFonts w:ascii="Arial" w:hAnsi="Arial" w:cs="Arial"/>
          <w:sz w:val="22"/>
          <w:lang w:val="en-US"/>
        </w:rPr>
        <w:t>, 6(1), pp. 54–72.</w:t>
      </w:r>
    </w:p>
    <w:p w14:paraId="60FAB468"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Bressan, V., Mio, M. and Palese, A. (2020) “Nursing handovers and patient safety: Findings from an umbrella review,” </w:t>
      </w:r>
      <w:r w:rsidRPr="0065207C">
        <w:rPr>
          <w:rFonts w:ascii="Arial" w:hAnsi="Arial" w:cs="Arial"/>
          <w:i/>
          <w:iCs/>
          <w:sz w:val="22"/>
          <w:lang w:val="en-US"/>
        </w:rPr>
        <w:t>Journal of Advanced Nursing</w:t>
      </w:r>
      <w:r w:rsidRPr="0065207C">
        <w:rPr>
          <w:rFonts w:ascii="Arial" w:hAnsi="Arial" w:cs="Arial"/>
          <w:sz w:val="22"/>
          <w:lang w:val="en-US"/>
        </w:rPr>
        <w:t>, 76(4), pp. 927–938. Available at: https://doi.org/10.1111/jan.14288.</w:t>
      </w:r>
    </w:p>
    <w:p w14:paraId="0CE7E575"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Busse, R., Panteli, D. and Quentin, W. (2019) </w:t>
      </w:r>
      <w:r w:rsidRPr="0065207C">
        <w:rPr>
          <w:rFonts w:ascii="Arial" w:hAnsi="Arial" w:cs="Arial"/>
          <w:i/>
          <w:iCs/>
          <w:sz w:val="22"/>
          <w:lang w:val="en-US"/>
        </w:rPr>
        <w:t>An introduction to healthcare quality: Defining and explaining its role in health systems</w:t>
      </w:r>
      <w:r w:rsidRPr="0065207C">
        <w:rPr>
          <w:rFonts w:ascii="Arial" w:hAnsi="Arial" w:cs="Arial"/>
          <w:sz w:val="22"/>
          <w:lang w:val="en-US"/>
        </w:rPr>
        <w:t>. 53rd ed, </w:t>
      </w:r>
      <w:r w:rsidRPr="0065207C">
        <w:rPr>
          <w:rFonts w:ascii="Arial" w:hAnsi="Arial" w:cs="Arial"/>
          <w:i/>
          <w:iCs/>
          <w:sz w:val="22"/>
          <w:lang w:val="en-US"/>
        </w:rPr>
        <w:t>www.ncbi.nlm.nih.gov</w:t>
      </w:r>
      <w:r w:rsidRPr="0065207C">
        <w:rPr>
          <w:rFonts w:ascii="Arial" w:hAnsi="Arial" w:cs="Arial"/>
          <w:sz w:val="22"/>
          <w:lang w:val="en-US"/>
        </w:rPr>
        <w:t>. 53rd ed. European Observatory on Health Systems and Policies. Available at: https://www.ncbi.nlm.nih.gov/books/NBK549277/ (Accessed: August 4, 2026).</w:t>
      </w:r>
    </w:p>
    <w:p w14:paraId="375A6DA8"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Cerrone, V., Andretta, V., Prendin, A., Ilardi, B., Bonetti, C., Capunzo, M. and Cascella, M. (2025) “Effectiveness of incident reporting tools in ensuring patient safety: A systematic-narrative hybrid review,” </w:t>
      </w:r>
      <w:r w:rsidRPr="0065207C">
        <w:rPr>
          <w:rFonts w:ascii="Arial" w:hAnsi="Arial" w:cs="Arial"/>
          <w:i/>
          <w:iCs/>
          <w:sz w:val="22"/>
          <w:lang w:val="en-US"/>
        </w:rPr>
        <w:t>Patient Experience Journal</w:t>
      </w:r>
      <w:r w:rsidRPr="0065207C">
        <w:rPr>
          <w:rFonts w:ascii="Arial" w:hAnsi="Arial" w:cs="Arial"/>
          <w:sz w:val="22"/>
          <w:lang w:val="en-US"/>
        </w:rPr>
        <w:t>, 12(1), pp. 83–92. Available at: https://doi.org/10.35680/2372-0247.2001.</w:t>
      </w:r>
    </w:p>
    <w:p w14:paraId="232D89B2"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lastRenderedPageBreak/>
        <w:t>Christoff, P. (2018) “Running PDSA cycles,” </w:t>
      </w:r>
      <w:r w:rsidRPr="0065207C">
        <w:rPr>
          <w:rFonts w:ascii="Arial" w:hAnsi="Arial" w:cs="Arial"/>
          <w:i/>
          <w:iCs/>
          <w:sz w:val="22"/>
          <w:lang w:val="en-US"/>
        </w:rPr>
        <w:t>Current Problems in Pediatric and Adolescent Health Care</w:t>
      </w:r>
      <w:r w:rsidRPr="0065207C">
        <w:rPr>
          <w:rFonts w:ascii="Arial" w:hAnsi="Arial" w:cs="Arial"/>
          <w:sz w:val="22"/>
          <w:lang w:val="en-US"/>
        </w:rPr>
        <w:t>, 48(8), pp. 198–201. Available at: https://doi.org/https://doi.org/10.1016/j.cppeds.2018.08.006.</w:t>
      </w:r>
    </w:p>
    <w:p w14:paraId="250825F7"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CQC (2025) </w:t>
      </w:r>
      <w:r w:rsidRPr="0065207C">
        <w:rPr>
          <w:rFonts w:ascii="Arial" w:hAnsi="Arial" w:cs="Arial"/>
          <w:i/>
          <w:iCs/>
          <w:sz w:val="22"/>
          <w:lang w:val="en-US"/>
        </w:rPr>
        <w:t>Assessment framework - care quality commission</w:t>
      </w:r>
      <w:r w:rsidRPr="0065207C">
        <w:rPr>
          <w:rFonts w:ascii="Arial" w:hAnsi="Arial" w:cs="Arial"/>
          <w:sz w:val="22"/>
          <w:lang w:val="en-US"/>
        </w:rPr>
        <w:t>, </w:t>
      </w:r>
      <w:r w:rsidRPr="0065207C">
        <w:rPr>
          <w:rFonts w:ascii="Arial" w:hAnsi="Arial" w:cs="Arial"/>
          <w:i/>
          <w:iCs/>
          <w:sz w:val="22"/>
          <w:lang w:val="en-US"/>
        </w:rPr>
        <w:t>Cqc.org.uk</w:t>
      </w:r>
      <w:r w:rsidRPr="0065207C">
        <w:rPr>
          <w:rFonts w:ascii="Arial" w:hAnsi="Arial" w:cs="Arial"/>
          <w:sz w:val="22"/>
          <w:lang w:val="en-US"/>
        </w:rPr>
        <w:t>. Available at: https://www.cqc.org.uk/guidance-regulation/providers/assessment/assessment-framework (Accessed: August 4, 2026).</w:t>
      </w:r>
    </w:p>
    <w:p w14:paraId="44A54654"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Drennan, J., Murphy, A., McCarthy, V.J.C., Ball, J., Duffield, C., Crouch, R., Kelly, G., Loughnane, C., Hegarty, J., Brady, N., Scott, A. and Griffiths, P. (2024) “The association between nurse staffing and quality of care in emergency departments: A systematic review,” </w:t>
      </w:r>
      <w:r w:rsidRPr="0065207C">
        <w:rPr>
          <w:rFonts w:ascii="Arial" w:hAnsi="Arial" w:cs="Arial"/>
          <w:i/>
          <w:iCs/>
          <w:sz w:val="22"/>
          <w:lang w:val="en-US"/>
        </w:rPr>
        <w:t>International Journal of Nursing Studies</w:t>
      </w:r>
      <w:r w:rsidRPr="0065207C">
        <w:rPr>
          <w:rFonts w:ascii="Arial" w:hAnsi="Arial" w:cs="Arial"/>
          <w:sz w:val="22"/>
          <w:lang w:val="en-US"/>
        </w:rPr>
        <w:t>, 153(104706). Available at: https://doi.org/10.1016/j.ijnurstu.2024.104706.</w:t>
      </w:r>
    </w:p>
    <w:p w14:paraId="1387D6F1"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Endalamaw, A., Khatri, R.B., Mengistu, T.S., Erku, D., Wolka, E., Zewdie, A. and Assefa, Y. (2024) “A scoping review of continuous quality improvement in healthcare system: Conceptualization, models and tools, barriers and facilitators, and impact,” </w:t>
      </w:r>
      <w:r w:rsidRPr="00257214">
        <w:rPr>
          <w:rFonts w:ascii="Arial" w:hAnsi="Arial" w:cs="Arial"/>
          <w:i/>
          <w:iCs/>
          <w:sz w:val="22"/>
          <w:szCs w:val="22"/>
          <w:lang w:val="en-US"/>
        </w:rPr>
        <w:t>BioMed Central health services research</w:t>
      </w:r>
      <w:r w:rsidRPr="00257214">
        <w:rPr>
          <w:rFonts w:ascii="Arial" w:hAnsi="Arial" w:cs="Arial"/>
          <w:sz w:val="22"/>
          <w:szCs w:val="22"/>
          <w:lang w:val="en-US"/>
        </w:rPr>
        <w:t>, 24(1), p. 487. Available at: https://doi.org/10.1186/s12913-024-10828-0.</w:t>
      </w:r>
    </w:p>
    <w:p w14:paraId="5D4D8788"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Endalamaw, A., Khatri, R.B., Mengistu, T.S., Erku, D., Wolka, E., Zewdie, A. and Assefa, Y. (2024) “A scoping review of continuous quality improvement in healthcare system: Conceptualization, models and tools, barriers and facilitators, and impact,” </w:t>
      </w:r>
      <w:r w:rsidRPr="0065207C">
        <w:rPr>
          <w:rFonts w:ascii="Arial" w:hAnsi="Arial" w:cs="Arial"/>
          <w:i/>
          <w:iCs/>
          <w:sz w:val="22"/>
          <w:lang w:val="en-US"/>
        </w:rPr>
        <w:t>BioMed Central health services research</w:t>
      </w:r>
      <w:r w:rsidRPr="0065207C">
        <w:rPr>
          <w:rFonts w:ascii="Arial" w:hAnsi="Arial" w:cs="Arial"/>
          <w:sz w:val="22"/>
          <w:lang w:val="en-US"/>
        </w:rPr>
        <w:t>, 24(1), p. 487. Available at: https://doi.org/10.1186/s12913-024-10828-0.</w:t>
      </w:r>
    </w:p>
    <w:p w14:paraId="02555E27"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Francis , R. (2013) </w:t>
      </w:r>
      <w:r w:rsidRPr="0065207C">
        <w:rPr>
          <w:rFonts w:ascii="Arial" w:hAnsi="Arial" w:cs="Arial"/>
          <w:i/>
          <w:iCs/>
          <w:sz w:val="22"/>
          <w:lang w:val="en-US"/>
        </w:rPr>
        <w:t>Report of the Mid Staffordshire NHS Foundation Trust Public Inquiry</w:t>
      </w:r>
      <w:r w:rsidRPr="0065207C">
        <w:rPr>
          <w:rFonts w:ascii="Arial" w:hAnsi="Arial" w:cs="Arial"/>
          <w:sz w:val="22"/>
          <w:lang w:val="en-US"/>
        </w:rPr>
        <w:t>. Available at: https://assets.publishing.service.gov.uk/government/uploads/system/uploads/attachment_data/file/279124/0947.pdf (Accessed: August 4, 2026).</w:t>
      </w:r>
    </w:p>
    <w:p w14:paraId="2009A74E"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Francis, R. (2013) </w:t>
      </w:r>
      <w:r w:rsidRPr="00257214">
        <w:rPr>
          <w:rFonts w:ascii="Arial" w:hAnsi="Arial" w:cs="Arial"/>
          <w:i/>
          <w:iCs/>
          <w:sz w:val="22"/>
          <w:szCs w:val="22"/>
          <w:lang w:val="en-US"/>
        </w:rPr>
        <w:t>The Mid Staffordshire NHS Foundation Trust Public Inquiry</w:t>
      </w:r>
      <w:r w:rsidRPr="00257214">
        <w:rPr>
          <w:rFonts w:ascii="Arial" w:hAnsi="Arial" w:cs="Arial"/>
          <w:sz w:val="22"/>
          <w:szCs w:val="22"/>
          <w:lang w:val="en-US"/>
        </w:rPr>
        <w:t>, </w:t>
      </w:r>
      <w:r w:rsidRPr="00257214">
        <w:rPr>
          <w:rFonts w:ascii="Arial" w:hAnsi="Arial" w:cs="Arial"/>
          <w:i/>
          <w:iCs/>
          <w:sz w:val="22"/>
          <w:szCs w:val="22"/>
          <w:lang w:val="en-US"/>
        </w:rPr>
        <w:t>GOV.UK</w:t>
      </w:r>
      <w:r w:rsidRPr="00257214">
        <w:rPr>
          <w:rFonts w:ascii="Arial" w:hAnsi="Arial" w:cs="Arial"/>
          <w:sz w:val="22"/>
          <w:szCs w:val="22"/>
          <w:lang w:val="en-US"/>
        </w:rPr>
        <w:t>. Available at: https://assets.publishing.service.gov.uk/government/uploads/system/uploads/attachment_data/file/279124/0947.pdf (Accessed: August 3, 2026).</w:t>
      </w:r>
    </w:p>
    <w:p w14:paraId="2D642A77"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lastRenderedPageBreak/>
        <w:t>Fucile, B., Bridge, E., Duliban, C. and Law, M.P. (2017) “Experience-based co-design: A method for patient and family engagement in system-level quality improvement,” </w:t>
      </w:r>
      <w:r w:rsidRPr="0065207C">
        <w:rPr>
          <w:rFonts w:ascii="Arial" w:hAnsi="Arial" w:cs="Arial"/>
          <w:i/>
          <w:iCs/>
          <w:sz w:val="22"/>
          <w:lang w:val="en-US"/>
        </w:rPr>
        <w:t>Patient Experience Journal</w:t>
      </w:r>
      <w:r w:rsidRPr="0065207C">
        <w:rPr>
          <w:rFonts w:ascii="Arial" w:hAnsi="Arial" w:cs="Arial"/>
          <w:sz w:val="22"/>
          <w:lang w:val="en-US"/>
        </w:rPr>
        <w:t>, 4(2), pp. 53–60. Available at: https://doi.org/10.35680/2372-0247.1209.</w:t>
      </w:r>
    </w:p>
    <w:p w14:paraId="76BDDA83"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George, J., Jack, S., Gauld, R., Colbourn, T. and Stokes, T. (2023) “Impact of health system governance on healthcare quality in low-income and middle-income countries: A scoping review,” </w:t>
      </w:r>
      <w:r w:rsidRPr="00257214">
        <w:rPr>
          <w:rFonts w:ascii="Arial" w:hAnsi="Arial" w:cs="Arial"/>
          <w:i/>
          <w:iCs/>
          <w:sz w:val="22"/>
          <w:szCs w:val="22"/>
          <w:lang w:val="en-US"/>
        </w:rPr>
        <w:t>BMJ open</w:t>
      </w:r>
      <w:r w:rsidRPr="00257214">
        <w:rPr>
          <w:rFonts w:ascii="Arial" w:hAnsi="Arial" w:cs="Arial"/>
          <w:sz w:val="22"/>
          <w:szCs w:val="22"/>
          <w:lang w:val="en-US"/>
        </w:rPr>
        <w:t>, 13(12), p. e073669. Available at: https://doi.org/10.1136/bmjopen-2023-073669.</w:t>
      </w:r>
    </w:p>
    <w:p w14:paraId="6C74D823"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Joint Commission Resources, Inc (2017) </w:t>
      </w:r>
      <w:r w:rsidRPr="0065207C">
        <w:rPr>
          <w:rFonts w:ascii="Arial" w:hAnsi="Arial" w:cs="Arial"/>
          <w:i/>
          <w:iCs/>
          <w:sz w:val="22"/>
          <w:lang w:val="en-US"/>
        </w:rPr>
        <w:t>Root cause analysis in health care : Tools and techniques.</w:t>
      </w:r>
      <w:r w:rsidRPr="0065207C">
        <w:rPr>
          <w:rFonts w:ascii="Arial" w:hAnsi="Arial" w:cs="Arial"/>
          <w:sz w:val="22"/>
          <w:lang w:val="en-US"/>
        </w:rPr>
        <w:t> Oak Brook, Il: Joint Commission Resources.</w:t>
      </w:r>
    </w:p>
    <w:p w14:paraId="59949CFE"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Kumah, A., Nwogu, C.N., Issah, A.-R., Obot, E., Kanamitie, D.T., Sifa, J.S. and Aidoo, L.A. (2024) “Cause-and-effect (Fishbone) diagram: A tool for generating and organizing quality improvement ideas,” </w:t>
      </w:r>
      <w:r w:rsidRPr="0065207C">
        <w:rPr>
          <w:rFonts w:ascii="Arial" w:hAnsi="Arial" w:cs="Arial"/>
          <w:i/>
          <w:iCs/>
          <w:sz w:val="22"/>
          <w:lang w:val="en-US"/>
        </w:rPr>
        <w:t>Innovations Journals</w:t>
      </w:r>
      <w:r w:rsidRPr="0065207C">
        <w:rPr>
          <w:rFonts w:ascii="Arial" w:hAnsi="Arial" w:cs="Arial"/>
          <w:sz w:val="22"/>
          <w:lang w:val="en-US"/>
        </w:rPr>
        <w:t>, 7(2), pp. 85–87. Available at: https://doi.org/10.36401/JQSH-23-42.</w:t>
      </w:r>
    </w:p>
    <w:p w14:paraId="355793DE"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Moffatt-Bruce, S., Clark, S., DiMaio, M. and Fann, J. (2018) “Leadership oversight for patient safety programs: An essential element,” </w:t>
      </w:r>
      <w:r w:rsidRPr="0065207C">
        <w:rPr>
          <w:rFonts w:ascii="Arial" w:hAnsi="Arial" w:cs="Arial"/>
          <w:i/>
          <w:iCs/>
          <w:sz w:val="22"/>
          <w:lang w:val="en-US"/>
        </w:rPr>
        <w:t>The Annals of Thoracic Surgery</w:t>
      </w:r>
      <w:r w:rsidRPr="0065207C">
        <w:rPr>
          <w:rFonts w:ascii="Arial" w:hAnsi="Arial" w:cs="Arial"/>
          <w:sz w:val="22"/>
          <w:lang w:val="en-US"/>
        </w:rPr>
        <w:t>, 105(2), pp. 351–356. Available at: https://doi.org/10.1016/j.athoracsur.2017.11.021.</w:t>
      </w:r>
    </w:p>
    <w:p w14:paraId="7BD06C15"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Morris, M.E., Brusco, N.K., McAleer, R., Billett, S., Brophy, L., Bryant, R., Carey, L., Wright, A.C., East, C., Eckert, M., Edvardsson, K., Fetherstonhaugh, D., Fowler-Davis, S., Frederico, M., Gray, R., McCaskie, D., McKinstry, C., Mitchell, R.J., Oldenburg, B., Shields, N., Smith, K., Spelten, E., Taylor, N.F., Thwaites, C., Young, S. and Blackberry, I. (2023) “Professional care workforce: A rapid review of evidence supporting methods of recruitment, retention, safety, and education,” </w:t>
      </w:r>
      <w:r w:rsidRPr="0065207C">
        <w:rPr>
          <w:rFonts w:ascii="Arial" w:hAnsi="Arial" w:cs="Arial"/>
          <w:i/>
          <w:iCs/>
          <w:sz w:val="22"/>
          <w:lang w:val="en-US"/>
        </w:rPr>
        <w:t>Human Resources for Health</w:t>
      </w:r>
      <w:r w:rsidRPr="0065207C">
        <w:rPr>
          <w:rFonts w:ascii="Arial" w:hAnsi="Arial" w:cs="Arial"/>
          <w:sz w:val="22"/>
          <w:lang w:val="en-US"/>
        </w:rPr>
        <w:t>, 21(1). Available at: https://doi.org/10.1186/s12960-023-00879-5.</w:t>
      </w:r>
    </w:p>
    <w:p w14:paraId="05CF69ED"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NHS England (2019) </w:t>
      </w:r>
      <w:r w:rsidRPr="0065207C">
        <w:rPr>
          <w:rFonts w:ascii="Arial" w:hAnsi="Arial" w:cs="Arial"/>
          <w:i/>
          <w:iCs/>
          <w:sz w:val="22"/>
          <w:lang w:val="en-US"/>
        </w:rPr>
        <w:t>Patient safety strategy 2019-22 becoming a high reliability organisation “better today than yesterday, every day”</w:t>
      </w:r>
      <w:r w:rsidRPr="0065207C">
        <w:rPr>
          <w:rFonts w:ascii="Arial" w:hAnsi="Arial" w:cs="Arial"/>
          <w:sz w:val="22"/>
          <w:lang w:val="en-US"/>
        </w:rPr>
        <w:t>. Available at: https://www.humber.nhs.uk/media/whlnlnpb/patient-safety-strategy-2019-2022.pdf (Accessed: August 4, 2026).</w:t>
      </w:r>
    </w:p>
    <w:p w14:paraId="011F6C2A"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Norman, K. (2024) “Enhancing communication within nursing and multiprofessional healthcare teams,” </w:t>
      </w:r>
      <w:r w:rsidRPr="0065207C">
        <w:rPr>
          <w:rFonts w:ascii="Arial" w:hAnsi="Arial" w:cs="Arial"/>
          <w:i/>
          <w:iCs/>
          <w:sz w:val="22"/>
          <w:lang w:val="en-US"/>
        </w:rPr>
        <w:t>Nursing Standard</w:t>
      </w:r>
      <w:r w:rsidRPr="0065207C">
        <w:rPr>
          <w:rFonts w:ascii="Arial" w:hAnsi="Arial" w:cs="Arial"/>
          <w:sz w:val="22"/>
          <w:lang w:val="en-US"/>
        </w:rPr>
        <w:t>, 39(5). Available at: https://doi.org/10.7748/ns.2024.e12270.</w:t>
      </w:r>
    </w:p>
    <w:p w14:paraId="2D852A2D"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lastRenderedPageBreak/>
        <w:t>Powell, M. (2019) “Learning from NHS inquiries: Comparing the recommendations of the ely, Bristol and Mid Staffordshire Inquiries,” </w:t>
      </w:r>
      <w:r w:rsidRPr="0065207C">
        <w:rPr>
          <w:rFonts w:ascii="Arial" w:hAnsi="Arial" w:cs="Arial"/>
          <w:i/>
          <w:iCs/>
          <w:sz w:val="22"/>
          <w:lang w:val="en-US"/>
        </w:rPr>
        <w:t>The Political Quarterly</w:t>
      </w:r>
      <w:r w:rsidRPr="0065207C">
        <w:rPr>
          <w:rFonts w:ascii="Arial" w:hAnsi="Arial" w:cs="Arial"/>
          <w:sz w:val="22"/>
          <w:lang w:val="en-US"/>
        </w:rPr>
        <w:t>, 90(2), pp. 229–237. Available at: https://doi.org/10.1111/1467-923x.12697.</w:t>
      </w:r>
    </w:p>
    <w:p w14:paraId="68AFCC8C"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Renger, R., Davis , M. and Granillo, B. (2018) “Using root cause analysis (RCA) to facilitate corrective actions, after action reports (AARs), and improvement plans,” </w:t>
      </w:r>
      <w:r w:rsidRPr="0065207C">
        <w:rPr>
          <w:rFonts w:ascii="Arial" w:hAnsi="Arial" w:cs="Arial"/>
          <w:i/>
          <w:iCs/>
          <w:sz w:val="22"/>
          <w:lang w:val="en-US"/>
        </w:rPr>
        <w:t>Journal of Emergency Management</w:t>
      </w:r>
      <w:r w:rsidRPr="0065207C">
        <w:rPr>
          <w:rFonts w:ascii="Arial" w:hAnsi="Arial" w:cs="Arial"/>
          <w:sz w:val="22"/>
          <w:lang w:val="en-US"/>
        </w:rPr>
        <w:t>, 10(6), p. 442. Available at: https://doi.org/10.5055/jem.2012.0121.</w:t>
      </w:r>
    </w:p>
    <w:p w14:paraId="3B471826"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Singh, A., Yeravdekar, R. and Jadhav, S. (2023) “Investigating the influence of selected leadership styles on patient safety and quality of care: A systematic review and meta-analysis,” </w:t>
      </w:r>
      <w:r w:rsidRPr="0065207C">
        <w:rPr>
          <w:rFonts w:ascii="Arial" w:hAnsi="Arial" w:cs="Arial"/>
          <w:i/>
          <w:iCs/>
          <w:sz w:val="22"/>
          <w:lang w:val="en-US"/>
        </w:rPr>
        <w:t>BMJ Leader</w:t>
      </w:r>
      <w:r w:rsidRPr="0065207C">
        <w:rPr>
          <w:rFonts w:ascii="Arial" w:hAnsi="Arial" w:cs="Arial"/>
          <w:sz w:val="22"/>
          <w:lang w:val="en-US"/>
        </w:rPr>
        <w:t>, 8(3), pp. leader-000846. Available at: https://doi.org/10.1136/leader-2023-000846.</w:t>
      </w:r>
    </w:p>
    <w:p w14:paraId="31764093"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Smith, J. and Chambers, N. (2019) “Mid Staffordshire: A case study of failed governance and leadership?,” </w:t>
      </w:r>
      <w:r w:rsidRPr="0065207C">
        <w:rPr>
          <w:rFonts w:ascii="Arial" w:hAnsi="Arial" w:cs="Arial"/>
          <w:i/>
          <w:iCs/>
          <w:sz w:val="22"/>
          <w:lang w:val="en-US"/>
        </w:rPr>
        <w:t>The Political Quarterly</w:t>
      </w:r>
      <w:r w:rsidRPr="0065207C">
        <w:rPr>
          <w:rFonts w:ascii="Arial" w:hAnsi="Arial" w:cs="Arial"/>
          <w:sz w:val="22"/>
          <w:lang w:val="en-US"/>
        </w:rPr>
        <w:t>, 90(2), pp. 194–201. Available at: https://doi.org/10.1111/1467-923x.12698.</w:t>
      </w:r>
    </w:p>
    <w:p w14:paraId="209807EB"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Taylor, M.J., McNicholas, C., Nicolay, C., Darzi, A., Bell, D. and Reed, J.E. (2014) “Systematic review of the application of the plan–do–study–ACT method to improve quality in healthcare,” </w:t>
      </w:r>
      <w:r w:rsidRPr="0065207C">
        <w:rPr>
          <w:rFonts w:ascii="Arial" w:hAnsi="Arial" w:cs="Arial"/>
          <w:i/>
          <w:iCs/>
          <w:sz w:val="22"/>
          <w:lang w:val="en-US"/>
        </w:rPr>
        <w:t>BMJ Quality &amp; Safety</w:t>
      </w:r>
      <w:r w:rsidRPr="0065207C">
        <w:rPr>
          <w:rFonts w:ascii="Arial" w:hAnsi="Arial" w:cs="Arial"/>
          <w:sz w:val="22"/>
          <w:lang w:val="en-US"/>
        </w:rPr>
        <w:t>, 23(4), pp. 290–298. Available at: https://doi.org/10.1136/bmjqs-2013-001862.</w:t>
      </w:r>
    </w:p>
    <w:p w14:paraId="037484E9"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Tyler, A. and Glasgow, R.E. (2021) “Implementing improvements: Opportunities to integrate quality improvement and implementation science,” </w:t>
      </w:r>
      <w:r w:rsidRPr="00257214">
        <w:rPr>
          <w:rFonts w:ascii="Arial" w:hAnsi="Arial" w:cs="Arial"/>
          <w:i/>
          <w:iCs/>
          <w:sz w:val="22"/>
          <w:szCs w:val="22"/>
          <w:lang w:val="en-US"/>
        </w:rPr>
        <w:t>Hospital Pediatrics</w:t>
      </w:r>
      <w:r w:rsidRPr="00257214">
        <w:rPr>
          <w:rFonts w:ascii="Arial" w:hAnsi="Arial" w:cs="Arial"/>
          <w:sz w:val="22"/>
          <w:szCs w:val="22"/>
          <w:lang w:val="en-US"/>
        </w:rPr>
        <w:t>, 11(5), pp. 536–545. Available at: https://doi.org/10.1542/hpeds.2020-002246.</w:t>
      </w:r>
    </w:p>
    <w:p w14:paraId="281B9D83"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Vibe, A., Rasmussen, S.H., Rasmussen, N.O.P., Østergaard, D. and Dieckmann, P. (2024) “The predictors of patient safety culture in hospital setting: A systematic review,” </w:t>
      </w:r>
      <w:r w:rsidRPr="0065207C">
        <w:rPr>
          <w:rFonts w:ascii="Arial" w:hAnsi="Arial" w:cs="Arial"/>
          <w:i/>
          <w:iCs/>
          <w:sz w:val="22"/>
          <w:lang w:val="en-US"/>
        </w:rPr>
        <w:t>Journal of Patient Safety</w:t>
      </w:r>
      <w:r w:rsidRPr="0065207C">
        <w:rPr>
          <w:rFonts w:ascii="Arial" w:hAnsi="Arial" w:cs="Arial"/>
          <w:sz w:val="22"/>
          <w:lang w:val="en-US"/>
        </w:rPr>
        <w:t>, 20(8), pp. 576–592. Available at: https://doi.org/10.1097/pts.0000000000001285.</w:t>
      </w:r>
    </w:p>
    <w:p w14:paraId="46766D47"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t>WHO (2025) </w:t>
      </w:r>
      <w:r w:rsidRPr="0065207C">
        <w:rPr>
          <w:rFonts w:ascii="Arial" w:hAnsi="Arial" w:cs="Arial"/>
          <w:i/>
          <w:iCs/>
          <w:sz w:val="22"/>
          <w:lang w:val="en-US"/>
        </w:rPr>
        <w:t>Quality of care</w:t>
      </w:r>
      <w:r w:rsidRPr="0065207C">
        <w:rPr>
          <w:rFonts w:ascii="Arial" w:hAnsi="Arial" w:cs="Arial"/>
          <w:sz w:val="22"/>
          <w:lang w:val="en-US"/>
        </w:rPr>
        <w:t>, </w:t>
      </w:r>
      <w:r w:rsidRPr="0065207C">
        <w:rPr>
          <w:rFonts w:ascii="Arial" w:hAnsi="Arial" w:cs="Arial"/>
          <w:i/>
          <w:iCs/>
          <w:sz w:val="22"/>
          <w:lang w:val="en-US"/>
        </w:rPr>
        <w:t>World Health Organization</w:t>
      </w:r>
      <w:r w:rsidRPr="0065207C">
        <w:rPr>
          <w:rFonts w:ascii="Arial" w:hAnsi="Arial" w:cs="Arial"/>
          <w:sz w:val="22"/>
          <w:lang w:val="en-US"/>
        </w:rPr>
        <w:t>. Available at: https://www.who.int/health-topics/quality-of-care#tab=tab_1 (Accessed: August 4, 2026).</w:t>
      </w:r>
    </w:p>
    <w:p w14:paraId="484B0998" w14:textId="77777777" w:rsidR="0041303D" w:rsidRPr="00257214" w:rsidRDefault="0041303D" w:rsidP="00A20F62">
      <w:pPr>
        <w:spacing w:line="360" w:lineRule="auto"/>
        <w:jc w:val="both"/>
        <w:rPr>
          <w:rFonts w:ascii="Arial" w:hAnsi="Arial" w:cs="Arial"/>
          <w:sz w:val="22"/>
          <w:szCs w:val="22"/>
          <w:lang w:val="en-US"/>
        </w:rPr>
      </w:pPr>
      <w:r w:rsidRPr="00257214">
        <w:rPr>
          <w:rFonts w:ascii="Arial" w:hAnsi="Arial" w:cs="Arial"/>
          <w:sz w:val="22"/>
          <w:szCs w:val="22"/>
          <w:lang w:val="en-US"/>
        </w:rPr>
        <w:t>Wiegmann, D.A., J. Wood, L., N. Cohen, T. and Shappell, S.A. (2022) “Understanding the ‘Swiss cheese model’ and its application to patient safety,” </w:t>
      </w:r>
      <w:r w:rsidRPr="00257214">
        <w:rPr>
          <w:rFonts w:ascii="Arial" w:hAnsi="Arial" w:cs="Arial"/>
          <w:i/>
          <w:iCs/>
          <w:sz w:val="22"/>
          <w:szCs w:val="22"/>
          <w:lang w:val="en-US"/>
        </w:rPr>
        <w:t>Journal of Patient Safety</w:t>
      </w:r>
      <w:r w:rsidRPr="00257214">
        <w:rPr>
          <w:rFonts w:ascii="Arial" w:hAnsi="Arial" w:cs="Arial"/>
          <w:sz w:val="22"/>
          <w:szCs w:val="22"/>
          <w:lang w:val="en-US"/>
        </w:rPr>
        <w:t>, 18(2), pp. 119–123. Available at: https://www.ncbi.nlm.nih.gov/pmc/articles/PMC8514562/ (Accessed: August 3, 2026).</w:t>
      </w:r>
    </w:p>
    <w:p w14:paraId="01BBED08" w14:textId="77777777" w:rsidR="0041303D" w:rsidRPr="0065207C" w:rsidRDefault="0041303D" w:rsidP="0041303D">
      <w:pPr>
        <w:spacing w:line="360" w:lineRule="auto"/>
        <w:jc w:val="both"/>
        <w:rPr>
          <w:rFonts w:ascii="Arial" w:hAnsi="Arial" w:cs="Arial"/>
          <w:sz w:val="22"/>
          <w:lang w:val="en-US"/>
        </w:rPr>
      </w:pPr>
      <w:r w:rsidRPr="0065207C">
        <w:rPr>
          <w:rFonts w:ascii="Arial" w:hAnsi="Arial" w:cs="Arial"/>
          <w:sz w:val="22"/>
          <w:lang w:val="en-US"/>
        </w:rPr>
        <w:lastRenderedPageBreak/>
        <w:t>Yang, J., Liu, F., Yang, C., Wei, J., Ma, Y., Xu, L., Xie, J. and Wang, J. (2025) “Application of Donabedian three</w:t>
      </w:r>
      <w:r w:rsidRPr="0065207C">
        <w:rPr>
          <w:rFonts w:ascii="Cambria Math" w:hAnsi="Cambria Math" w:cs="Cambria Math"/>
          <w:sz w:val="22"/>
          <w:lang w:val="en-US"/>
        </w:rPr>
        <w:t>‐</w:t>
      </w:r>
      <w:r w:rsidRPr="0065207C">
        <w:rPr>
          <w:rFonts w:ascii="Arial" w:hAnsi="Arial" w:cs="Arial"/>
          <w:sz w:val="22"/>
          <w:lang w:val="en-US"/>
        </w:rPr>
        <w:t>dimensional model in outpatient care quality: A scoping review,” </w:t>
      </w:r>
      <w:r w:rsidRPr="0065207C">
        <w:rPr>
          <w:rFonts w:ascii="Arial" w:hAnsi="Arial" w:cs="Arial"/>
          <w:i/>
          <w:iCs/>
          <w:sz w:val="22"/>
          <w:lang w:val="en-US"/>
        </w:rPr>
        <w:t>Journal of Nursing Management</w:t>
      </w:r>
      <w:r w:rsidRPr="0065207C">
        <w:rPr>
          <w:rFonts w:ascii="Arial" w:hAnsi="Arial" w:cs="Arial"/>
          <w:sz w:val="22"/>
          <w:lang w:val="en-US"/>
        </w:rPr>
        <w:t>. Edited by J. Fiorini, 2025(1). Available at: https://doi.org/10.1155/jonm/6893336.</w:t>
      </w:r>
    </w:p>
    <w:p w14:paraId="75D75226" w14:textId="77777777" w:rsidR="0041303D" w:rsidRPr="0065207C" w:rsidRDefault="0041303D" w:rsidP="0041303D">
      <w:pPr>
        <w:spacing w:line="360" w:lineRule="auto"/>
        <w:jc w:val="both"/>
        <w:rPr>
          <w:rFonts w:ascii="Arial" w:hAnsi="Arial" w:cs="Arial"/>
          <w:sz w:val="22"/>
          <w:lang w:val="en-US"/>
        </w:rPr>
      </w:pPr>
    </w:p>
    <w:p w14:paraId="60777E54" w14:textId="77777777" w:rsidR="0041303D" w:rsidRPr="0065207C" w:rsidRDefault="0041303D" w:rsidP="0041303D">
      <w:pPr>
        <w:spacing w:line="360" w:lineRule="auto"/>
        <w:jc w:val="both"/>
        <w:rPr>
          <w:rFonts w:ascii="Arial" w:hAnsi="Arial" w:cs="Arial"/>
          <w:sz w:val="22"/>
          <w:lang w:val="en-US"/>
        </w:rPr>
      </w:pPr>
    </w:p>
    <w:p w14:paraId="6336468A" w14:textId="77777777" w:rsidR="0041303D" w:rsidRPr="0065207C" w:rsidRDefault="0041303D" w:rsidP="0041303D">
      <w:pPr>
        <w:spacing w:line="360" w:lineRule="auto"/>
        <w:jc w:val="both"/>
        <w:rPr>
          <w:rFonts w:ascii="Arial" w:hAnsi="Arial" w:cs="Arial"/>
          <w:sz w:val="22"/>
          <w:lang w:val="en-US"/>
        </w:rPr>
      </w:pPr>
    </w:p>
    <w:p w14:paraId="343CF6CC" w14:textId="77777777" w:rsidR="0041303D" w:rsidRPr="0065207C" w:rsidRDefault="0041303D" w:rsidP="0041303D">
      <w:pPr>
        <w:spacing w:line="360" w:lineRule="auto"/>
        <w:jc w:val="both"/>
        <w:rPr>
          <w:rFonts w:ascii="Arial" w:hAnsi="Arial" w:cs="Arial"/>
          <w:sz w:val="22"/>
          <w:lang w:val="en-US"/>
        </w:rPr>
      </w:pPr>
    </w:p>
    <w:p w14:paraId="656EEC27" w14:textId="77777777" w:rsidR="00A20F62" w:rsidRPr="00A20F62" w:rsidRDefault="00A20F62" w:rsidP="00A20F62">
      <w:pPr>
        <w:rPr>
          <w:lang w:val="en-US"/>
        </w:rPr>
      </w:pPr>
    </w:p>
    <w:p w14:paraId="6E9F3887" w14:textId="77777777" w:rsidR="007410CB" w:rsidRDefault="007410CB" w:rsidP="007B446A">
      <w:pPr>
        <w:spacing w:line="360" w:lineRule="auto"/>
        <w:rPr>
          <w:rFonts w:ascii="Times New Roman" w:hAnsi="Times New Roman" w:cs="Times New Roman"/>
          <w:lang w:val="en-US"/>
        </w:rPr>
      </w:pPr>
    </w:p>
    <w:p w14:paraId="56147D19" w14:textId="77777777" w:rsidR="00BE2D89" w:rsidRDefault="00BE2D89" w:rsidP="001627D1">
      <w:pPr>
        <w:spacing w:line="360" w:lineRule="auto"/>
        <w:rPr>
          <w:rFonts w:ascii="Times New Roman" w:hAnsi="Times New Roman" w:cs="Times New Roman"/>
          <w:lang w:val="en-US"/>
        </w:rPr>
      </w:pPr>
    </w:p>
    <w:p w14:paraId="2368819C" w14:textId="77777777" w:rsidR="001627D1" w:rsidRPr="001627D1" w:rsidRDefault="001627D1" w:rsidP="001627D1">
      <w:pPr>
        <w:spacing w:line="360" w:lineRule="auto"/>
        <w:rPr>
          <w:rFonts w:ascii="Times New Roman" w:hAnsi="Times New Roman" w:cs="Times New Roman"/>
          <w:lang w:val="en-US"/>
        </w:rPr>
      </w:pPr>
    </w:p>
    <w:p w14:paraId="7A0B2A8D" w14:textId="77777777" w:rsidR="001627D1" w:rsidRPr="001627D1" w:rsidRDefault="001627D1" w:rsidP="001627D1">
      <w:pPr>
        <w:rPr>
          <w:lang w:val="en-US"/>
        </w:rPr>
      </w:pPr>
    </w:p>
    <w:sectPr w:rsidR="001627D1" w:rsidRPr="001627D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7B940" w14:textId="77777777" w:rsidR="002B38D9" w:rsidRDefault="002B38D9" w:rsidP="00A20F62">
      <w:pPr>
        <w:spacing w:after="0" w:line="240" w:lineRule="auto"/>
      </w:pPr>
      <w:r>
        <w:separator/>
      </w:r>
    </w:p>
  </w:endnote>
  <w:endnote w:type="continuationSeparator" w:id="0">
    <w:p w14:paraId="58F66041" w14:textId="77777777" w:rsidR="002B38D9" w:rsidRDefault="002B38D9" w:rsidP="00A20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Angsana New">
    <w:panose1 w:val="02020603050405020304"/>
    <w:charset w:val="DE"/>
    <w:family w:val="roman"/>
    <w:pitch w:val="variable"/>
    <w:sig w:usb0="81000003" w:usb1="00000000" w:usb2="00000000" w:usb3="00000000" w:csb0="0001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0913239"/>
      <w:docPartObj>
        <w:docPartGallery w:val="Page Numbers (Bottom of Page)"/>
        <w:docPartUnique/>
      </w:docPartObj>
    </w:sdtPr>
    <w:sdtEndPr>
      <w:rPr>
        <w:noProof/>
      </w:rPr>
    </w:sdtEndPr>
    <w:sdtContent>
      <w:p w14:paraId="2187CC3E" w14:textId="379A9153" w:rsidR="00A20F62" w:rsidRDefault="00A20F62">
        <w:pPr>
          <w:pStyle w:val="Footer"/>
          <w:jc w:val="center"/>
        </w:pPr>
        <w:r>
          <w:fldChar w:fldCharType="begin"/>
        </w:r>
        <w:r>
          <w:instrText xml:space="preserve"> PAGE   \* MERGEFORMAT </w:instrText>
        </w:r>
        <w:r>
          <w:fldChar w:fldCharType="separate"/>
        </w:r>
        <w:r w:rsidR="009B7C8E">
          <w:rPr>
            <w:noProof/>
          </w:rPr>
          <w:t>10</w:t>
        </w:r>
        <w:r>
          <w:rPr>
            <w:noProof/>
          </w:rPr>
          <w:fldChar w:fldCharType="end"/>
        </w:r>
      </w:p>
    </w:sdtContent>
  </w:sdt>
  <w:p w14:paraId="6D216F6D" w14:textId="77777777" w:rsidR="00A20F62" w:rsidRDefault="00A20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770EC" w14:textId="77777777" w:rsidR="002B38D9" w:rsidRDefault="002B38D9" w:rsidP="00A20F62">
      <w:pPr>
        <w:spacing w:after="0" w:line="240" w:lineRule="auto"/>
      </w:pPr>
      <w:r>
        <w:separator/>
      </w:r>
    </w:p>
  </w:footnote>
  <w:footnote w:type="continuationSeparator" w:id="0">
    <w:p w14:paraId="67E85728" w14:textId="77777777" w:rsidR="002B38D9" w:rsidRDefault="002B38D9" w:rsidP="00A20F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5074"/>
    <w:multiLevelType w:val="hybridMultilevel"/>
    <w:tmpl w:val="8FC60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203496"/>
    <w:multiLevelType w:val="hybridMultilevel"/>
    <w:tmpl w:val="564C08DC"/>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2838C2"/>
    <w:multiLevelType w:val="hybridMultilevel"/>
    <w:tmpl w:val="4D5AF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61AD"/>
    <w:multiLevelType w:val="hybridMultilevel"/>
    <w:tmpl w:val="4B009234"/>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562B93"/>
    <w:multiLevelType w:val="hybridMultilevel"/>
    <w:tmpl w:val="E28CA792"/>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84411A"/>
    <w:multiLevelType w:val="hybridMultilevel"/>
    <w:tmpl w:val="963C10EA"/>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1E0A62"/>
    <w:multiLevelType w:val="hybridMultilevel"/>
    <w:tmpl w:val="626C3462"/>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444F5D"/>
    <w:multiLevelType w:val="hybridMultilevel"/>
    <w:tmpl w:val="F7CCE536"/>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9B1A44"/>
    <w:multiLevelType w:val="hybridMultilevel"/>
    <w:tmpl w:val="B5C6DCC4"/>
    <w:lvl w:ilvl="0" w:tplc="93A463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8364">
    <w:abstractNumId w:val="2"/>
  </w:num>
  <w:num w:numId="2" w16cid:durableId="1277709804">
    <w:abstractNumId w:val="0"/>
  </w:num>
  <w:num w:numId="3" w16cid:durableId="641080112">
    <w:abstractNumId w:val="3"/>
  </w:num>
  <w:num w:numId="4" w16cid:durableId="106896445">
    <w:abstractNumId w:val="4"/>
  </w:num>
  <w:num w:numId="5" w16cid:durableId="1229653181">
    <w:abstractNumId w:val="6"/>
  </w:num>
  <w:num w:numId="6" w16cid:durableId="863205462">
    <w:abstractNumId w:val="5"/>
  </w:num>
  <w:num w:numId="7" w16cid:durableId="832988625">
    <w:abstractNumId w:val="1"/>
  </w:num>
  <w:num w:numId="8" w16cid:durableId="1042747636">
    <w:abstractNumId w:val="8"/>
  </w:num>
  <w:num w:numId="9" w16cid:durableId="20632074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549C"/>
    <w:rsid w:val="0004549C"/>
    <w:rsid w:val="00112E0A"/>
    <w:rsid w:val="001267FC"/>
    <w:rsid w:val="001627D1"/>
    <w:rsid w:val="00181A7F"/>
    <w:rsid w:val="001836C3"/>
    <w:rsid w:val="001F0EFD"/>
    <w:rsid w:val="001F6E97"/>
    <w:rsid w:val="0025369C"/>
    <w:rsid w:val="002777F0"/>
    <w:rsid w:val="00283935"/>
    <w:rsid w:val="002B38D9"/>
    <w:rsid w:val="002E6E6C"/>
    <w:rsid w:val="00393428"/>
    <w:rsid w:val="00405443"/>
    <w:rsid w:val="0041303D"/>
    <w:rsid w:val="00417AD8"/>
    <w:rsid w:val="004A3313"/>
    <w:rsid w:val="004A6A8B"/>
    <w:rsid w:val="00524164"/>
    <w:rsid w:val="005333BB"/>
    <w:rsid w:val="00546D0A"/>
    <w:rsid w:val="0064582F"/>
    <w:rsid w:val="00666BBF"/>
    <w:rsid w:val="006C1C69"/>
    <w:rsid w:val="006F28FB"/>
    <w:rsid w:val="00736EC5"/>
    <w:rsid w:val="00740930"/>
    <w:rsid w:val="007410CB"/>
    <w:rsid w:val="00743B98"/>
    <w:rsid w:val="00754E99"/>
    <w:rsid w:val="00780CBE"/>
    <w:rsid w:val="007B446A"/>
    <w:rsid w:val="007F713A"/>
    <w:rsid w:val="00837DA4"/>
    <w:rsid w:val="0088483F"/>
    <w:rsid w:val="008A3B67"/>
    <w:rsid w:val="008B383E"/>
    <w:rsid w:val="008B5848"/>
    <w:rsid w:val="009478E1"/>
    <w:rsid w:val="009B134A"/>
    <w:rsid w:val="009B7C8E"/>
    <w:rsid w:val="00A20A10"/>
    <w:rsid w:val="00A20F62"/>
    <w:rsid w:val="00A4651C"/>
    <w:rsid w:val="00A473E1"/>
    <w:rsid w:val="00A749C9"/>
    <w:rsid w:val="00A75627"/>
    <w:rsid w:val="00AE58C5"/>
    <w:rsid w:val="00AF3214"/>
    <w:rsid w:val="00B540AA"/>
    <w:rsid w:val="00B567C9"/>
    <w:rsid w:val="00B611E6"/>
    <w:rsid w:val="00B70ABB"/>
    <w:rsid w:val="00BE2D89"/>
    <w:rsid w:val="00CD3113"/>
    <w:rsid w:val="00CF3AE9"/>
    <w:rsid w:val="00D8238D"/>
    <w:rsid w:val="00DC561A"/>
    <w:rsid w:val="00E07CCA"/>
    <w:rsid w:val="00F54B60"/>
    <w:rsid w:val="00F93123"/>
    <w:rsid w:val="00FE16F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B4289"/>
  <w15:docId w15:val="{6016340E-3762-4152-9445-BD102B562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549C"/>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semiHidden/>
    <w:unhideWhenUsed/>
    <w:qFormat/>
    <w:rsid w:val="0004549C"/>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04549C"/>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454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54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54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4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4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4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49C"/>
    <w:rPr>
      <w:rFonts w:asciiTheme="majorHAnsi" w:eastAsiaTheme="majorEastAsia" w:hAnsiTheme="majorHAnsi" w:cstheme="majorBidi"/>
      <w:color w:val="2F5496" w:themeColor="accent1" w:themeShade="BF"/>
      <w:sz w:val="40"/>
      <w:szCs w:val="50"/>
      <w:lang w:val="en-GB"/>
    </w:rPr>
  </w:style>
  <w:style w:type="character" w:customStyle="1" w:styleId="Heading2Char">
    <w:name w:val="Heading 2 Char"/>
    <w:basedOn w:val="DefaultParagraphFont"/>
    <w:link w:val="Heading2"/>
    <w:uiPriority w:val="9"/>
    <w:semiHidden/>
    <w:rsid w:val="0004549C"/>
    <w:rPr>
      <w:rFonts w:asciiTheme="majorHAnsi" w:eastAsiaTheme="majorEastAsia" w:hAnsiTheme="majorHAnsi" w:cstheme="majorBidi"/>
      <w:color w:val="2F5496" w:themeColor="accent1" w:themeShade="BF"/>
      <w:sz w:val="32"/>
      <w:szCs w:val="40"/>
      <w:lang w:val="en-GB"/>
    </w:rPr>
  </w:style>
  <w:style w:type="character" w:customStyle="1" w:styleId="Heading3Char">
    <w:name w:val="Heading 3 Char"/>
    <w:basedOn w:val="DefaultParagraphFont"/>
    <w:link w:val="Heading3"/>
    <w:uiPriority w:val="9"/>
    <w:semiHidden/>
    <w:rsid w:val="0004549C"/>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04549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4549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4549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4549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4549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4549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4549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4549C"/>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04549C"/>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4549C"/>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4549C"/>
    <w:pPr>
      <w:spacing w:before="160"/>
      <w:jc w:val="center"/>
    </w:pPr>
    <w:rPr>
      <w:i/>
      <w:iCs/>
      <w:color w:val="404040" w:themeColor="text1" w:themeTint="BF"/>
    </w:rPr>
  </w:style>
  <w:style w:type="character" w:customStyle="1" w:styleId="QuoteChar">
    <w:name w:val="Quote Char"/>
    <w:basedOn w:val="DefaultParagraphFont"/>
    <w:link w:val="Quote"/>
    <w:uiPriority w:val="29"/>
    <w:rsid w:val="0004549C"/>
    <w:rPr>
      <w:i/>
      <w:iCs/>
      <w:color w:val="404040" w:themeColor="text1" w:themeTint="BF"/>
      <w:lang w:val="en-GB"/>
    </w:rPr>
  </w:style>
  <w:style w:type="paragraph" w:styleId="ListParagraph">
    <w:name w:val="List Paragraph"/>
    <w:basedOn w:val="Normal"/>
    <w:uiPriority w:val="34"/>
    <w:qFormat/>
    <w:rsid w:val="0004549C"/>
    <w:pPr>
      <w:ind w:left="720"/>
      <w:contextualSpacing/>
    </w:pPr>
  </w:style>
  <w:style w:type="character" w:styleId="IntenseEmphasis">
    <w:name w:val="Intense Emphasis"/>
    <w:basedOn w:val="DefaultParagraphFont"/>
    <w:uiPriority w:val="21"/>
    <w:qFormat/>
    <w:rsid w:val="0004549C"/>
    <w:rPr>
      <w:i/>
      <w:iCs/>
      <w:color w:val="2F5496" w:themeColor="accent1" w:themeShade="BF"/>
    </w:rPr>
  </w:style>
  <w:style w:type="paragraph" w:styleId="IntenseQuote">
    <w:name w:val="Intense Quote"/>
    <w:basedOn w:val="Normal"/>
    <w:next w:val="Normal"/>
    <w:link w:val="IntenseQuoteChar"/>
    <w:uiPriority w:val="30"/>
    <w:qFormat/>
    <w:rsid w:val="000454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549C"/>
    <w:rPr>
      <w:i/>
      <w:iCs/>
      <w:color w:val="2F5496" w:themeColor="accent1" w:themeShade="BF"/>
      <w:lang w:val="en-GB"/>
    </w:rPr>
  </w:style>
  <w:style w:type="character" w:styleId="IntenseReference">
    <w:name w:val="Intense Reference"/>
    <w:basedOn w:val="DefaultParagraphFont"/>
    <w:uiPriority w:val="32"/>
    <w:qFormat/>
    <w:rsid w:val="0004549C"/>
    <w:rPr>
      <w:b/>
      <w:bCs/>
      <w:smallCaps/>
      <w:color w:val="2F5496" w:themeColor="accent1" w:themeShade="BF"/>
      <w:spacing w:val="5"/>
    </w:rPr>
  </w:style>
  <w:style w:type="paragraph" w:styleId="BalloonText">
    <w:name w:val="Balloon Text"/>
    <w:basedOn w:val="Normal"/>
    <w:link w:val="BalloonTextChar"/>
    <w:uiPriority w:val="99"/>
    <w:semiHidden/>
    <w:unhideWhenUsed/>
    <w:rsid w:val="001267FC"/>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1267FC"/>
    <w:rPr>
      <w:rFonts w:ascii="Tahoma" w:hAnsi="Tahoma" w:cs="Angsana New"/>
      <w:sz w:val="16"/>
      <w:szCs w:val="20"/>
      <w:lang w:val="en-GB"/>
    </w:rPr>
  </w:style>
  <w:style w:type="paragraph" w:styleId="Header">
    <w:name w:val="header"/>
    <w:basedOn w:val="Normal"/>
    <w:link w:val="HeaderChar"/>
    <w:uiPriority w:val="99"/>
    <w:unhideWhenUsed/>
    <w:rsid w:val="00A20F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F62"/>
    <w:rPr>
      <w:lang w:val="en-GB"/>
    </w:rPr>
  </w:style>
  <w:style w:type="paragraph" w:styleId="Footer">
    <w:name w:val="footer"/>
    <w:basedOn w:val="Normal"/>
    <w:link w:val="FooterChar"/>
    <w:uiPriority w:val="99"/>
    <w:unhideWhenUsed/>
    <w:rsid w:val="00A20F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F62"/>
    <w:rPr>
      <w:lang w:val="en-GB"/>
    </w:rPr>
  </w:style>
  <w:style w:type="paragraph" w:styleId="Caption">
    <w:name w:val="caption"/>
    <w:basedOn w:val="Normal"/>
    <w:next w:val="Normal"/>
    <w:uiPriority w:val="35"/>
    <w:unhideWhenUsed/>
    <w:qFormat/>
    <w:rsid w:val="008B5848"/>
    <w:pPr>
      <w:spacing w:after="200" w:line="240" w:lineRule="auto"/>
    </w:pPr>
    <w:rPr>
      <w:b/>
      <w:bCs/>
      <w:color w:val="4472C4" w:themeColor="accent1"/>
      <w:sz w:val="18"/>
      <w:szCs w:val="22"/>
    </w:rPr>
  </w:style>
  <w:style w:type="character" w:styleId="CommentReference">
    <w:name w:val="annotation reference"/>
    <w:basedOn w:val="DefaultParagraphFont"/>
    <w:uiPriority w:val="99"/>
    <w:semiHidden/>
    <w:unhideWhenUsed/>
    <w:rsid w:val="009B134A"/>
    <w:rPr>
      <w:sz w:val="16"/>
      <w:szCs w:val="16"/>
    </w:rPr>
  </w:style>
  <w:style w:type="paragraph" w:styleId="CommentText">
    <w:name w:val="annotation text"/>
    <w:basedOn w:val="Normal"/>
    <w:link w:val="CommentTextChar"/>
    <w:uiPriority w:val="99"/>
    <w:unhideWhenUsed/>
    <w:rsid w:val="009B134A"/>
    <w:pPr>
      <w:spacing w:line="240" w:lineRule="auto"/>
    </w:pPr>
    <w:rPr>
      <w:sz w:val="20"/>
      <w:szCs w:val="25"/>
    </w:rPr>
  </w:style>
  <w:style w:type="character" w:customStyle="1" w:styleId="CommentTextChar">
    <w:name w:val="Comment Text Char"/>
    <w:basedOn w:val="DefaultParagraphFont"/>
    <w:link w:val="CommentText"/>
    <w:uiPriority w:val="99"/>
    <w:rsid w:val="009B134A"/>
    <w:rPr>
      <w:sz w:val="20"/>
      <w:szCs w:val="25"/>
      <w:lang w:val="en-GB"/>
    </w:rPr>
  </w:style>
  <w:style w:type="paragraph" w:styleId="CommentSubject">
    <w:name w:val="annotation subject"/>
    <w:basedOn w:val="CommentText"/>
    <w:next w:val="CommentText"/>
    <w:link w:val="CommentSubjectChar"/>
    <w:uiPriority w:val="99"/>
    <w:semiHidden/>
    <w:unhideWhenUsed/>
    <w:rsid w:val="009B134A"/>
    <w:rPr>
      <w:b/>
      <w:bCs/>
    </w:rPr>
  </w:style>
  <w:style w:type="character" w:customStyle="1" w:styleId="CommentSubjectChar">
    <w:name w:val="Comment Subject Char"/>
    <w:basedOn w:val="CommentTextChar"/>
    <w:link w:val="CommentSubject"/>
    <w:uiPriority w:val="99"/>
    <w:semiHidden/>
    <w:rsid w:val="009B134A"/>
    <w:rPr>
      <w:b/>
      <w:bCs/>
      <w:sz w:val="20"/>
      <w:szCs w:val="2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59502">
      <w:bodyDiv w:val="1"/>
      <w:marLeft w:val="0"/>
      <w:marRight w:val="0"/>
      <w:marTop w:val="0"/>
      <w:marBottom w:val="0"/>
      <w:divBdr>
        <w:top w:val="none" w:sz="0" w:space="0" w:color="auto"/>
        <w:left w:val="none" w:sz="0" w:space="0" w:color="auto"/>
        <w:bottom w:val="none" w:sz="0" w:space="0" w:color="auto"/>
        <w:right w:val="none" w:sz="0" w:space="0" w:color="auto"/>
      </w:divBdr>
      <w:divsChild>
        <w:div w:id="283539124">
          <w:marLeft w:val="0"/>
          <w:marRight w:val="0"/>
          <w:marTop w:val="120"/>
          <w:marBottom w:val="0"/>
          <w:divBdr>
            <w:top w:val="none" w:sz="0" w:space="0" w:color="auto"/>
            <w:left w:val="none" w:sz="0" w:space="0" w:color="auto"/>
            <w:bottom w:val="none" w:sz="0" w:space="0" w:color="auto"/>
            <w:right w:val="none" w:sz="0" w:space="0" w:color="auto"/>
          </w:divBdr>
          <w:divsChild>
            <w:div w:id="1853375129">
              <w:marLeft w:val="0"/>
              <w:marRight w:val="0"/>
              <w:marTop w:val="0"/>
              <w:marBottom w:val="0"/>
              <w:divBdr>
                <w:top w:val="none" w:sz="0" w:space="0" w:color="auto"/>
                <w:left w:val="none" w:sz="0" w:space="0" w:color="auto"/>
                <w:bottom w:val="none" w:sz="0" w:space="0" w:color="auto"/>
                <w:right w:val="none" w:sz="0" w:space="0" w:color="auto"/>
              </w:divBdr>
              <w:divsChild>
                <w:div w:id="1290746196">
                  <w:marLeft w:val="0"/>
                  <w:marRight w:val="0"/>
                  <w:marTop w:val="0"/>
                  <w:marBottom w:val="0"/>
                  <w:divBdr>
                    <w:top w:val="none" w:sz="0" w:space="0" w:color="auto"/>
                    <w:left w:val="none" w:sz="0" w:space="0" w:color="auto"/>
                    <w:bottom w:val="none" w:sz="0" w:space="0" w:color="auto"/>
                    <w:right w:val="none" w:sz="0" w:space="0" w:color="auto"/>
                  </w:divBdr>
                  <w:divsChild>
                    <w:div w:id="415830062">
                      <w:marLeft w:val="0"/>
                      <w:marRight w:val="0"/>
                      <w:marTop w:val="0"/>
                      <w:marBottom w:val="0"/>
                      <w:divBdr>
                        <w:top w:val="none" w:sz="0" w:space="0" w:color="auto"/>
                        <w:left w:val="none" w:sz="0" w:space="0" w:color="auto"/>
                        <w:bottom w:val="none" w:sz="0" w:space="0" w:color="auto"/>
                        <w:right w:val="none" w:sz="0" w:space="0" w:color="auto"/>
                      </w:divBdr>
                      <w:divsChild>
                        <w:div w:id="2040930480">
                          <w:marLeft w:val="0"/>
                          <w:marRight w:val="0"/>
                          <w:marTop w:val="0"/>
                          <w:marBottom w:val="200"/>
                          <w:divBdr>
                            <w:top w:val="none" w:sz="0" w:space="0" w:color="auto"/>
                            <w:left w:val="none" w:sz="0" w:space="0" w:color="auto"/>
                            <w:bottom w:val="none" w:sz="0" w:space="0" w:color="auto"/>
                            <w:right w:val="none" w:sz="0" w:space="0" w:color="auto"/>
                          </w:divBdr>
                        </w:div>
                      </w:divsChild>
                    </w:div>
                    <w:div w:id="1665039781">
                      <w:marLeft w:val="0"/>
                      <w:marRight w:val="0"/>
                      <w:marTop w:val="30"/>
                      <w:marBottom w:val="0"/>
                      <w:divBdr>
                        <w:top w:val="none" w:sz="0" w:space="0" w:color="auto"/>
                        <w:left w:val="none" w:sz="0" w:space="0" w:color="auto"/>
                        <w:bottom w:val="none" w:sz="0" w:space="0" w:color="auto"/>
                        <w:right w:val="none" w:sz="0" w:space="0" w:color="auto"/>
                      </w:divBdr>
                      <w:divsChild>
                        <w:div w:id="83592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802869">
      <w:bodyDiv w:val="1"/>
      <w:marLeft w:val="0"/>
      <w:marRight w:val="0"/>
      <w:marTop w:val="0"/>
      <w:marBottom w:val="0"/>
      <w:divBdr>
        <w:top w:val="none" w:sz="0" w:space="0" w:color="auto"/>
        <w:left w:val="none" w:sz="0" w:space="0" w:color="auto"/>
        <w:bottom w:val="none" w:sz="0" w:space="0" w:color="auto"/>
        <w:right w:val="none" w:sz="0" w:space="0" w:color="auto"/>
      </w:divBdr>
      <w:divsChild>
        <w:div w:id="1233737037">
          <w:marLeft w:val="0"/>
          <w:marRight w:val="0"/>
          <w:marTop w:val="120"/>
          <w:marBottom w:val="0"/>
          <w:divBdr>
            <w:top w:val="none" w:sz="0" w:space="0" w:color="auto"/>
            <w:left w:val="none" w:sz="0" w:space="0" w:color="auto"/>
            <w:bottom w:val="none" w:sz="0" w:space="0" w:color="auto"/>
            <w:right w:val="none" w:sz="0" w:space="0" w:color="auto"/>
          </w:divBdr>
          <w:divsChild>
            <w:div w:id="1283416363">
              <w:marLeft w:val="0"/>
              <w:marRight w:val="0"/>
              <w:marTop w:val="0"/>
              <w:marBottom w:val="0"/>
              <w:divBdr>
                <w:top w:val="none" w:sz="0" w:space="0" w:color="auto"/>
                <w:left w:val="none" w:sz="0" w:space="0" w:color="auto"/>
                <w:bottom w:val="none" w:sz="0" w:space="0" w:color="auto"/>
                <w:right w:val="none" w:sz="0" w:space="0" w:color="auto"/>
              </w:divBdr>
              <w:divsChild>
                <w:div w:id="269316726">
                  <w:marLeft w:val="0"/>
                  <w:marRight w:val="0"/>
                  <w:marTop w:val="0"/>
                  <w:marBottom w:val="0"/>
                  <w:divBdr>
                    <w:top w:val="none" w:sz="0" w:space="0" w:color="auto"/>
                    <w:left w:val="none" w:sz="0" w:space="0" w:color="auto"/>
                    <w:bottom w:val="none" w:sz="0" w:space="0" w:color="auto"/>
                    <w:right w:val="none" w:sz="0" w:space="0" w:color="auto"/>
                  </w:divBdr>
                  <w:divsChild>
                    <w:div w:id="84767340">
                      <w:marLeft w:val="0"/>
                      <w:marRight w:val="0"/>
                      <w:marTop w:val="0"/>
                      <w:marBottom w:val="0"/>
                      <w:divBdr>
                        <w:top w:val="none" w:sz="0" w:space="0" w:color="auto"/>
                        <w:left w:val="none" w:sz="0" w:space="0" w:color="auto"/>
                        <w:bottom w:val="none" w:sz="0" w:space="0" w:color="auto"/>
                        <w:right w:val="none" w:sz="0" w:space="0" w:color="auto"/>
                      </w:divBdr>
                      <w:divsChild>
                        <w:div w:id="667832035">
                          <w:marLeft w:val="0"/>
                          <w:marRight w:val="0"/>
                          <w:marTop w:val="0"/>
                          <w:marBottom w:val="200"/>
                          <w:divBdr>
                            <w:top w:val="none" w:sz="0" w:space="0" w:color="auto"/>
                            <w:left w:val="none" w:sz="0" w:space="0" w:color="auto"/>
                            <w:bottom w:val="none" w:sz="0" w:space="0" w:color="auto"/>
                            <w:right w:val="none" w:sz="0" w:space="0" w:color="auto"/>
                          </w:divBdr>
                        </w:div>
                      </w:divsChild>
                    </w:div>
                    <w:div w:id="1107892967">
                      <w:marLeft w:val="0"/>
                      <w:marRight w:val="0"/>
                      <w:marTop w:val="30"/>
                      <w:marBottom w:val="0"/>
                      <w:divBdr>
                        <w:top w:val="none" w:sz="0" w:space="0" w:color="auto"/>
                        <w:left w:val="none" w:sz="0" w:space="0" w:color="auto"/>
                        <w:bottom w:val="none" w:sz="0" w:space="0" w:color="auto"/>
                        <w:right w:val="none" w:sz="0" w:space="0" w:color="auto"/>
                      </w:divBdr>
                      <w:divsChild>
                        <w:div w:id="12442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3647862">
      <w:bodyDiv w:val="1"/>
      <w:marLeft w:val="0"/>
      <w:marRight w:val="0"/>
      <w:marTop w:val="0"/>
      <w:marBottom w:val="0"/>
      <w:divBdr>
        <w:top w:val="none" w:sz="0" w:space="0" w:color="auto"/>
        <w:left w:val="none" w:sz="0" w:space="0" w:color="auto"/>
        <w:bottom w:val="none" w:sz="0" w:space="0" w:color="auto"/>
        <w:right w:val="none" w:sz="0" w:space="0" w:color="auto"/>
      </w:divBdr>
      <w:divsChild>
        <w:div w:id="1239293646">
          <w:marLeft w:val="0"/>
          <w:marRight w:val="0"/>
          <w:marTop w:val="120"/>
          <w:marBottom w:val="0"/>
          <w:divBdr>
            <w:top w:val="none" w:sz="0" w:space="0" w:color="auto"/>
            <w:left w:val="none" w:sz="0" w:space="0" w:color="auto"/>
            <w:bottom w:val="none" w:sz="0" w:space="0" w:color="auto"/>
            <w:right w:val="none" w:sz="0" w:space="0" w:color="auto"/>
          </w:divBdr>
          <w:divsChild>
            <w:div w:id="782915896">
              <w:marLeft w:val="0"/>
              <w:marRight w:val="0"/>
              <w:marTop w:val="0"/>
              <w:marBottom w:val="0"/>
              <w:divBdr>
                <w:top w:val="none" w:sz="0" w:space="0" w:color="auto"/>
                <w:left w:val="none" w:sz="0" w:space="0" w:color="auto"/>
                <w:bottom w:val="none" w:sz="0" w:space="0" w:color="auto"/>
                <w:right w:val="none" w:sz="0" w:space="0" w:color="auto"/>
              </w:divBdr>
              <w:divsChild>
                <w:div w:id="483469279">
                  <w:marLeft w:val="0"/>
                  <w:marRight w:val="0"/>
                  <w:marTop w:val="0"/>
                  <w:marBottom w:val="0"/>
                  <w:divBdr>
                    <w:top w:val="none" w:sz="0" w:space="0" w:color="auto"/>
                    <w:left w:val="none" w:sz="0" w:space="0" w:color="auto"/>
                    <w:bottom w:val="none" w:sz="0" w:space="0" w:color="auto"/>
                    <w:right w:val="none" w:sz="0" w:space="0" w:color="auto"/>
                  </w:divBdr>
                  <w:divsChild>
                    <w:div w:id="1924871974">
                      <w:marLeft w:val="0"/>
                      <w:marRight w:val="0"/>
                      <w:marTop w:val="0"/>
                      <w:marBottom w:val="0"/>
                      <w:divBdr>
                        <w:top w:val="none" w:sz="0" w:space="0" w:color="auto"/>
                        <w:left w:val="none" w:sz="0" w:space="0" w:color="auto"/>
                        <w:bottom w:val="none" w:sz="0" w:space="0" w:color="auto"/>
                        <w:right w:val="none" w:sz="0" w:space="0" w:color="auto"/>
                      </w:divBdr>
                      <w:divsChild>
                        <w:div w:id="418454790">
                          <w:marLeft w:val="0"/>
                          <w:marRight w:val="0"/>
                          <w:marTop w:val="0"/>
                          <w:marBottom w:val="200"/>
                          <w:divBdr>
                            <w:top w:val="none" w:sz="0" w:space="0" w:color="auto"/>
                            <w:left w:val="none" w:sz="0" w:space="0" w:color="auto"/>
                            <w:bottom w:val="none" w:sz="0" w:space="0" w:color="auto"/>
                            <w:right w:val="none" w:sz="0" w:space="0" w:color="auto"/>
                          </w:divBdr>
                        </w:div>
                      </w:divsChild>
                    </w:div>
                    <w:div w:id="432361421">
                      <w:marLeft w:val="0"/>
                      <w:marRight w:val="0"/>
                      <w:marTop w:val="30"/>
                      <w:marBottom w:val="0"/>
                      <w:divBdr>
                        <w:top w:val="none" w:sz="0" w:space="0" w:color="auto"/>
                        <w:left w:val="none" w:sz="0" w:space="0" w:color="auto"/>
                        <w:bottom w:val="none" w:sz="0" w:space="0" w:color="auto"/>
                        <w:right w:val="none" w:sz="0" w:space="0" w:color="auto"/>
                      </w:divBdr>
                      <w:divsChild>
                        <w:div w:id="142345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8262091">
      <w:bodyDiv w:val="1"/>
      <w:marLeft w:val="0"/>
      <w:marRight w:val="0"/>
      <w:marTop w:val="0"/>
      <w:marBottom w:val="0"/>
      <w:divBdr>
        <w:top w:val="none" w:sz="0" w:space="0" w:color="auto"/>
        <w:left w:val="none" w:sz="0" w:space="0" w:color="auto"/>
        <w:bottom w:val="none" w:sz="0" w:space="0" w:color="auto"/>
        <w:right w:val="none" w:sz="0" w:space="0" w:color="auto"/>
      </w:divBdr>
      <w:divsChild>
        <w:div w:id="734402687">
          <w:marLeft w:val="0"/>
          <w:marRight w:val="0"/>
          <w:marTop w:val="120"/>
          <w:marBottom w:val="0"/>
          <w:divBdr>
            <w:top w:val="none" w:sz="0" w:space="0" w:color="auto"/>
            <w:left w:val="none" w:sz="0" w:space="0" w:color="auto"/>
            <w:bottom w:val="none" w:sz="0" w:space="0" w:color="auto"/>
            <w:right w:val="none" w:sz="0" w:space="0" w:color="auto"/>
          </w:divBdr>
          <w:divsChild>
            <w:div w:id="1029839481">
              <w:marLeft w:val="0"/>
              <w:marRight w:val="0"/>
              <w:marTop w:val="0"/>
              <w:marBottom w:val="0"/>
              <w:divBdr>
                <w:top w:val="none" w:sz="0" w:space="0" w:color="auto"/>
                <w:left w:val="none" w:sz="0" w:space="0" w:color="auto"/>
                <w:bottom w:val="none" w:sz="0" w:space="0" w:color="auto"/>
                <w:right w:val="none" w:sz="0" w:space="0" w:color="auto"/>
              </w:divBdr>
              <w:divsChild>
                <w:div w:id="847409475">
                  <w:marLeft w:val="0"/>
                  <w:marRight w:val="0"/>
                  <w:marTop w:val="0"/>
                  <w:marBottom w:val="0"/>
                  <w:divBdr>
                    <w:top w:val="none" w:sz="0" w:space="0" w:color="auto"/>
                    <w:left w:val="none" w:sz="0" w:space="0" w:color="auto"/>
                    <w:bottom w:val="none" w:sz="0" w:space="0" w:color="auto"/>
                    <w:right w:val="none" w:sz="0" w:space="0" w:color="auto"/>
                  </w:divBdr>
                  <w:divsChild>
                    <w:div w:id="109134958">
                      <w:marLeft w:val="0"/>
                      <w:marRight w:val="0"/>
                      <w:marTop w:val="0"/>
                      <w:marBottom w:val="0"/>
                      <w:divBdr>
                        <w:top w:val="none" w:sz="0" w:space="0" w:color="auto"/>
                        <w:left w:val="none" w:sz="0" w:space="0" w:color="auto"/>
                        <w:bottom w:val="none" w:sz="0" w:space="0" w:color="auto"/>
                        <w:right w:val="none" w:sz="0" w:space="0" w:color="auto"/>
                      </w:divBdr>
                      <w:divsChild>
                        <w:div w:id="1839347312">
                          <w:marLeft w:val="0"/>
                          <w:marRight w:val="0"/>
                          <w:marTop w:val="0"/>
                          <w:marBottom w:val="200"/>
                          <w:divBdr>
                            <w:top w:val="none" w:sz="0" w:space="0" w:color="auto"/>
                            <w:left w:val="none" w:sz="0" w:space="0" w:color="auto"/>
                            <w:bottom w:val="none" w:sz="0" w:space="0" w:color="auto"/>
                            <w:right w:val="none" w:sz="0" w:space="0" w:color="auto"/>
                          </w:divBdr>
                        </w:div>
                      </w:divsChild>
                    </w:div>
                    <w:div w:id="679086462">
                      <w:marLeft w:val="0"/>
                      <w:marRight w:val="0"/>
                      <w:marTop w:val="30"/>
                      <w:marBottom w:val="0"/>
                      <w:divBdr>
                        <w:top w:val="none" w:sz="0" w:space="0" w:color="auto"/>
                        <w:left w:val="none" w:sz="0" w:space="0" w:color="auto"/>
                        <w:bottom w:val="none" w:sz="0" w:space="0" w:color="auto"/>
                        <w:right w:val="none" w:sz="0" w:space="0" w:color="auto"/>
                      </w:divBdr>
                      <w:divsChild>
                        <w:div w:id="13651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949A8F-296A-4EEE-9850-6EAC8E47A649}" type="doc">
      <dgm:prSet loTypeId="urn:microsoft.com/office/officeart/2005/8/layout/process1" loCatId="process" qsTypeId="urn:microsoft.com/office/officeart/2005/8/quickstyle/simple1" qsCatId="simple" csTypeId="urn:microsoft.com/office/officeart/2005/8/colors/accent1_2" csCatId="accent1" phldr="1"/>
      <dgm:spPr/>
    </dgm:pt>
    <dgm:pt modelId="{2E590895-C786-4137-A7E4-D929047880BC}">
      <dgm:prSet phldrT="[Text]"/>
      <dgm:spPr/>
      <dgm:t>
        <a:bodyPr/>
        <a:lstStyle/>
        <a:p>
          <a:r>
            <a:rPr lang="en-US" b="1"/>
            <a:t>Structure</a:t>
          </a:r>
        </a:p>
        <a:p>
          <a:r>
            <a:rPr lang="en-US"/>
            <a:t>Physical &amp; organisational resources</a:t>
          </a:r>
        </a:p>
      </dgm:t>
    </dgm:pt>
    <dgm:pt modelId="{F83F80E4-2D25-436C-8BFE-1B9CC22E21E7}" type="parTrans" cxnId="{91BDBE0A-EE9B-49E5-87B6-D7DEFD0C7E2C}">
      <dgm:prSet/>
      <dgm:spPr/>
      <dgm:t>
        <a:bodyPr/>
        <a:lstStyle/>
        <a:p>
          <a:endParaRPr lang="en-US"/>
        </a:p>
      </dgm:t>
    </dgm:pt>
    <dgm:pt modelId="{49CDBC95-9132-4BFB-8418-95D02F42EE35}" type="sibTrans" cxnId="{91BDBE0A-EE9B-49E5-87B6-D7DEFD0C7E2C}">
      <dgm:prSet/>
      <dgm:spPr/>
      <dgm:t>
        <a:bodyPr/>
        <a:lstStyle/>
        <a:p>
          <a:endParaRPr lang="en-US"/>
        </a:p>
      </dgm:t>
    </dgm:pt>
    <dgm:pt modelId="{5F359A24-D16E-48FF-A86A-71CED146BCFC}">
      <dgm:prSet phldrT="[Text]"/>
      <dgm:spPr/>
      <dgm:t>
        <a:bodyPr/>
        <a:lstStyle/>
        <a:p>
          <a:r>
            <a:rPr lang="en-US" b="1"/>
            <a:t>Process</a:t>
          </a:r>
        </a:p>
        <a:p>
          <a:r>
            <a:rPr lang="en-US"/>
            <a:t>Activities in delivering healthcare</a:t>
          </a:r>
        </a:p>
      </dgm:t>
    </dgm:pt>
    <dgm:pt modelId="{F8E591F0-FF1C-4F14-8BA0-055E6BA72FC8}" type="parTrans" cxnId="{D18ED140-0388-4CE4-9479-1F2C7C7DC444}">
      <dgm:prSet/>
      <dgm:spPr/>
      <dgm:t>
        <a:bodyPr/>
        <a:lstStyle/>
        <a:p>
          <a:endParaRPr lang="en-US"/>
        </a:p>
      </dgm:t>
    </dgm:pt>
    <dgm:pt modelId="{6C89949E-FD70-4795-B482-F354C6ECF4A7}" type="sibTrans" cxnId="{D18ED140-0388-4CE4-9479-1F2C7C7DC444}">
      <dgm:prSet/>
      <dgm:spPr/>
      <dgm:t>
        <a:bodyPr/>
        <a:lstStyle/>
        <a:p>
          <a:endParaRPr lang="en-US"/>
        </a:p>
      </dgm:t>
    </dgm:pt>
    <dgm:pt modelId="{83595952-AE6E-4F64-9590-36AD88913E04}">
      <dgm:prSet phldrT="[Text]"/>
      <dgm:spPr/>
      <dgm:t>
        <a:bodyPr/>
        <a:lstStyle/>
        <a:p>
          <a:r>
            <a:rPr lang="en-US" b="1"/>
            <a:t>Outcome</a:t>
          </a:r>
        </a:p>
        <a:p>
          <a:r>
            <a:rPr lang="en-US" b="0"/>
            <a:t>Results of healthcare</a:t>
          </a:r>
        </a:p>
      </dgm:t>
    </dgm:pt>
    <dgm:pt modelId="{3B47E018-76C3-44D6-A33D-090C01F8EAED}" type="parTrans" cxnId="{BDFBC707-A41B-481E-802B-96E2EDF289EC}">
      <dgm:prSet/>
      <dgm:spPr/>
      <dgm:t>
        <a:bodyPr/>
        <a:lstStyle/>
        <a:p>
          <a:endParaRPr lang="en-US"/>
        </a:p>
      </dgm:t>
    </dgm:pt>
    <dgm:pt modelId="{228C4FF5-DC38-4531-A0A3-4522AED42EB6}" type="sibTrans" cxnId="{BDFBC707-A41B-481E-802B-96E2EDF289EC}">
      <dgm:prSet/>
      <dgm:spPr/>
      <dgm:t>
        <a:bodyPr/>
        <a:lstStyle/>
        <a:p>
          <a:endParaRPr lang="en-US"/>
        </a:p>
      </dgm:t>
    </dgm:pt>
    <dgm:pt modelId="{5B5BE18C-4DBB-48B1-AAEC-51A6A420BAD6}" type="pres">
      <dgm:prSet presAssocID="{33949A8F-296A-4EEE-9850-6EAC8E47A649}" presName="Name0" presStyleCnt="0">
        <dgm:presLayoutVars>
          <dgm:dir/>
          <dgm:resizeHandles val="exact"/>
        </dgm:presLayoutVars>
      </dgm:prSet>
      <dgm:spPr/>
    </dgm:pt>
    <dgm:pt modelId="{60E804D7-D687-4C2C-9D76-9182E7BE4231}" type="pres">
      <dgm:prSet presAssocID="{2E590895-C786-4137-A7E4-D929047880BC}" presName="node" presStyleLbl="node1" presStyleIdx="0" presStyleCnt="3">
        <dgm:presLayoutVars>
          <dgm:bulletEnabled val="1"/>
        </dgm:presLayoutVars>
      </dgm:prSet>
      <dgm:spPr/>
    </dgm:pt>
    <dgm:pt modelId="{02C57219-ACE0-4952-A2BC-D046F24C7544}" type="pres">
      <dgm:prSet presAssocID="{49CDBC95-9132-4BFB-8418-95D02F42EE35}" presName="sibTrans" presStyleLbl="sibTrans2D1" presStyleIdx="0" presStyleCnt="2"/>
      <dgm:spPr/>
    </dgm:pt>
    <dgm:pt modelId="{495E1843-76FF-448A-A38E-5E2CCC0821C4}" type="pres">
      <dgm:prSet presAssocID="{49CDBC95-9132-4BFB-8418-95D02F42EE35}" presName="connectorText" presStyleLbl="sibTrans2D1" presStyleIdx="0" presStyleCnt="2"/>
      <dgm:spPr/>
    </dgm:pt>
    <dgm:pt modelId="{6DD1F06E-1396-438B-9268-F9B100D88114}" type="pres">
      <dgm:prSet presAssocID="{5F359A24-D16E-48FF-A86A-71CED146BCFC}" presName="node" presStyleLbl="node1" presStyleIdx="1" presStyleCnt="3">
        <dgm:presLayoutVars>
          <dgm:bulletEnabled val="1"/>
        </dgm:presLayoutVars>
      </dgm:prSet>
      <dgm:spPr/>
    </dgm:pt>
    <dgm:pt modelId="{D5C78380-E0FC-4034-9898-6EDD31DAB5EF}" type="pres">
      <dgm:prSet presAssocID="{6C89949E-FD70-4795-B482-F354C6ECF4A7}" presName="sibTrans" presStyleLbl="sibTrans2D1" presStyleIdx="1" presStyleCnt="2"/>
      <dgm:spPr/>
    </dgm:pt>
    <dgm:pt modelId="{18859FC1-56DB-4434-A624-B9C950D31C27}" type="pres">
      <dgm:prSet presAssocID="{6C89949E-FD70-4795-B482-F354C6ECF4A7}" presName="connectorText" presStyleLbl="sibTrans2D1" presStyleIdx="1" presStyleCnt="2"/>
      <dgm:spPr/>
    </dgm:pt>
    <dgm:pt modelId="{5E96197F-4A97-43F2-AB35-E7B2D3425B54}" type="pres">
      <dgm:prSet presAssocID="{83595952-AE6E-4F64-9590-36AD88913E04}" presName="node" presStyleLbl="node1" presStyleIdx="2" presStyleCnt="3">
        <dgm:presLayoutVars>
          <dgm:bulletEnabled val="1"/>
        </dgm:presLayoutVars>
      </dgm:prSet>
      <dgm:spPr/>
    </dgm:pt>
  </dgm:ptLst>
  <dgm:cxnLst>
    <dgm:cxn modelId="{BDFBC707-A41B-481E-802B-96E2EDF289EC}" srcId="{33949A8F-296A-4EEE-9850-6EAC8E47A649}" destId="{83595952-AE6E-4F64-9590-36AD88913E04}" srcOrd="2" destOrd="0" parTransId="{3B47E018-76C3-44D6-A33D-090C01F8EAED}" sibTransId="{228C4FF5-DC38-4531-A0A3-4522AED42EB6}"/>
    <dgm:cxn modelId="{91BDBE0A-EE9B-49E5-87B6-D7DEFD0C7E2C}" srcId="{33949A8F-296A-4EEE-9850-6EAC8E47A649}" destId="{2E590895-C786-4137-A7E4-D929047880BC}" srcOrd="0" destOrd="0" parTransId="{F83F80E4-2D25-436C-8BFE-1B9CC22E21E7}" sibTransId="{49CDBC95-9132-4BFB-8418-95D02F42EE35}"/>
    <dgm:cxn modelId="{E178510E-C08C-4703-9131-C988919712E5}" type="presOf" srcId="{6C89949E-FD70-4795-B482-F354C6ECF4A7}" destId="{18859FC1-56DB-4434-A624-B9C950D31C27}" srcOrd="1" destOrd="0" presId="urn:microsoft.com/office/officeart/2005/8/layout/process1"/>
    <dgm:cxn modelId="{B42EAA23-90A3-422B-B7F1-B12B642EB064}" type="presOf" srcId="{33949A8F-296A-4EEE-9850-6EAC8E47A649}" destId="{5B5BE18C-4DBB-48B1-AAEC-51A6A420BAD6}" srcOrd="0" destOrd="0" presId="urn:microsoft.com/office/officeart/2005/8/layout/process1"/>
    <dgm:cxn modelId="{D18ED140-0388-4CE4-9479-1F2C7C7DC444}" srcId="{33949A8F-296A-4EEE-9850-6EAC8E47A649}" destId="{5F359A24-D16E-48FF-A86A-71CED146BCFC}" srcOrd="1" destOrd="0" parTransId="{F8E591F0-FF1C-4F14-8BA0-055E6BA72FC8}" sibTransId="{6C89949E-FD70-4795-B482-F354C6ECF4A7}"/>
    <dgm:cxn modelId="{6CEE1563-81DE-44CD-ACE1-3D2EA84132CD}" type="presOf" srcId="{5F359A24-D16E-48FF-A86A-71CED146BCFC}" destId="{6DD1F06E-1396-438B-9268-F9B100D88114}" srcOrd="0" destOrd="0" presId="urn:microsoft.com/office/officeart/2005/8/layout/process1"/>
    <dgm:cxn modelId="{251BBA64-66E7-4CDF-ABE2-30A7CD27DEF4}" type="presOf" srcId="{49CDBC95-9132-4BFB-8418-95D02F42EE35}" destId="{495E1843-76FF-448A-A38E-5E2CCC0821C4}" srcOrd="1" destOrd="0" presId="urn:microsoft.com/office/officeart/2005/8/layout/process1"/>
    <dgm:cxn modelId="{C5205B73-E7A3-40D5-BD50-E2F96F84E073}" type="presOf" srcId="{49CDBC95-9132-4BFB-8418-95D02F42EE35}" destId="{02C57219-ACE0-4952-A2BC-D046F24C7544}" srcOrd="0" destOrd="0" presId="urn:microsoft.com/office/officeart/2005/8/layout/process1"/>
    <dgm:cxn modelId="{2AA646A4-CAD1-46FE-9962-D4EA98CFDCE3}" type="presOf" srcId="{6C89949E-FD70-4795-B482-F354C6ECF4A7}" destId="{D5C78380-E0FC-4034-9898-6EDD31DAB5EF}" srcOrd="0" destOrd="0" presId="urn:microsoft.com/office/officeart/2005/8/layout/process1"/>
    <dgm:cxn modelId="{802A8EB7-FC29-4026-928C-9B91A4E7A53A}" type="presOf" srcId="{2E590895-C786-4137-A7E4-D929047880BC}" destId="{60E804D7-D687-4C2C-9D76-9182E7BE4231}" srcOrd="0" destOrd="0" presId="urn:microsoft.com/office/officeart/2005/8/layout/process1"/>
    <dgm:cxn modelId="{EF8D86FE-B6E3-4121-9F31-0BD7434DA047}" type="presOf" srcId="{83595952-AE6E-4F64-9590-36AD88913E04}" destId="{5E96197F-4A97-43F2-AB35-E7B2D3425B54}" srcOrd="0" destOrd="0" presId="urn:microsoft.com/office/officeart/2005/8/layout/process1"/>
    <dgm:cxn modelId="{B9BECF98-D6B1-413C-B58F-9E8C2A70FB31}" type="presParOf" srcId="{5B5BE18C-4DBB-48B1-AAEC-51A6A420BAD6}" destId="{60E804D7-D687-4C2C-9D76-9182E7BE4231}" srcOrd="0" destOrd="0" presId="urn:microsoft.com/office/officeart/2005/8/layout/process1"/>
    <dgm:cxn modelId="{46C8A338-B87C-4093-AC21-02E6D0E90D0C}" type="presParOf" srcId="{5B5BE18C-4DBB-48B1-AAEC-51A6A420BAD6}" destId="{02C57219-ACE0-4952-A2BC-D046F24C7544}" srcOrd="1" destOrd="0" presId="urn:microsoft.com/office/officeart/2005/8/layout/process1"/>
    <dgm:cxn modelId="{F7EC4BAE-B77B-4D2F-874A-FA3BDC76C40B}" type="presParOf" srcId="{02C57219-ACE0-4952-A2BC-D046F24C7544}" destId="{495E1843-76FF-448A-A38E-5E2CCC0821C4}" srcOrd="0" destOrd="0" presId="urn:microsoft.com/office/officeart/2005/8/layout/process1"/>
    <dgm:cxn modelId="{F9D033B2-797E-4B9E-B564-D8BA1A5C00F5}" type="presParOf" srcId="{5B5BE18C-4DBB-48B1-AAEC-51A6A420BAD6}" destId="{6DD1F06E-1396-438B-9268-F9B100D88114}" srcOrd="2" destOrd="0" presId="urn:microsoft.com/office/officeart/2005/8/layout/process1"/>
    <dgm:cxn modelId="{E0911BBF-A658-438E-879F-0FB9AF4055E9}" type="presParOf" srcId="{5B5BE18C-4DBB-48B1-AAEC-51A6A420BAD6}" destId="{D5C78380-E0FC-4034-9898-6EDD31DAB5EF}" srcOrd="3" destOrd="0" presId="urn:microsoft.com/office/officeart/2005/8/layout/process1"/>
    <dgm:cxn modelId="{88E03233-C160-4F64-BEEB-35B992F92E54}" type="presParOf" srcId="{D5C78380-E0FC-4034-9898-6EDD31DAB5EF}" destId="{18859FC1-56DB-4434-A624-B9C950D31C27}" srcOrd="0" destOrd="0" presId="urn:microsoft.com/office/officeart/2005/8/layout/process1"/>
    <dgm:cxn modelId="{028EF083-8A77-484A-8CAA-A81F0B484D17}" type="presParOf" srcId="{5B5BE18C-4DBB-48B1-AAEC-51A6A420BAD6}" destId="{5E96197F-4A97-43F2-AB35-E7B2D3425B54}"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E804D7-D687-4C2C-9D76-9182E7BE4231}">
      <dsp:nvSpPr>
        <dsp:cNvPr id="0" name=""/>
        <dsp:cNvSpPr/>
      </dsp:nvSpPr>
      <dsp:spPr>
        <a:xfrm>
          <a:off x="5223" y="934184"/>
          <a:ext cx="1561355" cy="133203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t>Structure</a:t>
          </a:r>
        </a:p>
        <a:p>
          <a:pPr marL="0" lvl="0" indent="0" algn="ctr" defTabSz="800100">
            <a:lnSpc>
              <a:spcPct val="90000"/>
            </a:lnSpc>
            <a:spcBef>
              <a:spcPct val="0"/>
            </a:spcBef>
            <a:spcAft>
              <a:spcPct val="35000"/>
            </a:spcAft>
            <a:buNone/>
          </a:pPr>
          <a:r>
            <a:rPr lang="en-US" sz="1800" kern="1200"/>
            <a:t>Physical &amp; organisational resources</a:t>
          </a:r>
        </a:p>
      </dsp:txBody>
      <dsp:txXfrm>
        <a:off x="44237" y="973198"/>
        <a:ext cx="1483327" cy="1254003"/>
      </dsp:txXfrm>
    </dsp:sp>
    <dsp:sp modelId="{02C57219-ACE0-4952-A2BC-D046F24C7544}">
      <dsp:nvSpPr>
        <dsp:cNvPr id="0" name=""/>
        <dsp:cNvSpPr/>
      </dsp:nvSpPr>
      <dsp:spPr>
        <a:xfrm>
          <a:off x="1722715" y="1406591"/>
          <a:ext cx="331007" cy="3872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722715" y="1484034"/>
        <a:ext cx="231705" cy="232330"/>
      </dsp:txXfrm>
    </dsp:sp>
    <dsp:sp modelId="{6DD1F06E-1396-438B-9268-F9B100D88114}">
      <dsp:nvSpPr>
        <dsp:cNvPr id="0" name=""/>
        <dsp:cNvSpPr/>
      </dsp:nvSpPr>
      <dsp:spPr>
        <a:xfrm>
          <a:off x="2191122" y="934184"/>
          <a:ext cx="1561355" cy="133203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t>Process</a:t>
          </a:r>
        </a:p>
        <a:p>
          <a:pPr marL="0" lvl="0" indent="0" algn="ctr" defTabSz="800100">
            <a:lnSpc>
              <a:spcPct val="90000"/>
            </a:lnSpc>
            <a:spcBef>
              <a:spcPct val="0"/>
            </a:spcBef>
            <a:spcAft>
              <a:spcPct val="35000"/>
            </a:spcAft>
            <a:buNone/>
          </a:pPr>
          <a:r>
            <a:rPr lang="en-US" sz="1800" kern="1200"/>
            <a:t>Activities in delivering healthcare</a:t>
          </a:r>
        </a:p>
      </dsp:txBody>
      <dsp:txXfrm>
        <a:off x="2230136" y="973198"/>
        <a:ext cx="1483327" cy="1254003"/>
      </dsp:txXfrm>
    </dsp:sp>
    <dsp:sp modelId="{D5C78380-E0FC-4034-9898-6EDD31DAB5EF}">
      <dsp:nvSpPr>
        <dsp:cNvPr id="0" name=""/>
        <dsp:cNvSpPr/>
      </dsp:nvSpPr>
      <dsp:spPr>
        <a:xfrm>
          <a:off x="3908613" y="1406591"/>
          <a:ext cx="331007" cy="3872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908613" y="1484034"/>
        <a:ext cx="231705" cy="232330"/>
      </dsp:txXfrm>
    </dsp:sp>
    <dsp:sp modelId="{5E96197F-4A97-43F2-AB35-E7B2D3425B54}">
      <dsp:nvSpPr>
        <dsp:cNvPr id="0" name=""/>
        <dsp:cNvSpPr/>
      </dsp:nvSpPr>
      <dsp:spPr>
        <a:xfrm>
          <a:off x="4377020" y="934184"/>
          <a:ext cx="1561355" cy="133203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t>Outcome</a:t>
          </a:r>
        </a:p>
        <a:p>
          <a:pPr marL="0" lvl="0" indent="0" algn="ctr" defTabSz="800100">
            <a:lnSpc>
              <a:spcPct val="90000"/>
            </a:lnSpc>
            <a:spcBef>
              <a:spcPct val="0"/>
            </a:spcBef>
            <a:spcAft>
              <a:spcPct val="35000"/>
            </a:spcAft>
            <a:buNone/>
          </a:pPr>
          <a:r>
            <a:rPr lang="en-US" sz="1800" b="0" kern="1200"/>
            <a:t>Results of healthcare</a:t>
          </a:r>
        </a:p>
      </dsp:txBody>
      <dsp:txXfrm>
        <a:off x="4416034" y="973198"/>
        <a:ext cx="1483327" cy="125400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16</Pages>
  <Words>4711</Words>
  <Characters>26855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Bhakta</dc:creator>
  <cp:keywords/>
  <dc:description/>
  <cp:lastModifiedBy>Sona Jandi</cp:lastModifiedBy>
  <cp:revision>97</cp:revision>
  <dcterms:created xsi:type="dcterms:W3CDTF">2026-08-03T10:46:00Z</dcterms:created>
  <dcterms:modified xsi:type="dcterms:W3CDTF">2026-08-12T10:43:00Z</dcterms:modified>
</cp:coreProperties>
</file>