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623"/>
        <w:tblW w:w="9555" w:type="dxa"/>
        <w:tblLook w:val="04A0" w:firstRow="1" w:lastRow="0" w:firstColumn="1" w:lastColumn="0" w:noHBand="0" w:noVBand="1"/>
      </w:tblPr>
      <w:tblGrid>
        <w:gridCol w:w="1347"/>
        <w:gridCol w:w="8208"/>
      </w:tblGrid>
      <w:tr w:rsidR="00EE06CC" w:rsidRPr="005D0392" w14:paraId="31EA14C7" w14:textId="77777777" w:rsidTr="00EE06CC">
        <w:trPr>
          <w:trHeight w:val="1068"/>
        </w:trPr>
        <w:tc>
          <w:tcPr>
            <w:tcW w:w="1347" w:type="dxa"/>
          </w:tcPr>
          <w:p w14:paraId="5A5EB9F2" w14:textId="77777777" w:rsidR="00EE06CC" w:rsidRPr="005D0392" w:rsidRDefault="00EE06CC" w:rsidP="00EE06CC">
            <w:pPr>
              <w:spacing w:line="360" w:lineRule="auto"/>
              <w:rPr>
                <w:rFonts w:ascii="Arial" w:hAnsi="Arial" w:cs="Arial"/>
              </w:rPr>
            </w:pPr>
            <w:r w:rsidRPr="005D0392">
              <w:rPr>
                <w:rFonts w:ascii="Arial" w:hAnsi="Arial" w:cs="Arial"/>
              </w:rPr>
              <w:t>Targed 1</w:t>
            </w:r>
          </w:p>
        </w:tc>
        <w:tc>
          <w:tcPr>
            <w:tcW w:w="8208" w:type="dxa"/>
          </w:tcPr>
          <w:p w14:paraId="7F105DC4" w14:textId="77777777" w:rsidR="00EE06CC" w:rsidRPr="005D0392" w:rsidRDefault="00EE06CC" w:rsidP="00EE06CC">
            <w:pPr>
              <w:spacing w:line="360" w:lineRule="auto"/>
              <w:rPr>
                <w:rFonts w:ascii="Arial" w:hAnsi="Arial" w:cs="Arial"/>
                <w:color w:val="000000" w:themeColor="text1"/>
              </w:rPr>
            </w:pPr>
            <w:r w:rsidRPr="005D0392">
              <w:rPr>
                <w:rFonts w:ascii="Arial" w:hAnsi="Arial" w:cs="Arial"/>
                <w:color w:val="000000" w:themeColor="text1"/>
                <w:shd w:val="clear" w:color="auto" w:fill="FFFFFF"/>
              </w:rPr>
              <w:t>I gyflwyno gwybodaeth lawn a chywir a’i gefnogi’n gyson gyda thystiolaeth (trwy gyfeirnodi yn ôl y canllawiau) addas o ddarllen cefndirol.</w:t>
            </w:r>
          </w:p>
        </w:tc>
      </w:tr>
      <w:tr w:rsidR="00EE06CC" w:rsidRPr="005D0392" w14:paraId="7B359A65" w14:textId="77777777" w:rsidTr="00EE06CC">
        <w:trPr>
          <w:trHeight w:val="1068"/>
        </w:trPr>
        <w:tc>
          <w:tcPr>
            <w:tcW w:w="1347" w:type="dxa"/>
          </w:tcPr>
          <w:p w14:paraId="7C2BD168" w14:textId="77777777" w:rsidR="00EE06CC" w:rsidRPr="005D0392" w:rsidRDefault="00EE06CC" w:rsidP="00EE06CC">
            <w:pPr>
              <w:spacing w:line="360" w:lineRule="auto"/>
              <w:rPr>
                <w:rFonts w:ascii="Arial" w:hAnsi="Arial" w:cs="Arial"/>
              </w:rPr>
            </w:pPr>
            <w:r w:rsidRPr="005D0392">
              <w:rPr>
                <w:rFonts w:ascii="Arial" w:hAnsi="Arial" w:cs="Arial"/>
              </w:rPr>
              <w:t>Targed 2</w:t>
            </w:r>
          </w:p>
        </w:tc>
        <w:tc>
          <w:tcPr>
            <w:tcW w:w="8208" w:type="dxa"/>
          </w:tcPr>
          <w:p w14:paraId="380D8F0C" w14:textId="77777777" w:rsidR="00EE06CC" w:rsidRPr="005D0392" w:rsidRDefault="00EE06CC" w:rsidP="00EE06CC">
            <w:pPr>
              <w:spacing w:line="360" w:lineRule="auto"/>
              <w:rPr>
                <w:rFonts w:ascii="Arial" w:hAnsi="Arial" w:cs="Arial"/>
              </w:rPr>
            </w:pPr>
            <w:r w:rsidRPr="005D0392">
              <w:rPr>
                <w:rFonts w:ascii="Arial" w:hAnsi="Arial" w:cs="Arial"/>
                <w:color w:val="000000" w:themeColor="text1"/>
                <w:shd w:val="clear" w:color="auto" w:fill="FFFFFF"/>
              </w:rPr>
              <w:t>I ddarllen hyd yn oed mwy o lyfrau perthnasol, erthyglau a dogfennaeth Llywodraeth Cymru, Estyn wrth ymchwilio.</w:t>
            </w:r>
          </w:p>
        </w:tc>
      </w:tr>
    </w:tbl>
    <w:p w14:paraId="5DB96E1F" w14:textId="6B230C33" w:rsidR="00E35F28" w:rsidRPr="005D0392" w:rsidRDefault="007A0B26" w:rsidP="005D0392">
      <w:pPr>
        <w:spacing w:line="360" w:lineRule="auto"/>
        <w:rPr>
          <w:rFonts w:ascii="Arial" w:hAnsi="Arial" w:cs="Arial"/>
          <w:b/>
          <w:bCs/>
          <w:sz w:val="36"/>
          <w:szCs w:val="36"/>
          <w:u w:val="single"/>
        </w:rPr>
      </w:pPr>
      <w:r w:rsidRPr="005D0392">
        <w:rPr>
          <w:rFonts w:ascii="Arial" w:hAnsi="Arial" w:cs="Arial"/>
          <w:b/>
          <w:bCs/>
          <w:sz w:val="36"/>
          <w:szCs w:val="36"/>
          <w:u w:val="single"/>
        </w:rPr>
        <w:t>Dadansoddiad a gwerthusiad critigol o’r offeryn ymchwil “Graddfa Leuven”</w:t>
      </w:r>
    </w:p>
    <w:p w14:paraId="2428BFA0" w14:textId="40798B88" w:rsidR="00CA2DEA" w:rsidRPr="00EE06CC" w:rsidRDefault="00CA2DEA" w:rsidP="005D0392">
      <w:pPr>
        <w:spacing w:line="360" w:lineRule="auto"/>
        <w:rPr>
          <w:rFonts w:ascii="Arial" w:hAnsi="Arial" w:cs="Arial"/>
          <w:b/>
          <w:bCs/>
          <w:sz w:val="28"/>
          <w:szCs w:val="28"/>
          <w:u w:val="single"/>
        </w:rPr>
      </w:pPr>
      <w:r w:rsidRPr="00EE06CC">
        <w:rPr>
          <w:rFonts w:ascii="Arial" w:hAnsi="Arial" w:cs="Arial"/>
          <w:b/>
          <w:bCs/>
          <w:sz w:val="28"/>
          <w:szCs w:val="28"/>
          <w:u w:val="single"/>
        </w:rPr>
        <w:t>Sut mae gwobrwyo neu systemau clod yn helpu i hybu cyfranogiad plant a defnydd yr iaith Gymraeg?</w:t>
      </w:r>
    </w:p>
    <w:p w14:paraId="459E9937" w14:textId="13FDC365" w:rsidR="00173417" w:rsidRPr="005D0392" w:rsidRDefault="00D946C4" w:rsidP="005D0392">
      <w:pPr>
        <w:spacing w:line="360" w:lineRule="auto"/>
        <w:rPr>
          <w:rFonts w:ascii="Arial" w:hAnsi="Arial" w:cs="Arial"/>
        </w:rPr>
      </w:pPr>
      <w:r w:rsidRPr="00D946C4">
        <w:rPr>
          <w:rFonts w:ascii="Arial" w:hAnsi="Arial" w:cs="Arial"/>
        </w:rPr>
        <w:t>Gall yr awyrgylch addysgu yn y Cyfnod Sylfaen fod ychydig yn llethol ar adegau, yn enwedig wrth geisio arsylwi. Yn ogystal, gall fod yr awyrgylch yn anrhagweladwy mewn ysgolion yn enwedig mewn awyrgylch Cyfnod Sylfaen. Er hyn, nid oes amheuaeth dros bwysigrwydd arsylwi i athrawon er mwyn gallu dod i nabod pob disgybl yn agosach a darganfod pa ddulliau addysgu penodol sy’n effeithiol i wahanol ddisgyblion. Nid yn unig i addasu’r dull o addysgu gellir defnyddio arsylwi, ond hefyd i ddilyn ac asesu cynnydd y disgyblion. Cefnoga hyn gan Sian Wyn Siencyn (2010 tud.120) drwy ddisgrifio arsylwi fel “gweithred gadarnhaol er mwyn hysbysu a chyfoethogi dysgu”. Amlinella hyn bwysigrwydd a rôl athrawon i arsylwi pob unigolyn yn y dosbarth a sicrhau hyblygrwydd yn yr addysgu er mwyn gallu gwthio pob disgybl i’w llawn botensial. Ceir awgrym fod arsylwi yn rôl allweddol wrth geisio sicrhau datblygiad disgyblion i athrawon ond nid yn unig i arsylwi datblygiad, ond hefyd i ymestyn yr arsylwi i gynorthwyo addysg plant (Bruce, Louis a Mccall 2015 tud,10). Er mwyn effeithioli addysgeg, rhaid i’r profiadau addysgu fod yn ystyrlon i’r disgyblion drwy hefyd sicrhau bod yr addysg yn cael ei addasu i gwrdd ȃ gofynion pob unigolyn (Llywodraeth Cymru, 2008 tud.12).</w:t>
      </w:r>
    </w:p>
    <w:p w14:paraId="29653ABC" w14:textId="77777777" w:rsidR="002137B1" w:rsidRDefault="002137B1" w:rsidP="005D0392">
      <w:pPr>
        <w:spacing w:line="360" w:lineRule="auto"/>
        <w:rPr>
          <w:rFonts w:ascii="Arial" w:hAnsi="Arial" w:cs="Arial"/>
        </w:rPr>
      </w:pPr>
      <w:r w:rsidRPr="002137B1">
        <w:rPr>
          <w:rFonts w:ascii="Arial" w:hAnsi="Arial" w:cs="Arial"/>
        </w:rPr>
        <w:t xml:space="preserve">Y cwestiwn ymchwil rydw i’n bwriadu ymchwilio mewn i ydy; Sut mae gwobrwyo neu systemau clod yn helpu i hybu cyfranogiad plant a defnydd yr iaith Gymraeg? Arsylwais flwyddyn un mewn ysgol A am gyfnod o ddau ddiwrnod drwy gasglu cymaint o ddata a phosib. Arsylwais dri disgybl yn agos, ac er mwyn eu sicrhau anhysbysrwydd byddaf yn cyfeirio atynt fel; plentyn A, B a C. Arsylwais y tri phlentyn ar adegau gwahanol o’r dasg yr oeddent yn gwneud, dechrau’r dasg, canol y dasg a diwedd y dasg. Darparais ddeg munud yr un i’r tri phlentyn er mwyn sicrhau bod pob un yn cael yr yn faint o amser arsylwi ac osgoi tuedd. Thema’r dosbarth pan oeddwn yn arsylwi oedd blodau ac roedd llawer o dasgau creadigol i’r plant cael dewis rhwng. Yn gyson drwy’r dydd defnyddir dulliau gwobrwyo gan y staff dysgu yn enwedig ar adegau fel y carped lle mae’r plant i gyd wedi’i chasglu. “Mae’r </w:t>
      </w:r>
      <w:r w:rsidRPr="002137B1">
        <w:rPr>
          <w:rFonts w:ascii="Arial" w:hAnsi="Arial" w:cs="Arial"/>
        </w:rPr>
        <w:lastRenderedPageBreak/>
        <w:t>staff yn rhoi pwyslais cryf ar greu awyrgylch dysgu diogel i’w disgyblion, sy’n cael effaith led gadarnhaol ar eu hymddygiad a’u lles” Estyn (2018). Atgyfnertha hyn pa mor ganolog yw cynnal perthynas gref rhwng plant ag oedolion yn yr ysgol. Ceir gwobrwyo ei gyfleu mewn sawl ffordd yn yr ystafell ddosbarth, rhai enghreifftiau a welir ar draws sawl ysgol gynradd, yw’r wobr o seren yr wythnos. Gwobrwya bob dosbarth un disgybl bob wythnos a oedd wedi gwneud argraff arbennig ar yr athrawes a’n haeddu clod. Yn ogystal, gwobrwya ysgol A Cymraes a Chymro’r wythnos. Cyniga hyn y siawns i ddisgyblion cael eu canmol am gymdeithasu ac ymdrin gyda’r iaith Gymraeg o fewn bywyd ysgol a derbyn canmoliaeth am eu hymdrechion. Yn wythnosol, cynhelir gwasanaeth ysgol gan Ysgol A gyda seremoni wobrwyo yn digwydd lle mae pob plentyn sydd wedi ennill gwobr yn cael eu henwi.</w:t>
      </w:r>
    </w:p>
    <w:p w14:paraId="0C1B9208" w14:textId="1E751D04" w:rsidR="00471638" w:rsidRPr="005D0392" w:rsidRDefault="002137B1" w:rsidP="005D0392">
      <w:pPr>
        <w:spacing w:line="360" w:lineRule="auto"/>
        <w:rPr>
          <w:rFonts w:ascii="Arial" w:hAnsi="Arial" w:cs="Arial"/>
        </w:rPr>
      </w:pPr>
      <w:r w:rsidRPr="002137B1">
        <w:rPr>
          <w:rFonts w:ascii="Arial" w:hAnsi="Arial" w:cs="Arial"/>
        </w:rPr>
        <w:t>Creda Skinner bysai’r weithred o wobrwyo yn cynyddu’r tebygolrwydd o efelychu’r ymddygiad neu weithredoedd a wobrwywyd yn y lle cyntaf (McLeod, 2018). O ystyried hyn, bysai disgyblion eraill hefyd yn ceisio ennill clod drwy gopïo ymddygiad da. Posib yw defnyddio theori Skinner mewn awyrgylch addysgol i sicrhau trefn, parch a datblygiad addysgol y disgyblion. Awgrymir dylai disgyblion sy’n cydymffurfio gyda disgwyliadau’r ysgol a chyfleu ymddygiad ffafriol gael canmoliaeth, tra bod ymddygiad sy’n groes i ddisgwyliadau’r ysgol yn cael ei gosbi i geisio atal yr ymddygiad i barhau (Omomia a Omomia, 2014 tud 176).  Er yr holl gefnogaeth a ddangosir at waith Skinner, mae ei waith hefyd yn derbyn beirniadaeth. Awgryma Kazepides (1976 tud66-67) bod rhai beirniaid o Skinner yn gwrthod y</w:t>
      </w:r>
      <w:r w:rsidR="004E23AB" w:rsidRPr="005D0392">
        <w:rPr>
          <w:rFonts w:ascii="Arial" w:hAnsi="Arial" w:cs="Arial"/>
        </w:rPr>
        <w:t xml:space="preserve"> “whole talk of operant conditioning and reinforcement simply because of it’s behaviouristic garb”.  </w:t>
      </w:r>
      <w:r w:rsidRPr="002137B1">
        <w:rPr>
          <w:rFonts w:ascii="Arial" w:hAnsi="Arial" w:cs="Arial"/>
        </w:rPr>
        <w:t>Creda rhai wrth ddarllen ei theori, bod rhaid iddyn nhw gredu a derbyn ei farn athronyddol ar ymddygiadaeth. Yn groes i hyn, atgyfnertha gwaith Bandura arwyddocȃd addysg a datblygiad personol pobl ifanc drwy efelychu neu gopïo. Ond er hyn, mae ei waith a’i ymchwiliadau hefyd yn herio’r gred fod ymddygiad a natur bodau dynol yn datblygu o ganlyniad i gyflyru drwy wobrwyo neu gosbi yn unig (Ozer, 2022 tud.483).</w:t>
      </w:r>
    </w:p>
    <w:p w14:paraId="6D9DE51F" w14:textId="610C1133" w:rsidR="00471638" w:rsidRPr="005D0392" w:rsidRDefault="002137B1" w:rsidP="005D0392">
      <w:pPr>
        <w:spacing w:line="360" w:lineRule="auto"/>
        <w:rPr>
          <w:rFonts w:ascii="Arial" w:hAnsi="Arial" w:cs="Arial"/>
        </w:rPr>
      </w:pPr>
      <w:r w:rsidRPr="002137B1">
        <w:rPr>
          <w:rFonts w:ascii="Arial" w:hAnsi="Arial" w:cs="Arial"/>
        </w:rPr>
        <w:t>Creda Bandura bod ffactorau gwybyddol ac amgylcheddol pob person hefyd yn dylanwadu ar eu datblygiad addysgol ac ymddygiadol. Ar y llaw arall, honna llawer o ddamcaniaethwyr bod effaith gwobrwyo yn amlwg ar blentyn, bysai’n gallu rhoi hwb iddynt gwblhau tasgau. Trwy dderbyn clod a chanmoliaeth, mae’n debygol o roi ymdeimlad o effeithiolrwydd a balchder i’r plentyn. Wrth ystyried hyn, helpa hyn sicrhau ymglymiad ac ymgysylltiad disgyblion i waith ac awyrgylch y dosbarth a helpu datblygiad sgiliau a chynnydd addysgol (Schunk, 1983 tud.511). Er hyn, daw beirniadaeth dros waith Bandura gan ei fod yn disgrifio magwraeth yn unig fel ffactor sy’n ddylanwad ar ymddygiad unigolyn, ac yn anwybyddu’r posibilrwydd o ffactorau biolegol dynol gall effeithio. Yn ôl rhai beirniaid, mae’n fwy tebygol taw cyfuniad o natur a magwraeth bod ddynol sy’n dylanwadu ar eu hymddygiad (McLeod, 2016).</w:t>
      </w:r>
      <w:r>
        <w:rPr>
          <w:rFonts w:ascii="Arial" w:hAnsi="Arial" w:cs="Arial"/>
        </w:rPr>
        <w:t xml:space="preserve"> </w:t>
      </w:r>
      <w:r w:rsidRPr="002137B1">
        <w:rPr>
          <w:rFonts w:ascii="Arial" w:hAnsi="Arial" w:cs="Arial"/>
        </w:rPr>
        <w:t xml:space="preserve">Daw canlyniadau diddorol o arbrawf Bandura ar y “Bobo Doll”, gwelir bod y plant sy’n </w:t>
      </w:r>
      <w:r w:rsidRPr="002137B1">
        <w:rPr>
          <w:rFonts w:ascii="Arial" w:hAnsi="Arial" w:cs="Arial"/>
        </w:rPr>
        <w:lastRenderedPageBreak/>
        <w:t>dyst i’r modelau yn cam-drin doli yn fwy tebygol o ddynwared yr ymddygiad treisgar (Graham a Arshad-Ayaz, 2016). Pwysleisia hyn cymaint mae dynwared a chopïo yn dylanwadu ar ymddygiad pobl ifanc. Gellir hyn olygu bod plant yn fwy tebygol o gopïo a dynwared ymddygiad da mewn ystafell ddosbarth er mwyn ennill gwobr neu ganmoliaeth. Yn ychwanegol i hyn, o ystyried dylanwad efelychu, bysai plant efallai yn peidio dynwared ymddygiad sy’n cael ei weld yn groes i ddisgwyliadau ysgol os yw’n cael ei gosbi.</w:t>
      </w:r>
    </w:p>
    <w:p w14:paraId="72522854" w14:textId="77777777" w:rsidR="002137B1" w:rsidRDefault="002137B1" w:rsidP="005D0392">
      <w:pPr>
        <w:spacing w:line="360" w:lineRule="auto"/>
        <w:rPr>
          <w:rFonts w:ascii="Arial" w:hAnsi="Arial" w:cs="Arial"/>
        </w:rPr>
      </w:pPr>
      <w:r w:rsidRPr="002137B1">
        <w:rPr>
          <w:rFonts w:ascii="Arial" w:hAnsi="Arial" w:cs="Arial"/>
        </w:rPr>
        <w:t>Mae’r farn bositif o wobrwyo yn addysg yn un poblogaidd ond rhaid bod yn ofalus fel athrawon. Hollbwysig yw sicrhau bod y disgyblion ddim yn cwblhau gwaith er mwyn derbyn gwobr yn unig. Mae’n angenrheidiol sicrhau bod cynnwys y wers yn cael ei ddysgu gan y disgyblion, dim eu bod yn anwybyddu’r cynnwys a ffocysu ar ennill y wobr. Rhaid hefyd cymryd gofal wrth roi gwobrau, os yw plentyn yn derbyn gwobr yn rhy aml, gall droi’n rhywbeth nad yw’r plentyn yn dymuno am. Yn anffodus, weithiau mae’r cymhelliant sy’n dod o wobrwyo am y rhesymau anghywir, dim bod gyda’r plant diddordeb neu ddealltwriaeth o’r gwaith ond diddordeb gyda’r wobr (Kohn, 2014). Amlinella hyn y pwysigrwydd o gyrraedd cydbwysedd da o wobrwyo wrth addysgu disgyblion. Creda rhai bod gwobrwyo cadarnhaol, yn beryg o niweidio hunanddelwedd disgyblion a’u cymhelliad addysgol (Scott a Landrum, 2020).</w:t>
      </w:r>
    </w:p>
    <w:p w14:paraId="2B348850" w14:textId="64A62CBA" w:rsidR="00AD365D" w:rsidRPr="005D0392" w:rsidRDefault="002137B1" w:rsidP="005D0392">
      <w:pPr>
        <w:spacing w:line="360" w:lineRule="auto"/>
        <w:rPr>
          <w:rFonts w:ascii="Arial" w:hAnsi="Arial" w:cs="Arial"/>
        </w:rPr>
      </w:pPr>
      <w:r w:rsidRPr="002137B1">
        <w:rPr>
          <w:rFonts w:ascii="Arial" w:hAnsi="Arial" w:cs="Arial"/>
        </w:rPr>
        <w:t xml:space="preserve">Amlinella ymchwiliad (Estyn, 2014) bwysigrwydd defnydd o arsylwi mewn ysgolion er mwyn hybu datblygiad pellach, wrth gyfrannu at adeiladu darlun cyfiawn o addysgu. Wrth arsylwi’r tri phlentyn, cynlluniais amserlen arsylwi </w:t>
      </w:r>
      <w:r w:rsidR="006B2F1F">
        <w:rPr>
          <w:rFonts w:ascii="Arial" w:hAnsi="Arial" w:cs="Arial"/>
        </w:rPr>
        <w:t xml:space="preserve">(fel a welir yn atodiad </w:t>
      </w:r>
      <w:r w:rsidR="00C0199D">
        <w:rPr>
          <w:rFonts w:ascii="Arial" w:hAnsi="Arial" w:cs="Arial"/>
        </w:rPr>
        <w:t>un a dau</w:t>
      </w:r>
      <w:r w:rsidR="006B2F1F">
        <w:rPr>
          <w:rFonts w:ascii="Arial" w:hAnsi="Arial" w:cs="Arial"/>
        </w:rPr>
        <w:t xml:space="preserve">) </w:t>
      </w:r>
      <w:r w:rsidRPr="002137B1">
        <w:rPr>
          <w:rFonts w:ascii="Arial" w:hAnsi="Arial" w:cs="Arial"/>
        </w:rPr>
        <w:t>er mwyn gallu cwmpasu nodiadau ac arsylwadau a gwneud defnydd o’r raddfa Leuven er mwyn pennu lefel o ymgysylltiad i’r tri. Arsylwais y tri phlentyn am ddeg munud yr un yn ystod tri chyfnod gwahanol yn ystod tasg, dechrau’r dasg, canol y dasg a diwedd y dasg. Penderfynais wneud hyn er mwyn cadw maint y sampl yr un peth i’r tri a sicrhau dim tuedd. Arsylwais dros y dosbarth cyfan a chymryd nodiadau ychwanegol ar unrhyw wobrwyo neu ddulliau clod neu gosb a ddefnyddiwyd gan yr athrawon, a’r effaith oedd yn ei gael ar ymdrech neu ymddygiad y plant yn yr amser sbâr. Roedd defnyddio’r raddfa Leuven yn effeithiol wrth gysylltu lefel o ymgysylltiad disgybl i dasg wrth arsylwi.</w:t>
      </w:r>
      <w:r w:rsidR="000F0662" w:rsidRPr="005D0392">
        <w:rPr>
          <w:rFonts w:ascii="Arial" w:hAnsi="Arial" w:cs="Arial"/>
        </w:rPr>
        <w:t xml:space="preserve"> </w:t>
      </w:r>
      <w:r w:rsidRPr="002137B1">
        <w:rPr>
          <w:rFonts w:ascii="Arial" w:hAnsi="Arial" w:cs="Arial"/>
        </w:rPr>
        <w:t>Defnyddiol oedd y diffiniadau o bob lefel, roedd e’n hawdd pennu lefel o ymgysylltiad i’r tri wrth asesu eu hosgo a’u hiaith gorfforol. (MacRae a Jones, 2020). Rhoddir arweiniad defnyddiol wrth ddilyn y diffiniadau. Drwy asesu eu lefelau canolbwyntied, creadigrwydd, egni a dyfalbarhad, roedd dod i ganlyn ar eu lefel ar y raddfa Leuven yn weddol syml. Pwysig iawn oedd cymryd rôl arsylwr nad oedd yn ymyrryd gyda’r plant er mwyn gweld eu gwir ymddygiad ac osgoi newid cymeriad y disgyblion a sicrhau gwireb yn y data a gasglwyd. Wedi dweud hyn, rhaid nodi efallai nad oedd dau ddiwrnod o ymchwil yn ddigon o amser i gasglu data ystyrlon a darganfod gwir ddarlun o’r disgyblion ac mae pennu lefel o ymgysylltiad ar ôl deuddydd yn eithaf annheg.</w:t>
      </w:r>
    </w:p>
    <w:p w14:paraId="17B483C6" w14:textId="77777777" w:rsidR="002A4CF6" w:rsidRDefault="002A4CF6" w:rsidP="005D0392">
      <w:pPr>
        <w:spacing w:line="360" w:lineRule="auto"/>
        <w:rPr>
          <w:rFonts w:ascii="Arial" w:hAnsi="Arial" w:cs="Arial"/>
        </w:rPr>
      </w:pPr>
      <w:r w:rsidRPr="002A4CF6">
        <w:rPr>
          <w:rFonts w:ascii="Arial" w:hAnsi="Arial" w:cs="Arial"/>
        </w:rPr>
        <w:lastRenderedPageBreak/>
        <w:t>Wrth gynnal ymchwil, mae’n angenrheidiol pwysleisio’r ystyriaethau moesegol yn enwedig wrth ymchwilio mewn i blant. Dylai ymchwilwyr sicrhau nad oes llawer o risg na niwed yn cael ei hachosi o ganlyniad i’r ymchwil, a rhoi blaenoriaeth ar ddiogelwch ac amddiffyn plant a phobl ifanc (UKRI, 2021). Mae’r canllawiau ymchwil gan BERA (British Educational Reasearch Association) yn rhoi disgrifiad manwl i ni o’r canllawiau y maent yn argymell dilyn er mwyn sicrhau bod eich ymchwil yn foesegol gywir wrth gasglu data. Un canllaw hanfodol a gynigwyd gan BERA yw sicrhau parch at unrhyw berson gan gynnwys yr ymchwilydd ei hun yn yr ymchwil (BERA, 2018).</w:t>
      </w:r>
    </w:p>
    <w:p w14:paraId="49E9CD85" w14:textId="4DDA1088" w:rsidR="00DA2465" w:rsidRPr="005D0392" w:rsidRDefault="002A4CF6" w:rsidP="005D0392">
      <w:pPr>
        <w:spacing w:line="360" w:lineRule="auto"/>
        <w:rPr>
          <w:rFonts w:ascii="Arial" w:hAnsi="Arial" w:cs="Arial"/>
        </w:rPr>
      </w:pPr>
      <w:r w:rsidRPr="002A4CF6">
        <w:rPr>
          <w:rFonts w:ascii="Arial" w:hAnsi="Arial" w:cs="Arial"/>
        </w:rPr>
        <w:t>Cyfrinachedd yw un o’r ffactorau pwysicaf i sicrhau wrth ymchwilio mewn i blant neu bobl ifanc. Mae’n angenrheidiol cadw hunaniaeth pob ymatebydd yn gyfrinachol ac yn anhysbys (Save the Children, 2004). Yn enwedig wrth edrych ar lefelau o ymgysylltiad plant i addysg, mae cyfrinachedd ar yr amserlen arsylwi yn angenrheidiol. Roedd yn hynod bwysig wrth ysgrifennu’r data ansoddol am weithredoedd y cyfranogwyr yn ystod yr arsylwad, fy mod yn osgoi nodi gormod o ddata a gwneud hi’n hawdd adnabod y cyfranogwr gyda’r wybodaeth. Hollbwysig yw prawf ddarllen y data er mwyn sicrhau hyn (Save the Children, 2004). Yn ogystal, canllaw moesegol arall mae’n rhaid dilyn yw’r hawl sydd gan gyfranogwyr i dynnu allan o’r ymchwiliad drwy gydol yr arsylwad. Rhaid ei gwneud hi’n glir i’r cyfranogwyr ei bod hi’n iawn, a bod dim canlyniadau negyddol i beidio eisiau cymryd rhan gyda’r ymchwil, ar unrhyw adeg. Mae gan y plentyn neu’r rhiant yr hawl i hyn, mae’n ddisgwyliedig i ymchwilwyr sicrhau ei bod nhw’n gwirio’n rheolaidd bod ganddyn nhw hawl y cyfranogwr i gasglu data a’u bod yn hapus i gymryd rhan (NSPCC, d.d.). Yn ychwanegol, disgrifia Miller et al. (2012 tud.94) cyfrifoldeb ar yr ymchwilydd i “negotiate participation at the outset of a reasearch project and be sensitive to the dimensions of participation”. Pwysleisia'r holl ganllawiau gan ystod o fudiadau ac athronwyr pwysigrwydd cadw unrhyw ymchwil yn foesegol gywir.</w:t>
      </w:r>
    </w:p>
    <w:p w14:paraId="17DCA7FE" w14:textId="77777777" w:rsidR="002A4CF6" w:rsidRDefault="002A4CF6" w:rsidP="005D0392">
      <w:pPr>
        <w:spacing w:line="360" w:lineRule="auto"/>
        <w:rPr>
          <w:rFonts w:ascii="Arial" w:hAnsi="Arial" w:cs="Arial"/>
        </w:rPr>
      </w:pPr>
      <w:r w:rsidRPr="002A4CF6">
        <w:rPr>
          <w:rFonts w:ascii="Arial" w:hAnsi="Arial" w:cs="Arial"/>
        </w:rPr>
        <w:t>Yn yr ystafell ddosbarth, gwelais sawl ffordd o wobrwyo, yn enwedig pan oedd pawb wedi casglu ar garped y dosbarth. Ar ddrws yr ystafell, roedd siart ymddygiad gyda lluniau unigol o ddisgyblion y dosbarth. Roedd sawl lefel i’r siart gyda lliwiau gwyrdd ar gyfer ymddygiad da, a coch am ymddygiad sy’n groes i ddisgwyliadau. Roedd gwobrau megis amser chwarae ychwanegol ar ben y siart ar gyfer y plant oedd yn haeddu’r wobr ar ôl wythnos o ysgol. Ond roedd cosbau fel cwrdd gyda’r pennaeth i drafod yr ymddygiad os nad yw plentyn yn cydymffurfio gyda disgwyliadau’r dosbarth. Mae’r siart yn fawr ac yn weledol i bawb, roedd y plant yn amlwg yn rhoi pwysigrwydd ar ddringo’r siart er mwyn ennill gwobrau. Gall gwobrwyo disgyblion mewn dulliau tebyg i hyn fod yn adeiladol wrth helpu disgyblion adeiladu perthnasoedd drwy ymgysylltu gydag athrawon, y mae hyn yn enwedig effeithiol wrth ymdrin gydag ymddygiad heriol (Scott a Landrum, 2020).</w:t>
      </w:r>
    </w:p>
    <w:p w14:paraId="79E07F4A" w14:textId="77777777" w:rsidR="002A4CF6" w:rsidRDefault="002A4CF6" w:rsidP="005D0392">
      <w:pPr>
        <w:spacing w:line="360" w:lineRule="auto"/>
        <w:rPr>
          <w:rFonts w:ascii="Arial" w:hAnsi="Arial" w:cs="Arial"/>
        </w:rPr>
      </w:pPr>
      <w:r w:rsidRPr="002A4CF6">
        <w:rPr>
          <w:rFonts w:ascii="Arial" w:hAnsi="Arial" w:cs="Arial"/>
        </w:rPr>
        <w:lastRenderedPageBreak/>
        <w:t>Dull arall a welir ar draws nifer o ysgolion yw’r wobr o ddisgybl yr wythnos a Chymro neu Gymraes yr wythnos, wrth hybu’r defnydd o Gymraeg rhwng disgyblion. Yng ngwasanaeth ysgol A, gwobrwyir y disgyblion a chyflwynwyd gyda thystysgrif yr un. Ym mlwyddyn un, roedd system pwyntiau “dojo” mewn lle. Roedd amrywiaeth o ffyrdd i ennill pwyntiau ac roedd chwant y disgyblion i ennill mwy yn amlwg. Cynigwyd lawer o bwyntiau i blant sy’n cael eu canmol am ddefnydd y Gymraeg yn yr ysgol, hyba hyn y disgyblion i gyd-drafod drwy gyfrwng y Gymraeg. Hefyd ar ddydd Gwener, mae amser aur,  gwobr sy’n cael ei rhoi os yw’r athrawes ddosbarth yn hapus gydag ymddygiad ac ymdrech a rhoddwyd gan y disgyblion dros yr wythnos ddiwethaf. Roedd y plant yn mwynhau amser aur gan eu bod yn gallu dewis unrhyw weithgaredd yn y dosbarth.</w:t>
      </w:r>
    </w:p>
    <w:p w14:paraId="7A13E12D" w14:textId="5B027187" w:rsidR="001B4168" w:rsidRDefault="002A4CF6" w:rsidP="005D0392">
      <w:pPr>
        <w:spacing w:line="360" w:lineRule="auto"/>
        <w:rPr>
          <w:sz w:val="24"/>
          <w:szCs w:val="24"/>
        </w:rPr>
      </w:pPr>
      <w:r w:rsidRPr="002A4CF6">
        <w:rPr>
          <w:rFonts w:ascii="Arial" w:hAnsi="Arial" w:cs="Arial"/>
        </w:rPr>
        <w:t>I gloi, amlwg yw gwerth gwobrwyo a chosbi yn yr ysgol, dwi o’r farn bod ganddo ddylanwad sylweddol ar ymddygiad y plant ac yn hyrwyddo’r disgyblion i ddilyn arferion y dosbarth. Er hyn, hanfodol yw sicrhau nad ydynt yn gor-wobrwyo a sicrhau bod disgyblion yn dysgu cynnwys gwersi yn lle cwblhau gwaith er mwyn ennill gwobr yn unig. Pe bai cyfle arall i mi ail-gynllunio, bysaf yn ail greu’r amserlen arsylwi gan roi mwy o le i nodi data yn hytrach na un sesiwn. Sicrhaf, fel athro i wneud defnydd o arsylwi dros fy nisgyblion er mwyn asesu datblygiad a chynnydd unigolion. Yn ogystal, er mwyn dod i nabod digyblion yn well a darganfod pa dechnegau addysgu sydd yn gweithio i bob unigolyn. Mae hyn yn cydfynd gyda’r Safonau SAC a’r ddisgwyliad o asesu i athrawon, hollbwysig yw cyfleu “dealltwriaeth helaeth o ystod o ddibenion ac arferion ar gyfer asesu” (Llywodraeth Cymru d.d.).</w:t>
      </w:r>
    </w:p>
    <w:p w14:paraId="4323FA06" w14:textId="563B97CA" w:rsidR="001B4168" w:rsidRDefault="001B4168" w:rsidP="005D0392">
      <w:pPr>
        <w:spacing w:line="360" w:lineRule="auto"/>
        <w:rPr>
          <w:sz w:val="24"/>
          <w:szCs w:val="24"/>
        </w:rPr>
      </w:pPr>
    </w:p>
    <w:p w14:paraId="473AF188" w14:textId="3B50BD62" w:rsidR="001B4168" w:rsidRDefault="001B4168" w:rsidP="005D0392">
      <w:pPr>
        <w:spacing w:line="360" w:lineRule="auto"/>
        <w:rPr>
          <w:sz w:val="24"/>
          <w:szCs w:val="24"/>
        </w:rPr>
      </w:pPr>
    </w:p>
    <w:p w14:paraId="237E1D50" w14:textId="38374F31" w:rsidR="001B4168" w:rsidRDefault="001B4168" w:rsidP="005D0392">
      <w:pPr>
        <w:spacing w:line="360" w:lineRule="auto"/>
        <w:rPr>
          <w:sz w:val="24"/>
          <w:szCs w:val="24"/>
        </w:rPr>
      </w:pPr>
    </w:p>
    <w:p w14:paraId="213AD79A" w14:textId="77777777" w:rsidR="005D0392" w:rsidRDefault="005D0392" w:rsidP="005D0392">
      <w:pPr>
        <w:spacing w:line="360" w:lineRule="auto"/>
        <w:rPr>
          <w:sz w:val="24"/>
          <w:szCs w:val="24"/>
        </w:rPr>
      </w:pPr>
    </w:p>
    <w:p w14:paraId="742A3A0F" w14:textId="77777777" w:rsidR="00EE06CC" w:rsidRDefault="00EE06CC" w:rsidP="005D0392">
      <w:pPr>
        <w:spacing w:line="360" w:lineRule="auto"/>
        <w:rPr>
          <w:rFonts w:ascii="Arial" w:hAnsi="Arial" w:cs="Arial"/>
        </w:rPr>
      </w:pPr>
    </w:p>
    <w:p w14:paraId="5B2E638C" w14:textId="77777777" w:rsidR="00EE06CC" w:rsidRDefault="00EE06CC" w:rsidP="005D0392">
      <w:pPr>
        <w:spacing w:line="360" w:lineRule="auto"/>
        <w:rPr>
          <w:rFonts w:ascii="Arial" w:hAnsi="Arial" w:cs="Arial"/>
        </w:rPr>
      </w:pPr>
    </w:p>
    <w:p w14:paraId="33ADD2B0" w14:textId="77777777" w:rsidR="00EE06CC" w:rsidRDefault="00EE06CC" w:rsidP="005D0392">
      <w:pPr>
        <w:spacing w:line="360" w:lineRule="auto"/>
        <w:rPr>
          <w:rFonts w:ascii="Arial" w:hAnsi="Arial" w:cs="Arial"/>
        </w:rPr>
      </w:pPr>
    </w:p>
    <w:p w14:paraId="5C39CAF1" w14:textId="77777777" w:rsidR="00EE06CC" w:rsidRDefault="00EE06CC" w:rsidP="005D0392">
      <w:pPr>
        <w:spacing w:line="360" w:lineRule="auto"/>
        <w:rPr>
          <w:rFonts w:ascii="Arial" w:hAnsi="Arial" w:cs="Arial"/>
        </w:rPr>
      </w:pPr>
    </w:p>
    <w:p w14:paraId="0EE80B44" w14:textId="77777777" w:rsidR="00EE06CC" w:rsidRDefault="00EE06CC" w:rsidP="005D0392">
      <w:pPr>
        <w:spacing w:line="360" w:lineRule="auto"/>
        <w:rPr>
          <w:rFonts w:ascii="Arial" w:hAnsi="Arial" w:cs="Arial"/>
        </w:rPr>
      </w:pPr>
    </w:p>
    <w:p w14:paraId="0FC321F3" w14:textId="77777777" w:rsidR="00EE06CC" w:rsidRDefault="00EE06CC" w:rsidP="005D0392">
      <w:pPr>
        <w:spacing w:line="360" w:lineRule="auto"/>
        <w:rPr>
          <w:rFonts w:ascii="Arial" w:hAnsi="Arial" w:cs="Arial"/>
        </w:rPr>
      </w:pPr>
    </w:p>
    <w:p w14:paraId="74488151" w14:textId="77777777" w:rsidR="002A4CF6" w:rsidRDefault="002A4CF6" w:rsidP="005D0392">
      <w:pPr>
        <w:spacing w:line="360" w:lineRule="auto"/>
        <w:rPr>
          <w:rFonts w:ascii="Arial" w:hAnsi="Arial" w:cs="Arial"/>
          <w:b/>
          <w:bCs/>
          <w:sz w:val="28"/>
          <w:szCs w:val="28"/>
          <w:u w:val="single"/>
        </w:rPr>
      </w:pPr>
    </w:p>
    <w:p w14:paraId="7DCC2F94" w14:textId="07CA3B10" w:rsidR="001B4168" w:rsidRPr="00D946C4" w:rsidRDefault="001B4168" w:rsidP="005D0392">
      <w:pPr>
        <w:spacing w:line="360" w:lineRule="auto"/>
        <w:rPr>
          <w:rFonts w:ascii="Arial" w:hAnsi="Arial" w:cs="Arial"/>
          <w:b/>
          <w:bCs/>
          <w:sz w:val="28"/>
          <w:szCs w:val="28"/>
          <w:u w:val="single"/>
        </w:rPr>
      </w:pPr>
      <w:r w:rsidRPr="00D946C4">
        <w:rPr>
          <w:rFonts w:ascii="Arial" w:hAnsi="Arial" w:cs="Arial"/>
          <w:b/>
          <w:bCs/>
          <w:sz w:val="28"/>
          <w:szCs w:val="28"/>
          <w:u w:val="single"/>
        </w:rPr>
        <w:lastRenderedPageBreak/>
        <w:t>Rhestr Cyfeirnodi</w:t>
      </w:r>
    </w:p>
    <w:p w14:paraId="3F886C59" w14:textId="14FF0261" w:rsidR="005F0181" w:rsidRPr="005D0392" w:rsidRDefault="005F0181"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British Educational Research Association (2018). </w:t>
      </w:r>
      <w:r w:rsidRPr="005D0392">
        <w:rPr>
          <w:rFonts w:ascii="Arial" w:hAnsi="Arial" w:cs="Arial"/>
          <w:i/>
          <w:iCs/>
          <w:sz w:val="22"/>
          <w:szCs w:val="22"/>
        </w:rPr>
        <w:t>Ethical Guidelines for Educational Research, fourth edition (2018)</w:t>
      </w:r>
      <w:r w:rsidRPr="005D0392">
        <w:rPr>
          <w:rFonts w:ascii="Arial" w:hAnsi="Arial" w:cs="Arial"/>
          <w:sz w:val="22"/>
          <w:szCs w:val="22"/>
        </w:rPr>
        <w:t xml:space="preserve">. [Dyddiad mynediad 27/02/2023] </w:t>
      </w:r>
      <w:hyperlink r:id="rId5" w:history="1">
        <w:r w:rsidR="000C4DD9" w:rsidRPr="005D0392">
          <w:rPr>
            <w:rStyle w:val="Hyperlink"/>
            <w:rFonts w:ascii="Arial" w:hAnsi="Arial" w:cs="Arial"/>
            <w:sz w:val="22"/>
            <w:szCs w:val="22"/>
          </w:rPr>
          <w:t>https://www.bera.ac.uk/publication/ethical-guidelines-for-educational-research-2018-online</w:t>
        </w:r>
      </w:hyperlink>
      <w:r w:rsidRPr="005D0392">
        <w:rPr>
          <w:rFonts w:ascii="Arial" w:hAnsi="Arial" w:cs="Arial"/>
          <w:sz w:val="22"/>
          <w:szCs w:val="22"/>
        </w:rPr>
        <w:t>.</w:t>
      </w:r>
    </w:p>
    <w:p w14:paraId="738BF02D" w14:textId="64EEF7C0" w:rsidR="000C4DD9" w:rsidRPr="005D0392" w:rsidRDefault="000C4DD9"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Bruce, T., Louis, S. a Mccall, G. (2015). </w:t>
      </w:r>
      <w:r w:rsidRPr="005D0392">
        <w:rPr>
          <w:rFonts w:ascii="Arial" w:hAnsi="Arial" w:cs="Arial"/>
          <w:i/>
          <w:iCs/>
          <w:sz w:val="22"/>
          <w:szCs w:val="22"/>
        </w:rPr>
        <w:t>Observing young children</w:t>
      </w:r>
      <w:r w:rsidRPr="005D0392">
        <w:rPr>
          <w:rFonts w:ascii="Arial" w:hAnsi="Arial" w:cs="Arial"/>
          <w:sz w:val="22"/>
          <w:szCs w:val="22"/>
        </w:rPr>
        <w:t>. Los Angeles: Sage.</w:t>
      </w:r>
    </w:p>
    <w:p w14:paraId="39FF482E" w14:textId="372FEB66" w:rsidR="00CE48C9" w:rsidRPr="005D0392" w:rsidRDefault="00CE48C9"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Estyn (2014). </w:t>
      </w:r>
      <w:r w:rsidRPr="005D0392">
        <w:rPr>
          <w:rFonts w:ascii="Arial" w:hAnsi="Arial" w:cs="Arial"/>
          <w:i/>
          <w:iCs/>
          <w:sz w:val="22"/>
          <w:szCs w:val="22"/>
        </w:rPr>
        <w:t>Effective classroom observation can improve teaching and learning | Estyn</w:t>
      </w:r>
      <w:r w:rsidRPr="005D0392">
        <w:rPr>
          <w:rFonts w:ascii="Arial" w:hAnsi="Arial" w:cs="Arial"/>
          <w:sz w:val="22"/>
          <w:szCs w:val="22"/>
        </w:rPr>
        <w:t>. [Dyddiad mynediad 24/02/2023]</w:t>
      </w:r>
      <w:r w:rsidR="00B12E82" w:rsidRPr="005D0392">
        <w:rPr>
          <w:rFonts w:ascii="Arial" w:hAnsi="Arial" w:cs="Arial"/>
          <w:sz w:val="22"/>
          <w:szCs w:val="22"/>
        </w:rPr>
        <w:t>.</w:t>
      </w:r>
      <w:r w:rsidRPr="005D0392">
        <w:rPr>
          <w:rFonts w:ascii="Arial" w:hAnsi="Arial" w:cs="Arial"/>
          <w:sz w:val="22"/>
          <w:szCs w:val="22"/>
        </w:rPr>
        <w:t xml:space="preserve"> https://www.estyn.gov.wales/news/effective-classroom-observation-can-improve-teaching-and-learning.</w:t>
      </w:r>
    </w:p>
    <w:p w14:paraId="2982B954" w14:textId="4B32E04E" w:rsidR="0056651A" w:rsidRPr="005D0392" w:rsidRDefault="0056651A"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Estyn (2018). </w:t>
      </w:r>
      <w:r w:rsidRPr="005D0392">
        <w:rPr>
          <w:rFonts w:ascii="Arial" w:hAnsi="Arial" w:cs="Arial"/>
          <w:i/>
          <w:iCs/>
          <w:sz w:val="22"/>
          <w:szCs w:val="22"/>
        </w:rPr>
        <w:t xml:space="preserve">Adroddiad </w:t>
      </w:r>
      <w:r w:rsidRPr="005D0392">
        <w:rPr>
          <w:rFonts w:ascii="Arial" w:hAnsi="Arial" w:cs="Arial"/>
          <w:i/>
          <w:iCs/>
          <w:sz w:val="22"/>
          <w:szCs w:val="22"/>
          <w:highlight w:val="black"/>
        </w:rPr>
        <w:t>Ysgol y Bedol</w:t>
      </w:r>
      <w:r w:rsidRPr="005D0392">
        <w:rPr>
          <w:rFonts w:ascii="Arial" w:hAnsi="Arial" w:cs="Arial"/>
          <w:sz w:val="22"/>
          <w:szCs w:val="22"/>
        </w:rPr>
        <w:t>.</w:t>
      </w:r>
      <w:r w:rsidR="00FC25C7" w:rsidRPr="005D0392">
        <w:rPr>
          <w:rFonts w:ascii="Arial" w:hAnsi="Arial" w:cs="Arial"/>
          <w:sz w:val="22"/>
          <w:szCs w:val="22"/>
        </w:rPr>
        <w:t xml:space="preserve"> [Dyddiad mynediad 23/02/2023]</w:t>
      </w:r>
      <w:r w:rsidR="00B12E82" w:rsidRPr="005D0392">
        <w:rPr>
          <w:rFonts w:ascii="Arial" w:hAnsi="Arial" w:cs="Arial"/>
          <w:sz w:val="22"/>
          <w:szCs w:val="22"/>
        </w:rPr>
        <w:t>.</w:t>
      </w:r>
      <w:r w:rsidR="00FC25C7" w:rsidRPr="005D0392">
        <w:rPr>
          <w:rFonts w:ascii="Arial" w:hAnsi="Arial" w:cs="Arial"/>
          <w:sz w:val="22"/>
          <w:szCs w:val="22"/>
        </w:rPr>
        <w:t xml:space="preserve"> </w:t>
      </w:r>
      <w:hyperlink r:id="rId6" w:history="1">
        <w:r w:rsidR="00205694" w:rsidRPr="005D0392">
          <w:rPr>
            <w:rStyle w:val="Hyperlink"/>
            <w:rFonts w:ascii="Arial" w:hAnsi="Arial" w:cs="Arial"/>
            <w:sz w:val="22"/>
            <w:szCs w:val="22"/>
          </w:rPr>
          <w:t>https://www.estyn.llyw.cymru/system/files/2021-08/Adroddiad%20arolygiad%</w:t>
        </w:r>
        <w:r w:rsidR="00205694" w:rsidRPr="005D0392">
          <w:rPr>
            <w:rStyle w:val="Hyperlink"/>
            <w:rFonts w:ascii="Arial" w:hAnsi="Arial" w:cs="Arial"/>
            <w:sz w:val="22"/>
            <w:szCs w:val="22"/>
            <w:highlight w:val="black"/>
          </w:rPr>
          <w:t>20Ysgol%20Y%20Bedol</w:t>
        </w:r>
        <w:r w:rsidR="00205694" w:rsidRPr="005D0392">
          <w:rPr>
            <w:rStyle w:val="Hyperlink"/>
            <w:rFonts w:ascii="Arial" w:hAnsi="Arial" w:cs="Arial"/>
            <w:sz w:val="22"/>
            <w:szCs w:val="22"/>
          </w:rPr>
          <w:t>%202018.pdf</w:t>
        </w:r>
      </w:hyperlink>
      <w:r w:rsidR="00FC25C7" w:rsidRPr="005D0392">
        <w:rPr>
          <w:rFonts w:ascii="Arial" w:hAnsi="Arial" w:cs="Arial"/>
          <w:sz w:val="22"/>
          <w:szCs w:val="22"/>
        </w:rPr>
        <w:t>.</w:t>
      </w:r>
      <w:r w:rsidRPr="005D0392">
        <w:rPr>
          <w:rFonts w:ascii="Arial" w:hAnsi="Arial" w:cs="Arial"/>
          <w:sz w:val="22"/>
          <w:szCs w:val="22"/>
        </w:rPr>
        <w:t xml:space="preserve"> </w:t>
      </w:r>
    </w:p>
    <w:p w14:paraId="1A9728CA" w14:textId="776B6940" w:rsidR="00205694" w:rsidRPr="005D0392" w:rsidRDefault="00205694"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Graham, P. and Arshad-Ayaz, A. (2016). Learned Unsustainability: Bandura’s Bobo Doll Revisited. </w:t>
      </w:r>
      <w:r w:rsidRPr="005D0392">
        <w:rPr>
          <w:rFonts w:ascii="Arial" w:hAnsi="Arial" w:cs="Arial"/>
          <w:i/>
          <w:iCs/>
          <w:sz w:val="22"/>
          <w:szCs w:val="22"/>
        </w:rPr>
        <w:t>Journal of Education for Sustainable Development</w:t>
      </w:r>
      <w:r w:rsidRPr="005D0392">
        <w:rPr>
          <w:rFonts w:ascii="Arial" w:hAnsi="Arial" w:cs="Arial"/>
          <w:sz w:val="22"/>
          <w:szCs w:val="22"/>
        </w:rPr>
        <w:t>, 10(2), tud.262–273. doi:https://doi.org/10.1177/0973408216650954.</w:t>
      </w:r>
    </w:p>
    <w:p w14:paraId="5DF8C2E7" w14:textId="54DBCA89" w:rsidR="009F50F4" w:rsidRPr="005D0392" w:rsidRDefault="009F50F4"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Kazepides, A.C. (1976). Operant Conditioning in Education. </w:t>
      </w:r>
      <w:r w:rsidRPr="005D0392">
        <w:rPr>
          <w:rFonts w:ascii="Arial" w:hAnsi="Arial" w:cs="Arial"/>
          <w:i/>
          <w:iCs/>
          <w:sz w:val="22"/>
          <w:szCs w:val="22"/>
        </w:rPr>
        <w:t>Canadian Journal of Education</w:t>
      </w:r>
      <w:r w:rsidRPr="005D0392">
        <w:rPr>
          <w:rFonts w:ascii="Arial" w:hAnsi="Arial" w:cs="Arial"/>
          <w:sz w:val="22"/>
          <w:szCs w:val="22"/>
        </w:rPr>
        <w:t>, 1(4), tud.53–68. doi:https://doi.org/10.2307/1494624.</w:t>
      </w:r>
    </w:p>
    <w:p w14:paraId="56520257" w14:textId="09CF9061" w:rsidR="00AD365D" w:rsidRPr="005D0392" w:rsidRDefault="00AD365D"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Kohn, A. (2014). </w:t>
      </w:r>
      <w:r w:rsidRPr="005D0392">
        <w:rPr>
          <w:rFonts w:ascii="Arial" w:hAnsi="Arial" w:cs="Arial"/>
          <w:i/>
          <w:iCs/>
          <w:sz w:val="22"/>
          <w:szCs w:val="22"/>
        </w:rPr>
        <w:t>The Risks of Rewards - Alfie Kohn</w:t>
      </w:r>
      <w:r w:rsidRPr="005D0392">
        <w:rPr>
          <w:rFonts w:ascii="Arial" w:hAnsi="Arial" w:cs="Arial"/>
          <w:sz w:val="22"/>
          <w:szCs w:val="22"/>
        </w:rPr>
        <w:t>. [Dyddiad mynediad 24/02/2023] Alfie Kohn. https://www.alfiekohn.org/article/risks-rewards/.</w:t>
      </w:r>
    </w:p>
    <w:p w14:paraId="6CC030CD" w14:textId="41B9CB1B" w:rsidR="001B4168" w:rsidRPr="005D0392" w:rsidRDefault="001B4168"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Llywodraeth Cymru (2008). </w:t>
      </w:r>
      <w:r w:rsidRPr="005D0392">
        <w:rPr>
          <w:rFonts w:ascii="Arial" w:hAnsi="Arial" w:cs="Arial"/>
          <w:i/>
          <w:iCs/>
          <w:sz w:val="22"/>
          <w:szCs w:val="22"/>
        </w:rPr>
        <w:t>Learning and Teaching Pedagogy</w:t>
      </w:r>
      <w:r w:rsidRPr="005D0392">
        <w:rPr>
          <w:rFonts w:ascii="Arial" w:hAnsi="Arial" w:cs="Arial"/>
          <w:sz w:val="22"/>
          <w:szCs w:val="22"/>
        </w:rPr>
        <w:t xml:space="preserve">. [Dyddiad mynediad 23/02/2023] </w:t>
      </w:r>
      <w:hyperlink r:id="rId7" w:history="1">
        <w:r w:rsidRPr="005D0392">
          <w:rPr>
            <w:rStyle w:val="Hyperlink"/>
            <w:rFonts w:ascii="Arial" w:hAnsi="Arial" w:cs="Arial"/>
            <w:sz w:val="22"/>
            <w:szCs w:val="22"/>
          </w:rPr>
          <w:t>https://hwb.gov.wales/storage/8f0b360f-f1f6-4bec-b11a-df88168007f9/learning-and-teaching-pedagogy.pdf</w:t>
        </w:r>
      </w:hyperlink>
      <w:r w:rsidRPr="005D0392">
        <w:rPr>
          <w:rFonts w:ascii="Arial" w:hAnsi="Arial" w:cs="Arial"/>
          <w:sz w:val="22"/>
          <w:szCs w:val="22"/>
        </w:rPr>
        <w:t>.</w:t>
      </w:r>
    </w:p>
    <w:p w14:paraId="79828E3B" w14:textId="494C2316" w:rsidR="005417E0" w:rsidRPr="00D946C4" w:rsidRDefault="005417E0"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t xml:space="preserve">Llywodraeth Cymru (d.d.). </w:t>
      </w:r>
      <w:r w:rsidRPr="00D946C4">
        <w:rPr>
          <w:rFonts w:ascii="Arial" w:hAnsi="Arial" w:cs="Arial"/>
          <w:i/>
          <w:iCs/>
          <w:sz w:val="22"/>
          <w:szCs w:val="22"/>
        </w:rPr>
        <w:t>Safonau proffesiynol - Hwb</w:t>
      </w:r>
      <w:r w:rsidRPr="00D946C4">
        <w:rPr>
          <w:rFonts w:ascii="Arial" w:hAnsi="Arial" w:cs="Arial"/>
          <w:sz w:val="22"/>
          <w:szCs w:val="22"/>
        </w:rPr>
        <w:t xml:space="preserve">. </w:t>
      </w:r>
      <w:hyperlink r:id="rId8" w:history="1">
        <w:r w:rsidR="00D946C4" w:rsidRPr="00D946C4">
          <w:rPr>
            <w:rStyle w:val="Hyperlink"/>
            <w:rFonts w:ascii="Arial" w:hAnsi="Arial" w:cs="Arial"/>
            <w:sz w:val="22"/>
            <w:szCs w:val="22"/>
          </w:rPr>
          <w:t>https://hwb.gov.wales/datblygiad-proffesiynol/safonau-proffesiynol</w:t>
        </w:r>
      </w:hyperlink>
      <w:r w:rsidRPr="00D946C4">
        <w:rPr>
          <w:rFonts w:ascii="Arial" w:hAnsi="Arial" w:cs="Arial"/>
          <w:sz w:val="22"/>
          <w:szCs w:val="22"/>
        </w:rPr>
        <w:t>.</w:t>
      </w:r>
    </w:p>
    <w:p w14:paraId="42CC4D97" w14:textId="77777777" w:rsidR="00D946C4" w:rsidRPr="00D946C4" w:rsidRDefault="00D946C4" w:rsidP="00D946C4">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t xml:space="preserve">MacRae, C. and Jones, L. (2020). A philosophical reflection on the ‘Leuven Scale’ and young children’s expressions of involvement. </w:t>
      </w:r>
      <w:r w:rsidRPr="00D946C4">
        <w:rPr>
          <w:rFonts w:ascii="Arial" w:hAnsi="Arial" w:cs="Arial"/>
          <w:i/>
          <w:iCs/>
          <w:sz w:val="22"/>
          <w:szCs w:val="22"/>
        </w:rPr>
        <w:t>International Journal of Qualitative Studies in Education</w:t>
      </w:r>
      <w:r w:rsidRPr="00D946C4">
        <w:rPr>
          <w:rFonts w:ascii="Arial" w:hAnsi="Arial" w:cs="Arial"/>
          <w:sz w:val="22"/>
          <w:szCs w:val="22"/>
        </w:rPr>
        <w:t>, 36(2), pp.1–13. doi:https://doi.org/10.1080/09518398.2020.1828650.</w:t>
      </w:r>
    </w:p>
    <w:p w14:paraId="51B52724" w14:textId="7B420C89" w:rsidR="00184372" w:rsidRPr="00D946C4" w:rsidRDefault="00184372"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t xml:space="preserve">McLeod, S. (2016). </w:t>
      </w:r>
      <w:r w:rsidRPr="00D946C4">
        <w:rPr>
          <w:rFonts w:ascii="Arial" w:hAnsi="Arial" w:cs="Arial"/>
          <w:i/>
          <w:iCs/>
          <w:sz w:val="22"/>
          <w:szCs w:val="22"/>
        </w:rPr>
        <w:t>Albert Bandura’s Social Learning Theory</w:t>
      </w:r>
      <w:r w:rsidRPr="00D946C4">
        <w:rPr>
          <w:rFonts w:ascii="Arial" w:hAnsi="Arial" w:cs="Arial"/>
          <w:sz w:val="22"/>
          <w:szCs w:val="22"/>
        </w:rPr>
        <w:t>. [</w:t>
      </w:r>
      <w:r w:rsidR="003364AD" w:rsidRPr="00D946C4">
        <w:rPr>
          <w:rFonts w:ascii="Arial" w:hAnsi="Arial" w:cs="Arial"/>
          <w:sz w:val="22"/>
          <w:szCs w:val="22"/>
        </w:rPr>
        <w:t>Dyddiad mynediad 24/02/2023</w:t>
      </w:r>
      <w:r w:rsidRPr="00D946C4">
        <w:rPr>
          <w:rFonts w:ascii="Arial" w:hAnsi="Arial" w:cs="Arial"/>
          <w:sz w:val="22"/>
          <w:szCs w:val="22"/>
        </w:rPr>
        <w:t>] Simply Psychology.</w:t>
      </w:r>
      <w:r w:rsidR="003364AD" w:rsidRPr="00D946C4">
        <w:rPr>
          <w:rFonts w:ascii="Arial" w:hAnsi="Arial" w:cs="Arial"/>
          <w:sz w:val="22"/>
          <w:szCs w:val="22"/>
        </w:rPr>
        <w:t xml:space="preserve"> </w:t>
      </w:r>
      <w:r w:rsidRPr="00D946C4">
        <w:rPr>
          <w:rFonts w:ascii="Arial" w:hAnsi="Arial" w:cs="Arial"/>
          <w:sz w:val="22"/>
          <w:szCs w:val="22"/>
        </w:rPr>
        <w:t>https://www.simplypsychology.org/bandura.html.</w:t>
      </w:r>
    </w:p>
    <w:p w14:paraId="2A6C0BEF" w14:textId="5179DF10" w:rsidR="001B4168" w:rsidRPr="00D946C4" w:rsidRDefault="001B4168"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lastRenderedPageBreak/>
        <w:t xml:space="preserve">McLeod, S. (2018). </w:t>
      </w:r>
      <w:r w:rsidRPr="00D946C4">
        <w:rPr>
          <w:rFonts w:ascii="Arial" w:hAnsi="Arial" w:cs="Arial"/>
          <w:i/>
          <w:iCs/>
          <w:sz w:val="22"/>
          <w:szCs w:val="22"/>
        </w:rPr>
        <w:t>What Is Operant Conditioning and How Does It Work?</w:t>
      </w:r>
      <w:r w:rsidRPr="00D946C4">
        <w:rPr>
          <w:rFonts w:ascii="Arial" w:hAnsi="Arial" w:cs="Arial"/>
          <w:sz w:val="22"/>
          <w:szCs w:val="22"/>
        </w:rPr>
        <w:t xml:space="preserve"> [Dyddiad mynediad 23/02/2023]  </w:t>
      </w:r>
      <w:hyperlink r:id="rId9" w:history="1">
        <w:r w:rsidR="00C15742" w:rsidRPr="00D946C4">
          <w:rPr>
            <w:rStyle w:val="Hyperlink"/>
            <w:rFonts w:ascii="Arial" w:hAnsi="Arial" w:cs="Arial"/>
            <w:sz w:val="22"/>
            <w:szCs w:val="22"/>
          </w:rPr>
          <w:t>https://www.simplypsychology.org/operant-conditioning.html</w:t>
        </w:r>
      </w:hyperlink>
      <w:r w:rsidRPr="00D946C4">
        <w:rPr>
          <w:rFonts w:ascii="Arial" w:hAnsi="Arial" w:cs="Arial"/>
          <w:sz w:val="22"/>
          <w:szCs w:val="22"/>
        </w:rPr>
        <w:t>.</w:t>
      </w:r>
    </w:p>
    <w:p w14:paraId="4B6F4E0A" w14:textId="39E4BB7A" w:rsidR="00D946C4" w:rsidRPr="00D946C4" w:rsidRDefault="00D946C4"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t xml:space="preserve">Miller, T., Birch, M., Mauthner, M.L. and Jessop, J. (2012). </w:t>
      </w:r>
      <w:r w:rsidRPr="00D946C4">
        <w:rPr>
          <w:rFonts w:ascii="Arial" w:hAnsi="Arial" w:cs="Arial"/>
          <w:i/>
          <w:iCs/>
          <w:sz w:val="22"/>
          <w:szCs w:val="22"/>
        </w:rPr>
        <w:t>Ethics in qualitative research</w:t>
      </w:r>
      <w:r w:rsidRPr="00D946C4">
        <w:rPr>
          <w:rFonts w:ascii="Arial" w:hAnsi="Arial" w:cs="Arial"/>
          <w:sz w:val="22"/>
          <w:szCs w:val="22"/>
        </w:rPr>
        <w:t>. Los Angeles, Calif.: London : SAGE.</w:t>
      </w:r>
    </w:p>
    <w:p w14:paraId="3E2A3683" w14:textId="5793B8DD" w:rsidR="009237AF" w:rsidRPr="005D0392" w:rsidRDefault="009237AF"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NSPCC (d.d.). </w:t>
      </w:r>
      <w:r w:rsidRPr="005D0392">
        <w:rPr>
          <w:rFonts w:ascii="Arial" w:hAnsi="Arial" w:cs="Arial"/>
          <w:i/>
          <w:iCs/>
          <w:sz w:val="22"/>
          <w:szCs w:val="22"/>
        </w:rPr>
        <w:t>Research with children: ethics, safety and promoting inclusion</w:t>
      </w:r>
      <w:r w:rsidRPr="005D0392">
        <w:rPr>
          <w:rFonts w:ascii="Arial" w:hAnsi="Arial" w:cs="Arial"/>
          <w:sz w:val="22"/>
          <w:szCs w:val="22"/>
        </w:rPr>
        <w:t>. [Dyddiad mynediad 27/02/2023] https://learning.nspcc.org.uk/research-resources/briefings/research-with-children-ethics-safety-promoting-inclusion.</w:t>
      </w:r>
    </w:p>
    <w:p w14:paraId="3E34B8DF" w14:textId="15B5184A" w:rsidR="004D3BFE" w:rsidRPr="005D0392" w:rsidRDefault="004D3BFE"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Omomia, O.A. and Omomia, T.A. (2014). Relevance of Skinner’s Theory of Reinforcement on Effective School Evaluaution and Management. </w:t>
      </w:r>
      <w:r w:rsidRPr="005D0392">
        <w:rPr>
          <w:rFonts w:ascii="Arial" w:hAnsi="Arial" w:cs="Arial"/>
          <w:i/>
          <w:iCs/>
          <w:sz w:val="22"/>
          <w:szCs w:val="22"/>
        </w:rPr>
        <w:t>European Journal of Psychological Studies</w:t>
      </w:r>
      <w:r w:rsidRPr="005D0392">
        <w:rPr>
          <w:rFonts w:ascii="Arial" w:hAnsi="Arial" w:cs="Arial"/>
          <w:sz w:val="22"/>
          <w:szCs w:val="22"/>
        </w:rPr>
        <w:t>, 4(4), tud.174–180.</w:t>
      </w:r>
    </w:p>
    <w:p w14:paraId="76DBD6EA" w14:textId="5E199AAD" w:rsidR="00661C27" w:rsidRPr="005D0392" w:rsidRDefault="00661C27"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Ozer, Elizabeth.M. (2022). American Psychologist. </w:t>
      </w:r>
      <w:r w:rsidRPr="005D0392">
        <w:rPr>
          <w:rFonts w:ascii="Arial" w:hAnsi="Arial" w:cs="Arial"/>
          <w:i/>
          <w:iCs/>
          <w:sz w:val="22"/>
          <w:szCs w:val="22"/>
        </w:rPr>
        <w:t>Albert Bandura (1925-2021)</w:t>
      </w:r>
      <w:r w:rsidRPr="005D0392">
        <w:rPr>
          <w:rFonts w:ascii="Arial" w:hAnsi="Arial" w:cs="Arial"/>
          <w:sz w:val="22"/>
          <w:szCs w:val="22"/>
        </w:rPr>
        <w:t>, 77(3), tud.483–484.</w:t>
      </w:r>
    </w:p>
    <w:p w14:paraId="6712F93B" w14:textId="3A11492B" w:rsidR="00012075" w:rsidRPr="005D0392" w:rsidRDefault="00012075"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Save the Children (2004). </w:t>
      </w:r>
      <w:r w:rsidRPr="005D0392">
        <w:rPr>
          <w:rFonts w:ascii="Arial" w:hAnsi="Arial" w:cs="Arial"/>
          <w:i/>
          <w:iCs/>
          <w:sz w:val="22"/>
          <w:szCs w:val="22"/>
        </w:rPr>
        <w:t>So You Want to Involve Children in Research?</w:t>
      </w:r>
      <w:r w:rsidRPr="005D0392">
        <w:rPr>
          <w:rFonts w:ascii="Arial" w:hAnsi="Arial" w:cs="Arial"/>
          <w:sz w:val="22"/>
          <w:szCs w:val="22"/>
        </w:rPr>
        <w:t xml:space="preserve"> [Dyddiad mynediad 27/02/2023] </w:t>
      </w:r>
      <w:hyperlink r:id="rId10" w:history="1">
        <w:r w:rsidRPr="005D0392">
          <w:rPr>
            <w:rStyle w:val="Hyperlink"/>
            <w:rFonts w:ascii="Arial" w:hAnsi="Arial" w:cs="Arial"/>
            <w:sz w:val="22"/>
            <w:szCs w:val="22"/>
          </w:rPr>
          <w:t>https://www.savethechildren.org.uk/content/dam/global/reports/education-and-child-protection/so-you-want-to-involve-children-in-research.pdf</w:t>
        </w:r>
      </w:hyperlink>
      <w:r w:rsidRPr="005D0392">
        <w:rPr>
          <w:rFonts w:ascii="Arial" w:hAnsi="Arial" w:cs="Arial"/>
          <w:sz w:val="22"/>
          <w:szCs w:val="22"/>
        </w:rPr>
        <w:t>, tud.27-40</w:t>
      </w:r>
    </w:p>
    <w:p w14:paraId="7351D639" w14:textId="1247D1D0" w:rsidR="00C15742" w:rsidRPr="005D0392" w:rsidRDefault="00C15742"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Schunk, D.H. (1983). Reward contingencies and the development of children’s skills and self-efficacy. </w:t>
      </w:r>
      <w:r w:rsidRPr="005D0392">
        <w:rPr>
          <w:rFonts w:ascii="Arial" w:hAnsi="Arial" w:cs="Arial"/>
          <w:i/>
          <w:iCs/>
          <w:sz w:val="22"/>
          <w:szCs w:val="22"/>
        </w:rPr>
        <w:t>Journal of Educational Psychology</w:t>
      </w:r>
      <w:r w:rsidRPr="005D0392">
        <w:rPr>
          <w:rFonts w:ascii="Arial" w:hAnsi="Arial" w:cs="Arial"/>
          <w:sz w:val="22"/>
          <w:szCs w:val="22"/>
        </w:rPr>
        <w:t>, 75(4), tud.511–518.</w:t>
      </w:r>
    </w:p>
    <w:p w14:paraId="1B9753E8" w14:textId="72FE3665" w:rsidR="002D420F" w:rsidRPr="005D0392" w:rsidRDefault="002D420F"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Scott, T.M. and Landrum, T.J. (2020). Positive Reinforcement in Schools: Logic and Application. </w:t>
      </w:r>
      <w:r w:rsidRPr="005D0392">
        <w:rPr>
          <w:rFonts w:ascii="Arial" w:hAnsi="Arial" w:cs="Arial"/>
          <w:i/>
          <w:iCs/>
          <w:sz w:val="22"/>
          <w:szCs w:val="22"/>
        </w:rPr>
        <w:t>Beyond Behavior</w:t>
      </w:r>
      <w:r w:rsidRPr="005D0392">
        <w:rPr>
          <w:rFonts w:ascii="Arial" w:hAnsi="Arial" w:cs="Arial"/>
          <w:sz w:val="22"/>
          <w:szCs w:val="22"/>
        </w:rPr>
        <w:t>, 29(2), tud.67–68. doi:https://doi.org/10.1177/1074295620934702.</w:t>
      </w:r>
    </w:p>
    <w:p w14:paraId="1BABEB09" w14:textId="7ECC674F" w:rsidR="00C15742" w:rsidRPr="005D0392" w:rsidRDefault="00C15742"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Sian Wyn Siencyn (2010). </w:t>
      </w:r>
      <w:r w:rsidRPr="005D0392">
        <w:rPr>
          <w:rFonts w:ascii="Arial" w:hAnsi="Arial" w:cs="Arial"/>
          <w:i/>
          <w:iCs/>
          <w:sz w:val="22"/>
          <w:szCs w:val="22"/>
        </w:rPr>
        <w:t>Y Cyfnod Sylfaen 3-7 oed : athroniaeth, ymchwil ac ymarfer</w:t>
      </w:r>
      <w:r w:rsidRPr="005D0392">
        <w:rPr>
          <w:rFonts w:ascii="Arial" w:hAnsi="Arial" w:cs="Arial"/>
          <w:sz w:val="22"/>
          <w:szCs w:val="22"/>
        </w:rPr>
        <w:t>. Caerfyrddin: Cyhoeddiadau Prifysgol Cymru Y Drindod Dewi Sant, tud.120.</w:t>
      </w:r>
    </w:p>
    <w:p w14:paraId="2C32704A" w14:textId="3536C970" w:rsidR="00B12E82" w:rsidRDefault="00B12E82"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UKRI (2021). </w:t>
      </w:r>
      <w:r w:rsidRPr="005D0392">
        <w:rPr>
          <w:rFonts w:ascii="Arial" w:hAnsi="Arial" w:cs="Arial"/>
          <w:i/>
          <w:iCs/>
          <w:sz w:val="22"/>
          <w:szCs w:val="22"/>
        </w:rPr>
        <w:t>Research with children and young people</w:t>
      </w:r>
      <w:r w:rsidRPr="005D0392">
        <w:rPr>
          <w:rFonts w:ascii="Arial" w:hAnsi="Arial" w:cs="Arial"/>
          <w:sz w:val="22"/>
          <w:szCs w:val="22"/>
        </w:rPr>
        <w:t xml:space="preserve">. [Dyddiad mynediad 27/02/2023] </w:t>
      </w:r>
      <w:hyperlink r:id="rId11" w:history="1">
        <w:r w:rsidR="00D946C4" w:rsidRPr="00B72F34">
          <w:rPr>
            <w:rStyle w:val="Hyperlink"/>
            <w:rFonts w:ascii="Arial" w:hAnsi="Arial" w:cs="Arial"/>
            <w:sz w:val="22"/>
            <w:szCs w:val="22"/>
          </w:rPr>
          <w:t>https://www.ukri.org/councils/esrc/guidance-for-applicants/research-ethics-guidance/research-with-children-and-young-people/</w:t>
        </w:r>
      </w:hyperlink>
      <w:r w:rsidRPr="005D0392">
        <w:rPr>
          <w:rFonts w:ascii="Arial" w:hAnsi="Arial" w:cs="Arial"/>
          <w:sz w:val="22"/>
          <w:szCs w:val="22"/>
        </w:rPr>
        <w:t>.</w:t>
      </w:r>
    </w:p>
    <w:p w14:paraId="3E1BDE50" w14:textId="11DAA6A1" w:rsidR="00D946C4" w:rsidRDefault="00D946C4" w:rsidP="005D0392">
      <w:pPr>
        <w:pStyle w:val="NormalWeb"/>
        <w:spacing w:before="0" w:beforeAutospacing="0" w:after="240" w:afterAutospacing="0" w:line="360" w:lineRule="auto"/>
        <w:rPr>
          <w:rFonts w:ascii="Arial" w:hAnsi="Arial" w:cs="Arial"/>
          <w:sz w:val="22"/>
          <w:szCs w:val="22"/>
        </w:rPr>
      </w:pPr>
    </w:p>
    <w:p w14:paraId="0C373945" w14:textId="3D9CCA2F" w:rsidR="00D946C4" w:rsidRDefault="00D946C4" w:rsidP="005D0392">
      <w:pPr>
        <w:pStyle w:val="NormalWeb"/>
        <w:spacing w:before="0" w:beforeAutospacing="0" w:after="240" w:afterAutospacing="0" w:line="360" w:lineRule="auto"/>
        <w:rPr>
          <w:rFonts w:ascii="Arial" w:hAnsi="Arial" w:cs="Arial"/>
          <w:sz w:val="22"/>
          <w:szCs w:val="22"/>
        </w:rPr>
      </w:pPr>
    </w:p>
    <w:p w14:paraId="0D189ADC" w14:textId="77777777" w:rsidR="00D946C4" w:rsidRDefault="00D946C4" w:rsidP="005D0392">
      <w:pPr>
        <w:pStyle w:val="NormalWeb"/>
        <w:spacing w:before="0" w:beforeAutospacing="0" w:after="240" w:afterAutospacing="0" w:line="360" w:lineRule="auto"/>
        <w:rPr>
          <w:rFonts w:ascii="Arial" w:hAnsi="Arial" w:cs="Arial"/>
          <w:sz w:val="22"/>
          <w:szCs w:val="22"/>
        </w:rPr>
      </w:pPr>
    </w:p>
    <w:p w14:paraId="0F86CF22" w14:textId="43E396AF" w:rsidR="00D946C4" w:rsidRDefault="00D946C4" w:rsidP="005D0392">
      <w:pPr>
        <w:pStyle w:val="NormalWeb"/>
        <w:spacing w:before="0" w:beforeAutospacing="0" w:after="240" w:afterAutospacing="0" w:line="360" w:lineRule="auto"/>
        <w:rPr>
          <w:rFonts w:ascii="Arial" w:hAnsi="Arial" w:cs="Arial"/>
          <w:b/>
          <w:bCs/>
          <w:sz w:val="28"/>
          <w:szCs w:val="28"/>
          <w:u w:val="single"/>
        </w:rPr>
      </w:pPr>
      <w:r>
        <w:rPr>
          <w:rFonts w:ascii="Arial" w:hAnsi="Arial" w:cs="Arial"/>
          <w:b/>
          <w:bCs/>
          <w:sz w:val="28"/>
          <w:szCs w:val="28"/>
          <w:u w:val="single"/>
        </w:rPr>
        <w:lastRenderedPageBreak/>
        <w:t>Atodiadau</w:t>
      </w:r>
    </w:p>
    <w:p w14:paraId="2C57DE9B" w14:textId="53CD0A99" w:rsidR="00D946C4" w:rsidRDefault="00D946C4" w:rsidP="005D0392">
      <w:pPr>
        <w:pStyle w:val="NormalWeb"/>
        <w:spacing w:before="0" w:beforeAutospacing="0" w:after="240" w:afterAutospacing="0" w:line="360" w:lineRule="auto"/>
        <w:rPr>
          <w:rFonts w:ascii="Arial" w:hAnsi="Arial" w:cs="Arial"/>
          <w:b/>
          <w:bCs/>
          <w:sz w:val="28"/>
          <w:szCs w:val="28"/>
        </w:rPr>
      </w:pPr>
      <w:r>
        <w:rPr>
          <w:rFonts w:ascii="Arial" w:hAnsi="Arial" w:cs="Arial"/>
          <w:b/>
          <w:bCs/>
          <w:sz w:val="28"/>
          <w:szCs w:val="28"/>
        </w:rPr>
        <w:t>Atodiad 1-</w:t>
      </w:r>
    </w:p>
    <w:p w14:paraId="2F82ABF3" w14:textId="74379785" w:rsidR="002A4CF6" w:rsidRDefault="002A4CF6" w:rsidP="005D0392">
      <w:pPr>
        <w:pStyle w:val="NormalWeb"/>
        <w:spacing w:before="0" w:beforeAutospacing="0" w:after="240" w:afterAutospacing="0" w:line="360" w:lineRule="auto"/>
        <w:rPr>
          <w:noProof/>
        </w:rPr>
      </w:pPr>
      <w:r>
        <w:rPr>
          <w:noProof/>
        </w:rPr>
        <w:drawing>
          <wp:inline distT="0" distB="0" distL="0" distR="0" wp14:anchorId="13BCBC8F" wp14:editId="04710C03">
            <wp:extent cx="5729775" cy="3497580"/>
            <wp:effectExtent l="0" t="0" r="4445" b="762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2"/>
                    <a:srcRect l="23665" t="27418" r="22756" b="14437"/>
                    <a:stretch/>
                  </pic:blipFill>
                  <pic:spPr bwMode="auto">
                    <a:xfrm>
                      <a:off x="0" y="0"/>
                      <a:ext cx="5762658" cy="3517652"/>
                    </a:xfrm>
                    <a:prstGeom prst="rect">
                      <a:avLst/>
                    </a:prstGeom>
                    <a:ln>
                      <a:noFill/>
                    </a:ln>
                    <a:extLst>
                      <a:ext uri="{53640926-AAD7-44D8-BBD7-CCE9431645EC}">
                        <a14:shadowObscured xmlns:a14="http://schemas.microsoft.com/office/drawing/2010/main"/>
                      </a:ext>
                    </a:extLst>
                  </pic:spPr>
                </pic:pic>
              </a:graphicData>
            </a:graphic>
          </wp:inline>
        </w:drawing>
      </w:r>
    </w:p>
    <w:p w14:paraId="0AC3A2E4" w14:textId="77777777" w:rsidR="00A94CBB" w:rsidRDefault="00A94CBB" w:rsidP="005D0392">
      <w:pPr>
        <w:pStyle w:val="NormalWeb"/>
        <w:spacing w:before="0" w:beforeAutospacing="0" w:after="240" w:afterAutospacing="0" w:line="360" w:lineRule="auto"/>
        <w:rPr>
          <w:noProof/>
        </w:rPr>
      </w:pPr>
    </w:p>
    <w:p w14:paraId="7C1C7302" w14:textId="7017A3B8" w:rsidR="002A4CF6" w:rsidRDefault="00A94CBB" w:rsidP="005D039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67A0487F" wp14:editId="190F03F6">
            <wp:extent cx="5757605" cy="3473249"/>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13"/>
                    <a:srcRect l="23399" t="26236" r="25415" b="19637"/>
                    <a:stretch/>
                  </pic:blipFill>
                  <pic:spPr bwMode="auto">
                    <a:xfrm>
                      <a:off x="0" y="0"/>
                      <a:ext cx="5774376" cy="3483366"/>
                    </a:xfrm>
                    <a:prstGeom prst="rect">
                      <a:avLst/>
                    </a:prstGeom>
                    <a:ln>
                      <a:noFill/>
                    </a:ln>
                    <a:extLst>
                      <a:ext uri="{53640926-AAD7-44D8-BBD7-CCE9431645EC}">
                        <a14:shadowObscured xmlns:a14="http://schemas.microsoft.com/office/drawing/2010/main"/>
                      </a:ext>
                    </a:extLst>
                  </pic:spPr>
                </pic:pic>
              </a:graphicData>
            </a:graphic>
          </wp:inline>
        </w:drawing>
      </w:r>
    </w:p>
    <w:p w14:paraId="55F0C241" w14:textId="653530B1" w:rsidR="00A94CBB" w:rsidRDefault="00A94CBB" w:rsidP="005D0392">
      <w:pPr>
        <w:pStyle w:val="NormalWeb"/>
        <w:spacing w:before="0" w:beforeAutospacing="0" w:after="240" w:afterAutospacing="0" w:line="360" w:lineRule="auto"/>
        <w:rPr>
          <w:rFonts w:ascii="Arial" w:hAnsi="Arial" w:cs="Arial"/>
          <w:b/>
          <w:bCs/>
          <w:sz w:val="28"/>
          <w:szCs w:val="28"/>
        </w:rPr>
      </w:pPr>
      <w:r>
        <w:rPr>
          <w:rFonts w:ascii="Arial" w:hAnsi="Arial" w:cs="Arial"/>
          <w:b/>
          <w:bCs/>
          <w:sz w:val="28"/>
          <w:szCs w:val="28"/>
        </w:rPr>
        <w:lastRenderedPageBreak/>
        <w:t>Atodiad 2</w:t>
      </w:r>
    </w:p>
    <w:p w14:paraId="061713B5" w14:textId="77777777" w:rsidR="00180937" w:rsidRDefault="00180937" w:rsidP="005D0392">
      <w:pPr>
        <w:pStyle w:val="NormalWeb"/>
        <w:spacing w:before="0" w:beforeAutospacing="0" w:after="240" w:afterAutospacing="0" w:line="360" w:lineRule="auto"/>
        <w:rPr>
          <w:noProof/>
        </w:rPr>
      </w:pPr>
    </w:p>
    <w:p w14:paraId="4499E292" w14:textId="78023CF3" w:rsidR="00A94CBB" w:rsidRDefault="00180937" w:rsidP="005D039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01A9B27A" wp14:editId="0CD10C3E">
            <wp:extent cx="5600700" cy="343424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4"/>
                    <a:srcRect l="27387" t="29308" r="26213" b="20111"/>
                    <a:stretch/>
                  </pic:blipFill>
                  <pic:spPr bwMode="auto">
                    <a:xfrm>
                      <a:off x="0" y="0"/>
                      <a:ext cx="5617776" cy="3444710"/>
                    </a:xfrm>
                    <a:prstGeom prst="rect">
                      <a:avLst/>
                    </a:prstGeom>
                    <a:ln>
                      <a:noFill/>
                    </a:ln>
                    <a:extLst>
                      <a:ext uri="{53640926-AAD7-44D8-BBD7-CCE9431645EC}">
                        <a14:shadowObscured xmlns:a14="http://schemas.microsoft.com/office/drawing/2010/main"/>
                      </a:ext>
                    </a:extLst>
                  </pic:spPr>
                </pic:pic>
              </a:graphicData>
            </a:graphic>
          </wp:inline>
        </w:drawing>
      </w:r>
    </w:p>
    <w:p w14:paraId="5389E065" w14:textId="77777777" w:rsidR="00180937" w:rsidRDefault="00180937" w:rsidP="005D0392">
      <w:pPr>
        <w:pStyle w:val="NormalWeb"/>
        <w:spacing w:before="0" w:beforeAutospacing="0" w:after="240" w:afterAutospacing="0" w:line="360" w:lineRule="auto"/>
        <w:rPr>
          <w:noProof/>
        </w:rPr>
      </w:pPr>
    </w:p>
    <w:p w14:paraId="08E924A7" w14:textId="42B5CD18" w:rsidR="00180937" w:rsidRPr="00D946C4" w:rsidRDefault="00180937" w:rsidP="005D039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5B28714C" wp14:editId="26AE1FB4">
            <wp:extent cx="5494020" cy="3146427"/>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5"/>
                    <a:srcRect l="26989" t="35690" r="28207" b="18693"/>
                    <a:stretch/>
                  </pic:blipFill>
                  <pic:spPr bwMode="auto">
                    <a:xfrm>
                      <a:off x="0" y="0"/>
                      <a:ext cx="5504051" cy="3152172"/>
                    </a:xfrm>
                    <a:prstGeom prst="rect">
                      <a:avLst/>
                    </a:prstGeom>
                    <a:ln>
                      <a:noFill/>
                    </a:ln>
                    <a:extLst>
                      <a:ext uri="{53640926-AAD7-44D8-BBD7-CCE9431645EC}">
                        <a14:shadowObscured xmlns:a14="http://schemas.microsoft.com/office/drawing/2010/main"/>
                      </a:ext>
                    </a:extLst>
                  </pic:spPr>
                </pic:pic>
              </a:graphicData>
            </a:graphic>
          </wp:inline>
        </w:drawing>
      </w:r>
    </w:p>
    <w:p w14:paraId="02A439AA" w14:textId="77777777" w:rsidR="00B12E82" w:rsidRDefault="00B12E82" w:rsidP="00C15742">
      <w:pPr>
        <w:pStyle w:val="NormalWeb"/>
        <w:spacing w:before="0" w:beforeAutospacing="0" w:after="240" w:afterAutospacing="0" w:line="360" w:lineRule="auto"/>
        <w:rPr>
          <w:rFonts w:ascii="Arial" w:hAnsi="Arial" w:cs="Arial"/>
        </w:rPr>
      </w:pPr>
    </w:p>
    <w:p w14:paraId="6D100658" w14:textId="2EE6940B" w:rsidR="00C15742" w:rsidRDefault="00180937" w:rsidP="00C15742">
      <w:pPr>
        <w:pStyle w:val="NormalWeb"/>
        <w:spacing w:before="0" w:beforeAutospacing="0" w:after="240" w:afterAutospacing="0" w:line="360" w:lineRule="auto"/>
        <w:rPr>
          <w:rFonts w:ascii="Arial" w:hAnsi="Arial" w:cs="Arial"/>
          <w:b/>
          <w:bCs/>
          <w:sz w:val="28"/>
          <w:szCs w:val="28"/>
        </w:rPr>
      </w:pPr>
      <w:r w:rsidRPr="00180937">
        <w:rPr>
          <w:rFonts w:ascii="Arial" w:hAnsi="Arial" w:cs="Arial"/>
          <w:b/>
          <w:bCs/>
          <w:sz w:val="28"/>
          <w:szCs w:val="28"/>
        </w:rPr>
        <w:lastRenderedPageBreak/>
        <w:t>Atodiad 3</w:t>
      </w:r>
    </w:p>
    <w:p w14:paraId="1BD90780" w14:textId="77777777" w:rsidR="00EC5CFC" w:rsidRDefault="00EC5CFC" w:rsidP="00C15742">
      <w:pPr>
        <w:pStyle w:val="NormalWeb"/>
        <w:spacing w:before="0" w:beforeAutospacing="0" w:after="240" w:afterAutospacing="0" w:line="360" w:lineRule="auto"/>
        <w:rPr>
          <w:noProof/>
        </w:rPr>
      </w:pPr>
    </w:p>
    <w:p w14:paraId="5ECA3273" w14:textId="34A0E75F" w:rsidR="00180937" w:rsidRPr="00180937" w:rsidRDefault="00EC5CFC" w:rsidP="00C1574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32587499" wp14:editId="0FC5D29B">
            <wp:extent cx="3375660" cy="4409646"/>
            <wp:effectExtent l="0" t="0" r="0" b="0"/>
            <wp:docPr id="5" name="Picture 5"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website&#10;&#10;Description automatically generated"/>
                    <pic:cNvPicPr/>
                  </pic:nvPicPr>
                  <pic:blipFill rotWithShape="1">
                    <a:blip r:embed="rId16"/>
                    <a:srcRect l="34700" t="21272" r="35785" b="10183"/>
                    <a:stretch/>
                  </pic:blipFill>
                  <pic:spPr bwMode="auto">
                    <a:xfrm>
                      <a:off x="0" y="0"/>
                      <a:ext cx="3389633" cy="4427899"/>
                    </a:xfrm>
                    <a:prstGeom prst="rect">
                      <a:avLst/>
                    </a:prstGeom>
                    <a:ln>
                      <a:noFill/>
                    </a:ln>
                    <a:extLst>
                      <a:ext uri="{53640926-AAD7-44D8-BBD7-CCE9431645EC}">
                        <a14:shadowObscured xmlns:a14="http://schemas.microsoft.com/office/drawing/2010/main"/>
                      </a:ext>
                    </a:extLst>
                  </pic:spPr>
                </pic:pic>
              </a:graphicData>
            </a:graphic>
          </wp:inline>
        </w:drawing>
      </w:r>
    </w:p>
    <w:p w14:paraId="68CD6B2C" w14:textId="61940488" w:rsidR="00EC5CFC" w:rsidRDefault="00EC5CFC" w:rsidP="001B4168">
      <w:pPr>
        <w:pStyle w:val="NormalWeb"/>
        <w:spacing w:before="0" w:beforeAutospacing="0" w:after="240" w:afterAutospacing="0" w:line="360" w:lineRule="auto"/>
        <w:rPr>
          <w:rFonts w:ascii="Arial" w:hAnsi="Arial" w:cs="Arial"/>
          <w:b/>
          <w:bCs/>
          <w:sz w:val="28"/>
          <w:szCs w:val="28"/>
        </w:rPr>
      </w:pPr>
      <w:r w:rsidRPr="00EC5CFC">
        <w:rPr>
          <w:rFonts w:ascii="Arial" w:hAnsi="Arial" w:cs="Arial"/>
          <w:b/>
          <w:bCs/>
          <w:sz w:val="28"/>
          <w:szCs w:val="28"/>
        </w:rPr>
        <w:t>Atodiad 4</w:t>
      </w:r>
    </w:p>
    <w:p w14:paraId="067ECD85" w14:textId="25A5E382" w:rsidR="00EC5CFC" w:rsidRPr="00EC5CFC" w:rsidRDefault="00EC5CFC" w:rsidP="001B4168">
      <w:pPr>
        <w:pStyle w:val="NormalWeb"/>
        <w:spacing w:before="0" w:beforeAutospacing="0" w:after="240" w:afterAutospacing="0" w:line="360" w:lineRule="auto"/>
        <w:rPr>
          <w:rFonts w:ascii="Arial" w:hAnsi="Arial" w:cs="Arial"/>
          <w:b/>
          <w:bCs/>
          <w:sz w:val="22"/>
          <w:szCs w:val="22"/>
        </w:rPr>
      </w:pPr>
      <w:r w:rsidRPr="00EC5CFC">
        <w:rPr>
          <w:rFonts w:ascii="Arial" w:hAnsi="Arial" w:cs="Arial"/>
          <w:sz w:val="22"/>
          <w:szCs w:val="22"/>
        </w:rPr>
        <w:t xml:space="preserve">Lleolir </w:t>
      </w:r>
      <w:r w:rsidRPr="00EC5CFC">
        <w:rPr>
          <w:rFonts w:ascii="Arial" w:hAnsi="Arial" w:cs="Arial"/>
          <w:sz w:val="22"/>
          <w:szCs w:val="22"/>
          <w:highlight w:val="black"/>
        </w:rPr>
        <w:t>Ysgol y Bedol ym mhentref Glanaman, yn Sir Gaerfyrddin</w:t>
      </w:r>
      <w:r w:rsidRPr="00EC5CFC">
        <w:rPr>
          <w:rFonts w:ascii="Arial" w:hAnsi="Arial" w:cs="Arial"/>
          <w:sz w:val="22"/>
          <w:szCs w:val="22"/>
        </w:rPr>
        <w:t>. Mae 357 disgybl rhwng 3 ac 11 oed ar y gofrestr, yn cynnwys 9 oed meithrin amser llawn a 37 oed meithrin rhan amser. Fe’u rhennir yn 14 dosbarth, gan gynnwys 3 dosbarth oed cymysg. Tua 30% o’r disgyblion ar gyfartaledd dros dreigl 3 blynedd sy’n gymwys i dderbyn prydau ysgol am ddim. Mae hyn yn sylweddol uwch na’r ganran genedlaethol, sy’n 18%. Mae ychydig o’r disgyblion yn siarad Cymraeg gartref ac ychydig iawn sydd o gefndir lleiafrifol ethnig. Mae’r ysgol wedi adnabod 38% o’i disgyblion fel rhai sydd ag anghenion dysgu ychwanegol. Mae hyn eto yn sylweddol uwch na’r ganran genedlaethol, sy’n 21%. Mae gan ychydig iawn o ddisgyblion ddatganiad o anghenion addysgol arbennig.</w:t>
      </w:r>
    </w:p>
    <w:p w14:paraId="4B5B2CDE" w14:textId="77777777" w:rsidR="001B4168" w:rsidRDefault="001B4168" w:rsidP="001B4168">
      <w:pPr>
        <w:pStyle w:val="NormalWeb"/>
        <w:spacing w:before="0" w:beforeAutospacing="0" w:after="240" w:afterAutospacing="0" w:line="360" w:lineRule="auto"/>
        <w:rPr>
          <w:rFonts w:ascii="Arial" w:hAnsi="Arial" w:cs="Arial"/>
        </w:rPr>
      </w:pPr>
    </w:p>
    <w:p w14:paraId="3B9D9AF6" w14:textId="77777777" w:rsidR="001B4168" w:rsidRDefault="001B4168" w:rsidP="001B4168">
      <w:pPr>
        <w:pStyle w:val="NormalWeb"/>
        <w:spacing w:before="0" w:beforeAutospacing="0" w:after="240" w:afterAutospacing="0" w:line="360" w:lineRule="auto"/>
        <w:rPr>
          <w:rFonts w:ascii="Arial" w:hAnsi="Arial" w:cs="Arial"/>
        </w:rPr>
      </w:pPr>
    </w:p>
    <w:p w14:paraId="4F85A64F" w14:textId="77777777" w:rsidR="001B4168" w:rsidRDefault="001B4168">
      <w:pPr>
        <w:rPr>
          <w:sz w:val="24"/>
          <w:szCs w:val="24"/>
        </w:rPr>
      </w:pPr>
    </w:p>
    <w:p w14:paraId="60CD8A5A" w14:textId="77777777" w:rsidR="00E7741A" w:rsidRPr="004473AD" w:rsidRDefault="00E7741A">
      <w:pPr>
        <w:rPr>
          <w:sz w:val="24"/>
          <w:szCs w:val="24"/>
        </w:rPr>
      </w:pPr>
    </w:p>
    <w:p w14:paraId="1FD61DA3" w14:textId="77777777" w:rsidR="00C468E7" w:rsidRPr="007A0B26" w:rsidRDefault="00C468E7"/>
    <w:sectPr w:rsidR="00C468E7" w:rsidRPr="007A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B26"/>
    <w:rsid w:val="00012075"/>
    <w:rsid w:val="00052F6B"/>
    <w:rsid w:val="0009575F"/>
    <w:rsid w:val="000A2EF9"/>
    <w:rsid w:val="000C4DD9"/>
    <w:rsid w:val="000F0662"/>
    <w:rsid w:val="00106D3C"/>
    <w:rsid w:val="001102A2"/>
    <w:rsid w:val="001221FF"/>
    <w:rsid w:val="00173417"/>
    <w:rsid w:val="00180937"/>
    <w:rsid w:val="00184372"/>
    <w:rsid w:val="00185404"/>
    <w:rsid w:val="001B4168"/>
    <w:rsid w:val="001D0746"/>
    <w:rsid w:val="001F2ED2"/>
    <w:rsid w:val="00205694"/>
    <w:rsid w:val="002137B1"/>
    <w:rsid w:val="00245671"/>
    <w:rsid w:val="00291C05"/>
    <w:rsid w:val="002A4CF6"/>
    <w:rsid w:val="002B5426"/>
    <w:rsid w:val="002D0322"/>
    <w:rsid w:val="002D420F"/>
    <w:rsid w:val="003364AD"/>
    <w:rsid w:val="003F6E67"/>
    <w:rsid w:val="004473AD"/>
    <w:rsid w:val="00471638"/>
    <w:rsid w:val="00491D7D"/>
    <w:rsid w:val="004D2D86"/>
    <w:rsid w:val="004D3BFE"/>
    <w:rsid w:val="004E23AB"/>
    <w:rsid w:val="00514FEB"/>
    <w:rsid w:val="005417E0"/>
    <w:rsid w:val="00560BE5"/>
    <w:rsid w:val="0056651A"/>
    <w:rsid w:val="0058190E"/>
    <w:rsid w:val="005A14AE"/>
    <w:rsid w:val="005D0392"/>
    <w:rsid w:val="005E12B2"/>
    <w:rsid w:val="005E7A38"/>
    <w:rsid w:val="005F0181"/>
    <w:rsid w:val="006178DD"/>
    <w:rsid w:val="00661C27"/>
    <w:rsid w:val="006A65E7"/>
    <w:rsid w:val="006B2F1F"/>
    <w:rsid w:val="006D31DD"/>
    <w:rsid w:val="0079583A"/>
    <w:rsid w:val="007A0B26"/>
    <w:rsid w:val="007D6ED2"/>
    <w:rsid w:val="00837E96"/>
    <w:rsid w:val="008569C9"/>
    <w:rsid w:val="008971C3"/>
    <w:rsid w:val="008C43AF"/>
    <w:rsid w:val="008C7340"/>
    <w:rsid w:val="008E6491"/>
    <w:rsid w:val="009237AF"/>
    <w:rsid w:val="00985218"/>
    <w:rsid w:val="009F50F4"/>
    <w:rsid w:val="00A60E9D"/>
    <w:rsid w:val="00A94CBB"/>
    <w:rsid w:val="00AB518C"/>
    <w:rsid w:val="00AD365D"/>
    <w:rsid w:val="00B12E82"/>
    <w:rsid w:val="00C0199D"/>
    <w:rsid w:val="00C15742"/>
    <w:rsid w:val="00C223A9"/>
    <w:rsid w:val="00C37E38"/>
    <w:rsid w:val="00C468E7"/>
    <w:rsid w:val="00C75895"/>
    <w:rsid w:val="00C94FDC"/>
    <w:rsid w:val="00CA2DEA"/>
    <w:rsid w:val="00CB27DB"/>
    <w:rsid w:val="00CE48C9"/>
    <w:rsid w:val="00CF1DA2"/>
    <w:rsid w:val="00D7321F"/>
    <w:rsid w:val="00D946C4"/>
    <w:rsid w:val="00DA2465"/>
    <w:rsid w:val="00DC10C4"/>
    <w:rsid w:val="00DE04C2"/>
    <w:rsid w:val="00E62363"/>
    <w:rsid w:val="00E7741A"/>
    <w:rsid w:val="00EB2865"/>
    <w:rsid w:val="00EB34DA"/>
    <w:rsid w:val="00EB506C"/>
    <w:rsid w:val="00EB6BC7"/>
    <w:rsid w:val="00EC1583"/>
    <w:rsid w:val="00EC5CFC"/>
    <w:rsid w:val="00EE06CC"/>
    <w:rsid w:val="00EF007C"/>
    <w:rsid w:val="00F11A80"/>
    <w:rsid w:val="00F467DF"/>
    <w:rsid w:val="00F75AC8"/>
    <w:rsid w:val="00F7697D"/>
    <w:rsid w:val="00FC25C7"/>
    <w:rsid w:val="00FC4224"/>
    <w:rsid w:val="00FD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215C"/>
  <w15:chartTrackingRefBased/>
  <w15:docId w15:val="{1793876D-F920-45C8-B7F4-7AF2E8515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3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B416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1B4168"/>
    <w:rPr>
      <w:color w:val="0563C1" w:themeColor="hyperlink"/>
      <w:u w:val="single"/>
    </w:rPr>
  </w:style>
  <w:style w:type="character" w:styleId="UnresolvedMention">
    <w:name w:val="Unresolved Mention"/>
    <w:basedOn w:val="DefaultParagraphFont"/>
    <w:uiPriority w:val="99"/>
    <w:semiHidden/>
    <w:unhideWhenUsed/>
    <w:rsid w:val="001B4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762845">
      <w:bodyDiv w:val="1"/>
      <w:marLeft w:val="0"/>
      <w:marRight w:val="0"/>
      <w:marTop w:val="0"/>
      <w:marBottom w:val="0"/>
      <w:divBdr>
        <w:top w:val="none" w:sz="0" w:space="0" w:color="auto"/>
        <w:left w:val="none" w:sz="0" w:space="0" w:color="auto"/>
        <w:bottom w:val="none" w:sz="0" w:space="0" w:color="auto"/>
        <w:right w:val="none" w:sz="0" w:space="0" w:color="auto"/>
      </w:divBdr>
      <w:divsChild>
        <w:div w:id="1180848564">
          <w:marLeft w:val="0"/>
          <w:marRight w:val="0"/>
          <w:marTop w:val="0"/>
          <w:marBottom w:val="0"/>
          <w:divBdr>
            <w:top w:val="none" w:sz="0" w:space="0" w:color="auto"/>
            <w:left w:val="none" w:sz="0" w:space="0" w:color="auto"/>
            <w:bottom w:val="none" w:sz="0" w:space="0" w:color="auto"/>
            <w:right w:val="none" w:sz="0" w:space="0" w:color="auto"/>
          </w:divBdr>
        </w:div>
      </w:divsChild>
    </w:div>
    <w:div w:id="243345055">
      <w:bodyDiv w:val="1"/>
      <w:marLeft w:val="0"/>
      <w:marRight w:val="0"/>
      <w:marTop w:val="0"/>
      <w:marBottom w:val="0"/>
      <w:divBdr>
        <w:top w:val="none" w:sz="0" w:space="0" w:color="auto"/>
        <w:left w:val="none" w:sz="0" w:space="0" w:color="auto"/>
        <w:bottom w:val="none" w:sz="0" w:space="0" w:color="auto"/>
        <w:right w:val="none" w:sz="0" w:space="0" w:color="auto"/>
      </w:divBdr>
      <w:divsChild>
        <w:div w:id="1115444130">
          <w:marLeft w:val="0"/>
          <w:marRight w:val="0"/>
          <w:marTop w:val="0"/>
          <w:marBottom w:val="0"/>
          <w:divBdr>
            <w:top w:val="none" w:sz="0" w:space="0" w:color="auto"/>
            <w:left w:val="none" w:sz="0" w:space="0" w:color="auto"/>
            <w:bottom w:val="none" w:sz="0" w:space="0" w:color="auto"/>
            <w:right w:val="none" w:sz="0" w:space="0" w:color="auto"/>
          </w:divBdr>
        </w:div>
      </w:divsChild>
    </w:div>
    <w:div w:id="424691929">
      <w:bodyDiv w:val="1"/>
      <w:marLeft w:val="0"/>
      <w:marRight w:val="0"/>
      <w:marTop w:val="0"/>
      <w:marBottom w:val="0"/>
      <w:divBdr>
        <w:top w:val="none" w:sz="0" w:space="0" w:color="auto"/>
        <w:left w:val="none" w:sz="0" w:space="0" w:color="auto"/>
        <w:bottom w:val="none" w:sz="0" w:space="0" w:color="auto"/>
        <w:right w:val="none" w:sz="0" w:space="0" w:color="auto"/>
      </w:divBdr>
      <w:divsChild>
        <w:div w:id="2022244576">
          <w:marLeft w:val="0"/>
          <w:marRight w:val="0"/>
          <w:marTop w:val="0"/>
          <w:marBottom w:val="0"/>
          <w:divBdr>
            <w:top w:val="none" w:sz="0" w:space="0" w:color="auto"/>
            <w:left w:val="none" w:sz="0" w:space="0" w:color="auto"/>
            <w:bottom w:val="none" w:sz="0" w:space="0" w:color="auto"/>
            <w:right w:val="none" w:sz="0" w:space="0" w:color="auto"/>
          </w:divBdr>
        </w:div>
      </w:divsChild>
    </w:div>
    <w:div w:id="428357872">
      <w:bodyDiv w:val="1"/>
      <w:marLeft w:val="0"/>
      <w:marRight w:val="0"/>
      <w:marTop w:val="0"/>
      <w:marBottom w:val="0"/>
      <w:divBdr>
        <w:top w:val="none" w:sz="0" w:space="0" w:color="auto"/>
        <w:left w:val="none" w:sz="0" w:space="0" w:color="auto"/>
        <w:bottom w:val="none" w:sz="0" w:space="0" w:color="auto"/>
        <w:right w:val="none" w:sz="0" w:space="0" w:color="auto"/>
      </w:divBdr>
      <w:divsChild>
        <w:div w:id="1952397787">
          <w:marLeft w:val="0"/>
          <w:marRight w:val="0"/>
          <w:marTop w:val="0"/>
          <w:marBottom w:val="0"/>
          <w:divBdr>
            <w:top w:val="none" w:sz="0" w:space="0" w:color="auto"/>
            <w:left w:val="none" w:sz="0" w:space="0" w:color="auto"/>
            <w:bottom w:val="none" w:sz="0" w:space="0" w:color="auto"/>
            <w:right w:val="none" w:sz="0" w:space="0" w:color="auto"/>
          </w:divBdr>
        </w:div>
      </w:divsChild>
    </w:div>
    <w:div w:id="515581488">
      <w:bodyDiv w:val="1"/>
      <w:marLeft w:val="0"/>
      <w:marRight w:val="0"/>
      <w:marTop w:val="0"/>
      <w:marBottom w:val="0"/>
      <w:divBdr>
        <w:top w:val="none" w:sz="0" w:space="0" w:color="auto"/>
        <w:left w:val="none" w:sz="0" w:space="0" w:color="auto"/>
        <w:bottom w:val="none" w:sz="0" w:space="0" w:color="auto"/>
        <w:right w:val="none" w:sz="0" w:space="0" w:color="auto"/>
      </w:divBdr>
      <w:divsChild>
        <w:div w:id="448478647">
          <w:marLeft w:val="0"/>
          <w:marRight w:val="0"/>
          <w:marTop w:val="0"/>
          <w:marBottom w:val="0"/>
          <w:divBdr>
            <w:top w:val="none" w:sz="0" w:space="0" w:color="auto"/>
            <w:left w:val="none" w:sz="0" w:space="0" w:color="auto"/>
            <w:bottom w:val="none" w:sz="0" w:space="0" w:color="auto"/>
            <w:right w:val="none" w:sz="0" w:space="0" w:color="auto"/>
          </w:divBdr>
        </w:div>
      </w:divsChild>
    </w:div>
    <w:div w:id="651298640">
      <w:bodyDiv w:val="1"/>
      <w:marLeft w:val="0"/>
      <w:marRight w:val="0"/>
      <w:marTop w:val="0"/>
      <w:marBottom w:val="0"/>
      <w:divBdr>
        <w:top w:val="none" w:sz="0" w:space="0" w:color="auto"/>
        <w:left w:val="none" w:sz="0" w:space="0" w:color="auto"/>
        <w:bottom w:val="none" w:sz="0" w:space="0" w:color="auto"/>
        <w:right w:val="none" w:sz="0" w:space="0" w:color="auto"/>
      </w:divBdr>
      <w:divsChild>
        <w:div w:id="95446271">
          <w:marLeft w:val="0"/>
          <w:marRight w:val="0"/>
          <w:marTop w:val="0"/>
          <w:marBottom w:val="0"/>
          <w:divBdr>
            <w:top w:val="none" w:sz="0" w:space="0" w:color="auto"/>
            <w:left w:val="none" w:sz="0" w:space="0" w:color="auto"/>
            <w:bottom w:val="none" w:sz="0" w:space="0" w:color="auto"/>
            <w:right w:val="none" w:sz="0" w:space="0" w:color="auto"/>
          </w:divBdr>
        </w:div>
      </w:divsChild>
    </w:div>
    <w:div w:id="945116805">
      <w:bodyDiv w:val="1"/>
      <w:marLeft w:val="0"/>
      <w:marRight w:val="0"/>
      <w:marTop w:val="0"/>
      <w:marBottom w:val="0"/>
      <w:divBdr>
        <w:top w:val="none" w:sz="0" w:space="0" w:color="auto"/>
        <w:left w:val="none" w:sz="0" w:space="0" w:color="auto"/>
        <w:bottom w:val="none" w:sz="0" w:space="0" w:color="auto"/>
        <w:right w:val="none" w:sz="0" w:space="0" w:color="auto"/>
      </w:divBdr>
      <w:divsChild>
        <w:div w:id="1327511857">
          <w:marLeft w:val="0"/>
          <w:marRight w:val="0"/>
          <w:marTop w:val="0"/>
          <w:marBottom w:val="0"/>
          <w:divBdr>
            <w:top w:val="none" w:sz="0" w:space="0" w:color="auto"/>
            <w:left w:val="none" w:sz="0" w:space="0" w:color="auto"/>
            <w:bottom w:val="none" w:sz="0" w:space="0" w:color="auto"/>
            <w:right w:val="none" w:sz="0" w:space="0" w:color="auto"/>
          </w:divBdr>
        </w:div>
      </w:divsChild>
    </w:div>
    <w:div w:id="977105827">
      <w:bodyDiv w:val="1"/>
      <w:marLeft w:val="0"/>
      <w:marRight w:val="0"/>
      <w:marTop w:val="0"/>
      <w:marBottom w:val="0"/>
      <w:divBdr>
        <w:top w:val="none" w:sz="0" w:space="0" w:color="auto"/>
        <w:left w:val="none" w:sz="0" w:space="0" w:color="auto"/>
        <w:bottom w:val="none" w:sz="0" w:space="0" w:color="auto"/>
        <w:right w:val="none" w:sz="0" w:space="0" w:color="auto"/>
      </w:divBdr>
      <w:divsChild>
        <w:div w:id="985937295">
          <w:marLeft w:val="0"/>
          <w:marRight w:val="0"/>
          <w:marTop w:val="0"/>
          <w:marBottom w:val="0"/>
          <w:divBdr>
            <w:top w:val="none" w:sz="0" w:space="0" w:color="auto"/>
            <w:left w:val="none" w:sz="0" w:space="0" w:color="auto"/>
            <w:bottom w:val="none" w:sz="0" w:space="0" w:color="auto"/>
            <w:right w:val="none" w:sz="0" w:space="0" w:color="auto"/>
          </w:divBdr>
        </w:div>
      </w:divsChild>
    </w:div>
    <w:div w:id="1061446317">
      <w:bodyDiv w:val="1"/>
      <w:marLeft w:val="0"/>
      <w:marRight w:val="0"/>
      <w:marTop w:val="0"/>
      <w:marBottom w:val="0"/>
      <w:divBdr>
        <w:top w:val="none" w:sz="0" w:space="0" w:color="auto"/>
        <w:left w:val="none" w:sz="0" w:space="0" w:color="auto"/>
        <w:bottom w:val="none" w:sz="0" w:space="0" w:color="auto"/>
        <w:right w:val="none" w:sz="0" w:space="0" w:color="auto"/>
      </w:divBdr>
      <w:divsChild>
        <w:div w:id="1110708056">
          <w:marLeft w:val="0"/>
          <w:marRight w:val="0"/>
          <w:marTop w:val="0"/>
          <w:marBottom w:val="0"/>
          <w:divBdr>
            <w:top w:val="none" w:sz="0" w:space="0" w:color="auto"/>
            <w:left w:val="none" w:sz="0" w:space="0" w:color="auto"/>
            <w:bottom w:val="none" w:sz="0" w:space="0" w:color="auto"/>
            <w:right w:val="none" w:sz="0" w:space="0" w:color="auto"/>
          </w:divBdr>
        </w:div>
      </w:divsChild>
    </w:div>
    <w:div w:id="1235161227">
      <w:bodyDiv w:val="1"/>
      <w:marLeft w:val="0"/>
      <w:marRight w:val="0"/>
      <w:marTop w:val="0"/>
      <w:marBottom w:val="0"/>
      <w:divBdr>
        <w:top w:val="none" w:sz="0" w:space="0" w:color="auto"/>
        <w:left w:val="none" w:sz="0" w:space="0" w:color="auto"/>
        <w:bottom w:val="none" w:sz="0" w:space="0" w:color="auto"/>
        <w:right w:val="none" w:sz="0" w:space="0" w:color="auto"/>
      </w:divBdr>
      <w:divsChild>
        <w:div w:id="272522148">
          <w:marLeft w:val="0"/>
          <w:marRight w:val="0"/>
          <w:marTop w:val="0"/>
          <w:marBottom w:val="0"/>
          <w:divBdr>
            <w:top w:val="none" w:sz="0" w:space="0" w:color="auto"/>
            <w:left w:val="none" w:sz="0" w:space="0" w:color="auto"/>
            <w:bottom w:val="none" w:sz="0" w:space="0" w:color="auto"/>
            <w:right w:val="none" w:sz="0" w:space="0" w:color="auto"/>
          </w:divBdr>
        </w:div>
      </w:divsChild>
    </w:div>
    <w:div w:id="1287396054">
      <w:bodyDiv w:val="1"/>
      <w:marLeft w:val="0"/>
      <w:marRight w:val="0"/>
      <w:marTop w:val="0"/>
      <w:marBottom w:val="0"/>
      <w:divBdr>
        <w:top w:val="none" w:sz="0" w:space="0" w:color="auto"/>
        <w:left w:val="none" w:sz="0" w:space="0" w:color="auto"/>
        <w:bottom w:val="none" w:sz="0" w:space="0" w:color="auto"/>
        <w:right w:val="none" w:sz="0" w:space="0" w:color="auto"/>
      </w:divBdr>
      <w:divsChild>
        <w:div w:id="249656393">
          <w:marLeft w:val="0"/>
          <w:marRight w:val="0"/>
          <w:marTop w:val="0"/>
          <w:marBottom w:val="0"/>
          <w:divBdr>
            <w:top w:val="none" w:sz="0" w:space="0" w:color="auto"/>
            <w:left w:val="none" w:sz="0" w:space="0" w:color="auto"/>
            <w:bottom w:val="none" w:sz="0" w:space="0" w:color="auto"/>
            <w:right w:val="none" w:sz="0" w:space="0" w:color="auto"/>
          </w:divBdr>
        </w:div>
      </w:divsChild>
    </w:div>
    <w:div w:id="1299844131">
      <w:bodyDiv w:val="1"/>
      <w:marLeft w:val="0"/>
      <w:marRight w:val="0"/>
      <w:marTop w:val="0"/>
      <w:marBottom w:val="0"/>
      <w:divBdr>
        <w:top w:val="none" w:sz="0" w:space="0" w:color="auto"/>
        <w:left w:val="none" w:sz="0" w:space="0" w:color="auto"/>
        <w:bottom w:val="none" w:sz="0" w:space="0" w:color="auto"/>
        <w:right w:val="none" w:sz="0" w:space="0" w:color="auto"/>
      </w:divBdr>
      <w:divsChild>
        <w:div w:id="1057822597">
          <w:marLeft w:val="0"/>
          <w:marRight w:val="0"/>
          <w:marTop w:val="0"/>
          <w:marBottom w:val="0"/>
          <w:divBdr>
            <w:top w:val="none" w:sz="0" w:space="0" w:color="auto"/>
            <w:left w:val="none" w:sz="0" w:space="0" w:color="auto"/>
            <w:bottom w:val="none" w:sz="0" w:space="0" w:color="auto"/>
            <w:right w:val="none" w:sz="0" w:space="0" w:color="auto"/>
          </w:divBdr>
        </w:div>
      </w:divsChild>
    </w:div>
    <w:div w:id="1377194233">
      <w:bodyDiv w:val="1"/>
      <w:marLeft w:val="0"/>
      <w:marRight w:val="0"/>
      <w:marTop w:val="0"/>
      <w:marBottom w:val="0"/>
      <w:divBdr>
        <w:top w:val="none" w:sz="0" w:space="0" w:color="auto"/>
        <w:left w:val="none" w:sz="0" w:space="0" w:color="auto"/>
        <w:bottom w:val="none" w:sz="0" w:space="0" w:color="auto"/>
        <w:right w:val="none" w:sz="0" w:space="0" w:color="auto"/>
      </w:divBdr>
      <w:divsChild>
        <w:div w:id="1010529200">
          <w:marLeft w:val="0"/>
          <w:marRight w:val="0"/>
          <w:marTop w:val="0"/>
          <w:marBottom w:val="0"/>
          <w:divBdr>
            <w:top w:val="none" w:sz="0" w:space="0" w:color="auto"/>
            <w:left w:val="none" w:sz="0" w:space="0" w:color="auto"/>
            <w:bottom w:val="none" w:sz="0" w:space="0" w:color="auto"/>
            <w:right w:val="none" w:sz="0" w:space="0" w:color="auto"/>
          </w:divBdr>
        </w:div>
      </w:divsChild>
    </w:div>
    <w:div w:id="1420829216">
      <w:bodyDiv w:val="1"/>
      <w:marLeft w:val="0"/>
      <w:marRight w:val="0"/>
      <w:marTop w:val="0"/>
      <w:marBottom w:val="0"/>
      <w:divBdr>
        <w:top w:val="none" w:sz="0" w:space="0" w:color="auto"/>
        <w:left w:val="none" w:sz="0" w:space="0" w:color="auto"/>
        <w:bottom w:val="none" w:sz="0" w:space="0" w:color="auto"/>
        <w:right w:val="none" w:sz="0" w:space="0" w:color="auto"/>
      </w:divBdr>
      <w:divsChild>
        <w:div w:id="1397849913">
          <w:marLeft w:val="0"/>
          <w:marRight w:val="0"/>
          <w:marTop w:val="0"/>
          <w:marBottom w:val="0"/>
          <w:divBdr>
            <w:top w:val="none" w:sz="0" w:space="0" w:color="auto"/>
            <w:left w:val="none" w:sz="0" w:space="0" w:color="auto"/>
            <w:bottom w:val="none" w:sz="0" w:space="0" w:color="auto"/>
            <w:right w:val="none" w:sz="0" w:space="0" w:color="auto"/>
          </w:divBdr>
        </w:div>
      </w:divsChild>
    </w:div>
    <w:div w:id="1428964462">
      <w:bodyDiv w:val="1"/>
      <w:marLeft w:val="0"/>
      <w:marRight w:val="0"/>
      <w:marTop w:val="0"/>
      <w:marBottom w:val="0"/>
      <w:divBdr>
        <w:top w:val="none" w:sz="0" w:space="0" w:color="auto"/>
        <w:left w:val="none" w:sz="0" w:space="0" w:color="auto"/>
        <w:bottom w:val="none" w:sz="0" w:space="0" w:color="auto"/>
        <w:right w:val="none" w:sz="0" w:space="0" w:color="auto"/>
      </w:divBdr>
      <w:divsChild>
        <w:div w:id="1228955093">
          <w:marLeft w:val="0"/>
          <w:marRight w:val="0"/>
          <w:marTop w:val="0"/>
          <w:marBottom w:val="0"/>
          <w:divBdr>
            <w:top w:val="none" w:sz="0" w:space="0" w:color="auto"/>
            <w:left w:val="none" w:sz="0" w:space="0" w:color="auto"/>
            <w:bottom w:val="none" w:sz="0" w:space="0" w:color="auto"/>
            <w:right w:val="none" w:sz="0" w:space="0" w:color="auto"/>
          </w:divBdr>
        </w:div>
      </w:divsChild>
    </w:div>
    <w:div w:id="1511681916">
      <w:bodyDiv w:val="1"/>
      <w:marLeft w:val="0"/>
      <w:marRight w:val="0"/>
      <w:marTop w:val="0"/>
      <w:marBottom w:val="0"/>
      <w:divBdr>
        <w:top w:val="none" w:sz="0" w:space="0" w:color="auto"/>
        <w:left w:val="none" w:sz="0" w:space="0" w:color="auto"/>
        <w:bottom w:val="none" w:sz="0" w:space="0" w:color="auto"/>
        <w:right w:val="none" w:sz="0" w:space="0" w:color="auto"/>
      </w:divBdr>
      <w:divsChild>
        <w:div w:id="126515528">
          <w:marLeft w:val="0"/>
          <w:marRight w:val="0"/>
          <w:marTop w:val="0"/>
          <w:marBottom w:val="0"/>
          <w:divBdr>
            <w:top w:val="none" w:sz="0" w:space="0" w:color="auto"/>
            <w:left w:val="none" w:sz="0" w:space="0" w:color="auto"/>
            <w:bottom w:val="none" w:sz="0" w:space="0" w:color="auto"/>
            <w:right w:val="none" w:sz="0" w:space="0" w:color="auto"/>
          </w:divBdr>
        </w:div>
      </w:divsChild>
    </w:div>
    <w:div w:id="1546454588">
      <w:bodyDiv w:val="1"/>
      <w:marLeft w:val="0"/>
      <w:marRight w:val="0"/>
      <w:marTop w:val="0"/>
      <w:marBottom w:val="0"/>
      <w:divBdr>
        <w:top w:val="none" w:sz="0" w:space="0" w:color="auto"/>
        <w:left w:val="none" w:sz="0" w:space="0" w:color="auto"/>
        <w:bottom w:val="none" w:sz="0" w:space="0" w:color="auto"/>
        <w:right w:val="none" w:sz="0" w:space="0" w:color="auto"/>
      </w:divBdr>
      <w:divsChild>
        <w:div w:id="177891127">
          <w:marLeft w:val="0"/>
          <w:marRight w:val="0"/>
          <w:marTop w:val="0"/>
          <w:marBottom w:val="0"/>
          <w:divBdr>
            <w:top w:val="none" w:sz="0" w:space="0" w:color="auto"/>
            <w:left w:val="none" w:sz="0" w:space="0" w:color="auto"/>
            <w:bottom w:val="none" w:sz="0" w:space="0" w:color="auto"/>
            <w:right w:val="none" w:sz="0" w:space="0" w:color="auto"/>
          </w:divBdr>
        </w:div>
      </w:divsChild>
    </w:div>
    <w:div w:id="1671520895">
      <w:bodyDiv w:val="1"/>
      <w:marLeft w:val="0"/>
      <w:marRight w:val="0"/>
      <w:marTop w:val="0"/>
      <w:marBottom w:val="0"/>
      <w:divBdr>
        <w:top w:val="none" w:sz="0" w:space="0" w:color="auto"/>
        <w:left w:val="none" w:sz="0" w:space="0" w:color="auto"/>
        <w:bottom w:val="none" w:sz="0" w:space="0" w:color="auto"/>
        <w:right w:val="none" w:sz="0" w:space="0" w:color="auto"/>
      </w:divBdr>
      <w:divsChild>
        <w:div w:id="587009264">
          <w:marLeft w:val="0"/>
          <w:marRight w:val="0"/>
          <w:marTop w:val="0"/>
          <w:marBottom w:val="0"/>
          <w:divBdr>
            <w:top w:val="none" w:sz="0" w:space="0" w:color="auto"/>
            <w:left w:val="none" w:sz="0" w:space="0" w:color="auto"/>
            <w:bottom w:val="none" w:sz="0" w:space="0" w:color="auto"/>
            <w:right w:val="none" w:sz="0" w:space="0" w:color="auto"/>
          </w:divBdr>
        </w:div>
      </w:divsChild>
    </w:div>
    <w:div w:id="1739936388">
      <w:bodyDiv w:val="1"/>
      <w:marLeft w:val="0"/>
      <w:marRight w:val="0"/>
      <w:marTop w:val="0"/>
      <w:marBottom w:val="0"/>
      <w:divBdr>
        <w:top w:val="none" w:sz="0" w:space="0" w:color="auto"/>
        <w:left w:val="none" w:sz="0" w:space="0" w:color="auto"/>
        <w:bottom w:val="none" w:sz="0" w:space="0" w:color="auto"/>
        <w:right w:val="none" w:sz="0" w:space="0" w:color="auto"/>
      </w:divBdr>
      <w:divsChild>
        <w:div w:id="1213545212">
          <w:marLeft w:val="0"/>
          <w:marRight w:val="0"/>
          <w:marTop w:val="0"/>
          <w:marBottom w:val="0"/>
          <w:divBdr>
            <w:top w:val="none" w:sz="0" w:space="0" w:color="auto"/>
            <w:left w:val="none" w:sz="0" w:space="0" w:color="auto"/>
            <w:bottom w:val="none" w:sz="0" w:space="0" w:color="auto"/>
            <w:right w:val="none" w:sz="0" w:space="0" w:color="auto"/>
          </w:divBdr>
        </w:div>
      </w:divsChild>
    </w:div>
    <w:div w:id="1798184420">
      <w:bodyDiv w:val="1"/>
      <w:marLeft w:val="0"/>
      <w:marRight w:val="0"/>
      <w:marTop w:val="0"/>
      <w:marBottom w:val="0"/>
      <w:divBdr>
        <w:top w:val="none" w:sz="0" w:space="0" w:color="auto"/>
        <w:left w:val="none" w:sz="0" w:space="0" w:color="auto"/>
        <w:bottom w:val="none" w:sz="0" w:space="0" w:color="auto"/>
        <w:right w:val="none" w:sz="0" w:space="0" w:color="auto"/>
      </w:divBdr>
      <w:divsChild>
        <w:div w:id="1960916351">
          <w:marLeft w:val="0"/>
          <w:marRight w:val="0"/>
          <w:marTop w:val="0"/>
          <w:marBottom w:val="0"/>
          <w:divBdr>
            <w:top w:val="none" w:sz="0" w:space="0" w:color="auto"/>
            <w:left w:val="none" w:sz="0" w:space="0" w:color="auto"/>
            <w:bottom w:val="none" w:sz="0" w:space="0" w:color="auto"/>
            <w:right w:val="none" w:sz="0" w:space="0" w:color="auto"/>
          </w:divBdr>
        </w:div>
      </w:divsChild>
    </w:div>
    <w:div w:id="1903101878">
      <w:bodyDiv w:val="1"/>
      <w:marLeft w:val="0"/>
      <w:marRight w:val="0"/>
      <w:marTop w:val="0"/>
      <w:marBottom w:val="0"/>
      <w:divBdr>
        <w:top w:val="none" w:sz="0" w:space="0" w:color="auto"/>
        <w:left w:val="none" w:sz="0" w:space="0" w:color="auto"/>
        <w:bottom w:val="none" w:sz="0" w:space="0" w:color="auto"/>
        <w:right w:val="none" w:sz="0" w:space="0" w:color="auto"/>
      </w:divBdr>
      <w:divsChild>
        <w:div w:id="622924571">
          <w:marLeft w:val="0"/>
          <w:marRight w:val="0"/>
          <w:marTop w:val="0"/>
          <w:marBottom w:val="0"/>
          <w:divBdr>
            <w:top w:val="none" w:sz="0" w:space="0" w:color="auto"/>
            <w:left w:val="none" w:sz="0" w:space="0" w:color="auto"/>
            <w:bottom w:val="none" w:sz="0" w:space="0" w:color="auto"/>
            <w:right w:val="none" w:sz="0" w:space="0" w:color="auto"/>
          </w:divBdr>
        </w:div>
      </w:divsChild>
    </w:div>
    <w:div w:id="2034139134">
      <w:bodyDiv w:val="1"/>
      <w:marLeft w:val="0"/>
      <w:marRight w:val="0"/>
      <w:marTop w:val="0"/>
      <w:marBottom w:val="0"/>
      <w:divBdr>
        <w:top w:val="none" w:sz="0" w:space="0" w:color="auto"/>
        <w:left w:val="none" w:sz="0" w:space="0" w:color="auto"/>
        <w:bottom w:val="none" w:sz="0" w:space="0" w:color="auto"/>
        <w:right w:val="none" w:sz="0" w:space="0" w:color="auto"/>
      </w:divBdr>
      <w:divsChild>
        <w:div w:id="16063787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datblygiad-proffesiynol/safonau-proffesiynol"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wb.gov.wales/storage/8f0b360f-f1f6-4bec-b11a-df88168007f9/learning-and-teaching-pedagogy.pdf"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hyperlink" Target="https://www.estyn.llyw.cymru/system/files/2021-08/Adroddiad%20arolygiad%20Ysgol%20Y%20Bedol%202018.pdf" TargetMode="External"/><Relationship Id="rId11" Type="http://schemas.openxmlformats.org/officeDocument/2006/relationships/hyperlink" Target="https://www.ukri.org/councils/esrc/guidance-for-applicants/research-ethics-guidance/research-with-children-and-young-people/"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image" Target="media/image4.png"/><Relationship Id="rId10" Type="http://schemas.openxmlformats.org/officeDocument/2006/relationships/hyperlink" Target="https://www.savethechildren.org.uk/content/dam/global/reports/education-and-child-protection/so-you-want-to-involve-children-in-research.pdf" TargetMode="External"/><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7D138-DC71-44EC-9F47-DFAD1F6F6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7555</TotalTime>
  <Pages>11</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dc:creator>
  <cp:keywords/>
  <dc:description/>
  <cp:lastModifiedBy>Osian</cp:lastModifiedBy>
  <cp:revision>12</cp:revision>
  <dcterms:created xsi:type="dcterms:W3CDTF">2023-02-22T13:23:00Z</dcterms:created>
  <dcterms:modified xsi:type="dcterms:W3CDTF">2023-02-27T22:53:00Z</dcterms:modified>
</cp:coreProperties>
</file>