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1744D5ED" w:rsidR="00114199" w:rsidRDefault="005C28E8" w:rsidP="005C28E8">
      <w:pPr>
        <w:spacing w:line="360" w:lineRule="auto"/>
        <w:rPr>
          <w:rFonts w:ascii="Times New Roman" w:hAnsi="Times New Roman"/>
          <w:b/>
          <w:bCs/>
          <w:sz w:val="32"/>
          <w:szCs w:val="32"/>
        </w:rPr>
      </w:pPr>
      <w:r>
        <w:rPr>
          <w:rFonts w:ascii="Times New Roman" w:hAnsi="Times New Roman"/>
          <w:b/>
          <w:bCs/>
          <w:sz w:val="32"/>
          <w:szCs w:val="32"/>
        </w:rPr>
        <w:t xml:space="preserve">      </w:t>
      </w:r>
      <w:r w:rsidR="00114199">
        <w:rPr>
          <w:rFonts w:ascii="Times New Roman" w:hAnsi="Times New Roman"/>
          <w:b/>
          <w:bCs/>
          <w:sz w:val="32"/>
          <w:szCs w:val="32"/>
        </w:rPr>
        <w:t xml:space="preserve">Questions and Guidelines for </w:t>
      </w:r>
      <w:r w:rsidR="00114199" w:rsidRPr="009F64B3">
        <w:rPr>
          <w:rFonts w:ascii="Times New Roman" w:hAnsi="Times New Roman"/>
          <w:b/>
          <w:bCs/>
          <w:sz w:val="32"/>
          <w:szCs w:val="32"/>
        </w:rPr>
        <w:t>Assessment Component 1</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D46920">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77777777"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871C29">
        <w:rPr>
          <w:rFonts w:ascii="Arial" w:hAnsi="Arial" w:cs="Arial"/>
          <w:b/>
          <w:bCs/>
          <w:color w:val="000000"/>
          <w:sz w:val="32"/>
          <w:szCs w:val="32"/>
        </w:rPr>
        <w:t>Online portfolio of set exercises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7A30AD34"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186604">
        <w:rPr>
          <w:rStyle w:val="Strong"/>
          <w:rFonts w:ascii="Arial" w:hAnsi="Arial" w:cs="Arial"/>
          <w:color w:val="1D2125"/>
          <w:sz w:val="32"/>
          <w:szCs w:val="32"/>
        </w:rPr>
        <w:t xml:space="preserve"> Cristea Florin Cristian</w:t>
      </w:r>
    </w:p>
    <w:p w14:paraId="3DCFFD10" w14:textId="75E92AA9"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number:</w:t>
      </w:r>
      <w:r w:rsidR="00186604">
        <w:rPr>
          <w:rStyle w:val="Strong"/>
          <w:rFonts w:ascii="Arial" w:hAnsi="Arial" w:cs="Arial"/>
          <w:color w:val="1D2125"/>
          <w:sz w:val="32"/>
          <w:szCs w:val="32"/>
        </w:rPr>
        <w:t xml:space="preserve"> 2328061</w:t>
      </w:r>
    </w:p>
    <w:p w14:paraId="6F2C3011" w14:textId="02C8CD4E"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Lecturer’s name:</w:t>
      </w:r>
      <w:r w:rsidR="00EB12B1">
        <w:rPr>
          <w:rStyle w:val="Strong"/>
          <w:rFonts w:ascii="Arial" w:hAnsi="Arial" w:cs="Arial"/>
          <w:color w:val="1D2125"/>
          <w:sz w:val="32"/>
          <w:szCs w:val="32"/>
        </w:rPr>
        <w:t xml:space="preserve"> Laila Surani </w:t>
      </w:r>
    </w:p>
    <w:p w14:paraId="0D3CF38A" w14:textId="77777777" w:rsidR="00D46920" w:rsidRDefault="00D46920" w:rsidP="00D46920">
      <w:pPr>
        <w:spacing w:line="360" w:lineRule="auto"/>
        <w:rPr>
          <w:sz w:val="36"/>
          <w:szCs w:val="36"/>
        </w:rPr>
      </w:pPr>
    </w:p>
    <w:p w14:paraId="7657B63E" w14:textId="77777777" w:rsidR="00D46920" w:rsidRDefault="00D46920" w:rsidP="00D46920">
      <w:pPr>
        <w:spacing w:line="360" w:lineRule="auto"/>
        <w:rPr>
          <w:rFonts w:ascii="Arial" w:hAnsi="Arial" w:cs="Arial"/>
          <w:sz w:val="36"/>
          <w:szCs w:val="36"/>
        </w:rPr>
      </w:pPr>
    </w:p>
    <w:p w14:paraId="1DF762CF" w14:textId="77777777" w:rsidR="00D46920" w:rsidRDefault="00D46920" w:rsidP="00D46920">
      <w:pPr>
        <w:spacing w:line="360" w:lineRule="auto"/>
        <w:rPr>
          <w:rFonts w:ascii="Arial" w:hAnsi="Arial" w:cs="Arial"/>
          <w:sz w:val="36"/>
          <w:szCs w:val="36"/>
        </w:rPr>
      </w:pPr>
    </w:p>
    <w:p w14:paraId="36966376" w14:textId="77777777" w:rsidR="00D46920" w:rsidRDefault="00D46920" w:rsidP="00D46920">
      <w:pPr>
        <w:spacing w:line="360" w:lineRule="auto"/>
        <w:rPr>
          <w:rFonts w:ascii="Arial" w:hAnsi="Arial" w:cs="Arial"/>
          <w:sz w:val="36"/>
          <w:szCs w:val="36"/>
        </w:rPr>
      </w:pPr>
    </w:p>
    <w:p w14:paraId="42726B8D" w14:textId="77777777" w:rsidR="00D46920" w:rsidRDefault="00D46920" w:rsidP="00D46920">
      <w:pPr>
        <w:pStyle w:val="NormalWeb"/>
        <w:spacing w:line="360" w:lineRule="auto"/>
        <w:rPr>
          <w:rFonts w:ascii="Arial" w:hAnsi="Arial" w:cs="Arial"/>
          <w:b/>
          <w:bCs/>
          <w:color w:val="000000"/>
          <w:sz w:val="28"/>
          <w:szCs w:val="28"/>
        </w:rPr>
      </w:pPr>
      <w:r w:rsidRPr="008375B5">
        <w:rPr>
          <w:rFonts w:ascii="Arial" w:hAnsi="Arial" w:cs="Arial"/>
          <w:b/>
          <w:bCs/>
          <w:color w:val="000000"/>
          <w:sz w:val="28"/>
          <w:szCs w:val="28"/>
        </w:rPr>
        <w:t>Table of contents</w:t>
      </w:r>
    </w:p>
    <w:p w14:paraId="327F9F72" w14:textId="18759CA8" w:rsidR="00186604" w:rsidRDefault="00EB12B1" w:rsidP="00D46920">
      <w:pPr>
        <w:pStyle w:val="NormalWeb"/>
        <w:spacing w:line="360" w:lineRule="auto"/>
        <w:rPr>
          <w:rFonts w:ascii="Arial" w:hAnsi="Arial" w:cs="Arial"/>
          <w:b/>
          <w:bCs/>
          <w:color w:val="000000"/>
          <w:sz w:val="28"/>
          <w:szCs w:val="28"/>
        </w:rPr>
      </w:pPr>
      <w:r>
        <w:rPr>
          <w:rFonts w:ascii="Arial" w:hAnsi="Arial" w:cs="Arial"/>
          <w:b/>
          <w:bCs/>
          <w:color w:val="000000"/>
          <w:sz w:val="28"/>
          <w:szCs w:val="28"/>
        </w:rPr>
        <w:t>1.Introduction</w:t>
      </w:r>
    </w:p>
    <w:p w14:paraId="066C28F5" w14:textId="723EA9FA" w:rsidR="00EB12B1" w:rsidRDefault="00EB12B1" w:rsidP="00D46920">
      <w:pPr>
        <w:pStyle w:val="NormalWeb"/>
        <w:spacing w:line="360" w:lineRule="auto"/>
        <w:rPr>
          <w:rFonts w:ascii="Arial" w:hAnsi="Arial" w:cs="Arial"/>
          <w:b/>
          <w:bCs/>
          <w:color w:val="000000"/>
          <w:sz w:val="28"/>
          <w:szCs w:val="28"/>
        </w:rPr>
      </w:pPr>
      <w:r>
        <w:rPr>
          <w:rFonts w:ascii="Arial" w:hAnsi="Arial" w:cs="Arial"/>
          <w:b/>
          <w:bCs/>
          <w:color w:val="000000"/>
          <w:sz w:val="28"/>
          <w:szCs w:val="28"/>
        </w:rPr>
        <w:t>2.Mind Map</w:t>
      </w:r>
    </w:p>
    <w:p w14:paraId="06F92473" w14:textId="35427FC6" w:rsidR="00EB12B1" w:rsidRDefault="00EB12B1" w:rsidP="00D46920">
      <w:pPr>
        <w:pStyle w:val="NormalWeb"/>
        <w:spacing w:line="360" w:lineRule="auto"/>
        <w:rPr>
          <w:rFonts w:ascii="Arial" w:hAnsi="Arial" w:cs="Arial"/>
          <w:b/>
          <w:bCs/>
          <w:color w:val="000000"/>
          <w:sz w:val="28"/>
          <w:szCs w:val="28"/>
        </w:rPr>
      </w:pPr>
      <w:r>
        <w:rPr>
          <w:rFonts w:ascii="Arial" w:hAnsi="Arial" w:cs="Arial"/>
          <w:b/>
          <w:bCs/>
          <w:color w:val="000000"/>
          <w:sz w:val="28"/>
          <w:szCs w:val="28"/>
        </w:rPr>
        <w:t xml:space="preserve">3. </w:t>
      </w:r>
      <w:proofErr w:type="spellStart"/>
      <w:r>
        <w:rPr>
          <w:rFonts w:ascii="Arial" w:hAnsi="Arial" w:cs="Arial"/>
          <w:b/>
          <w:bCs/>
          <w:color w:val="000000"/>
          <w:sz w:val="28"/>
          <w:szCs w:val="28"/>
        </w:rPr>
        <w:t>Self reflection</w:t>
      </w:r>
      <w:proofErr w:type="spellEnd"/>
      <w:r>
        <w:rPr>
          <w:rFonts w:ascii="Arial" w:hAnsi="Arial" w:cs="Arial"/>
          <w:b/>
          <w:bCs/>
          <w:color w:val="000000"/>
          <w:sz w:val="28"/>
          <w:szCs w:val="28"/>
        </w:rPr>
        <w:t xml:space="preserve"> of Group Activity</w:t>
      </w:r>
    </w:p>
    <w:p w14:paraId="446C2EDC" w14:textId="77777777" w:rsidR="00EB12B1" w:rsidRDefault="00EB12B1" w:rsidP="00D46920">
      <w:pPr>
        <w:pStyle w:val="NormalWeb"/>
        <w:spacing w:line="360" w:lineRule="auto"/>
        <w:rPr>
          <w:rFonts w:ascii="Arial" w:hAnsi="Arial" w:cs="Arial"/>
          <w:b/>
          <w:bCs/>
          <w:color w:val="000000"/>
          <w:sz w:val="28"/>
          <w:szCs w:val="28"/>
        </w:rPr>
      </w:pPr>
      <w:r>
        <w:rPr>
          <w:rFonts w:ascii="Arial" w:hAnsi="Arial" w:cs="Arial"/>
          <w:b/>
          <w:bCs/>
          <w:color w:val="000000"/>
          <w:sz w:val="28"/>
          <w:szCs w:val="28"/>
        </w:rPr>
        <w:t>4.Case Study Analysis of a Uk innovation</w:t>
      </w:r>
    </w:p>
    <w:p w14:paraId="6EEAAF6B" w14:textId="77777777" w:rsidR="00EB12B1" w:rsidRDefault="00EB12B1" w:rsidP="00D46920">
      <w:pPr>
        <w:pStyle w:val="NormalWeb"/>
        <w:spacing w:line="360" w:lineRule="auto"/>
        <w:rPr>
          <w:rFonts w:ascii="Arial" w:hAnsi="Arial" w:cs="Arial"/>
          <w:b/>
          <w:bCs/>
          <w:color w:val="000000"/>
          <w:sz w:val="28"/>
          <w:szCs w:val="28"/>
        </w:rPr>
      </w:pPr>
      <w:r>
        <w:rPr>
          <w:rFonts w:ascii="Arial" w:hAnsi="Arial" w:cs="Arial"/>
          <w:b/>
          <w:bCs/>
          <w:color w:val="000000"/>
          <w:sz w:val="28"/>
          <w:szCs w:val="28"/>
        </w:rPr>
        <w:t>5. Research Task</w:t>
      </w:r>
    </w:p>
    <w:p w14:paraId="6728217A" w14:textId="77777777" w:rsidR="00EB12B1" w:rsidRDefault="00EB12B1" w:rsidP="00D46920">
      <w:pPr>
        <w:pStyle w:val="NormalWeb"/>
        <w:spacing w:line="360" w:lineRule="auto"/>
        <w:rPr>
          <w:rFonts w:ascii="Arial" w:hAnsi="Arial" w:cs="Arial"/>
          <w:b/>
          <w:bCs/>
          <w:color w:val="000000"/>
          <w:sz w:val="28"/>
          <w:szCs w:val="28"/>
        </w:rPr>
      </w:pPr>
      <w:r>
        <w:rPr>
          <w:rFonts w:ascii="Arial" w:hAnsi="Arial" w:cs="Arial"/>
          <w:b/>
          <w:bCs/>
          <w:color w:val="000000"/>
          <w:sz w:val="28"/>
          <w:szCs w:val="28"/>
        </w:rPr>
        <w:t>6.Exploring digital innovation in Health and Social Care</w:t>
      </w:r>
    </w:p>
    <w:p w14:paraId="31EF3963" w14:textId="77777777" w:rsidR="00EB12B1" w:rsidRDefault="00EB12B1" w:rsidP="00D46920">
      <w:pPr>
        <w:pStyle w:val="NormalWeb"/>
        <w:spacing w:line="360" w:lineRule="auto"/>
        <w:rPr>
          <w:rFonts w:ascii="Arial" w:hAnsi="Arial" w:cs="Arial"/>
          <w:b/>
          <w:bCs/>
          <w:color w:val="000000"/>
          <w:sz w:val="28"/>
          <w:szCs w:val="28"/>
        </w:rPr>
      </w:pPr>
      <w:r>
        <w:rPr>
          <w:rFonts w:ascii="Arial" w:hAnsi="Arial" w:cs="Arial"/>
          <w:b/>
          <w:bCs/>
          <w:color w:val="000000"/>
          <w:sz w:val="28"/>
          <w:szCs w:val="28"/>
        </w:rPr>
        <w:t>7.Understanding the NHS Leadership Framework</w:t>
      </w:r>
    </w:p>
    <w:p w14:paraId="702BA394" w14:textId="25A0EF13" w:rsidR="00EB12B1" w:rsidRPr="008375B5" w:rsidRDefault="00EB12B1" w:rsidP="00D46920">
      <w:pPr>
        <w:pStyle w:val="NormalWeb"/>
        <w:spacing w:line="360" w:lineRule="auto"/>
        <w:rPr>
          <w:rFonts w:ascii="Arial" w:hAnsi="Arial" w:cs="Arial"/>
          <w:b/>
          <w:bCs/>
          <w:color w:val="000000"/>
          <w:sz w:val="28"/>
          <w:szCs w:val="28"/>
        </w:rPr>
      </w:pPr>
      <w:r>
        <w:rPr>
          <w:rFonts w:ascii="Arial" w:hAnsi="Arial" w:cs="Arial"/>
          <w:b/>
          <w:bCs/>
          <w:color w:val="000000"/>
          <w:sz w:val="28"/>
          <w:szCs w:val="28"/>
        </w:rPr>
        <w:t xml:space="preserve">8. </w:t>
      </w:r>
      <w:proofErr w:type="spellStart"/>
      <w:r>
        <w:rPr>
          <w:rFonts w:ascii="Arial" w:hAnsi="Arial" w:cs="Arial"/>
          <w:b/>
          <w:bCs/>
          <w:color w:val="000000"/>
          <w:sz w:val="28"/>
          <w:szCs w:val="28"/>
        </w:rPr>
        <w:t>Self Reflection</w:t>
      </w:r>
      <w:proofErr w:type="spellEnd"/>
      <w:r>
        <w:rPr>
          <w:rFonts w:ascii="Arial" w:hAnsi="Arial" w:cs="Arial"/>
          <w:b/>
          <w:bCs/>
          <w:color w:val="000000"/>
          <w:sz w:val="28"/>
          <w:szCs w:val="28"/>
        </w:rPr>
        <w:t xml:space="preserve"> Journal Entry </w:t>
      </w:r>
    </w:p>
    <w:p w14:paraId="3A94D737" w14:textId="77777777" w:rsidR="00D46920" w:rsidRDefault="00D46920" w:rsidP="00D46920">
      <w:pPr>
        <w:pStyle w:val="NormalWeb"/>
        <w:spacing w:line="360" w:lineRule="auto"/>
        <w:rPr>
          <w:rFonts w:ascii="Arial" w:hAnsi="Arial" w:cs="Arial"/>
          <w:b/>
          <w:bCs/>
          <w:color w:val="000000"/>
        </w:rPr>
      </w:pPr>
    </w:p>
    <w:p w14:paraId="23E97EEA" w14:textId="77777777" w:rsidR="00D46920" w:rsidRDefault="00D46920" w:rsidP="005C28E8">
      <w:pPr>
        <w:spacing w:line="360" w:lineRule="auto"/>
        <w:rPr>
          <w:rFonts w:ascii="Times New Roman" w:hAnsi="Times New Roman"/>
          <w:b/>
          <w:bCs/>
          <w:sz w:val="32"/>
          <w:szCs w:val="32"/>
        </w:rPr>
      </w:pPr>
    </w:p>
    <w:p w14:paraId="2BB188C7" w14:textId="77777777" w:rsidR="00D46920" w:rsidRDefault="00D46920" w:rsidP="005C28E8">
      <w:pPr>
        <w:spacing w:line="360" w:lineRule="auto"/>
        <w:rPr>
          <w:rFonts w:ascii="Times New Roman" w:hAnsi="Times New Roman"/>
          <w:b/>
          <w:bCs/>
          <w:sz w:val="32"/>
          <w:szCs w:val="32"/>
        </w:rPr>
      </w:pPr>
    </w:p>
    <w:p w14:paraId="23C4321B" w14:textId="77777777" w:rsidR="00D46920" w:rsidRDefault="00D46920" w:rsidP="005C28E8">
      <w:pPr>
        <w:spacing w:line="360" w:lineRule="auto"/>
        <w:rPr>
          <w:rFonts w:ascii="Times New Roman" w:hAnsi="Times New Roman"/>
          <w:b/>
          <w:bCs/>
          <w:sz w:val="32"/>
          <w:szCs w:val="32"/>
        </w:rPr>
      </w:pPr>
    </w:p>
    <w:p w14:paraId="2DFFC7B2" w14:textId="77777777" w:rsidR="00D46920" w:rsidRDefault="00D46920" w:rsidP="005C28E8">
      <w:pPr>
        <w:spacing w:line="360" w:lineRule="auto"/>
        <w:rPr>
          <w:rFonts w:ascii="Times New Roman" w:hAnsi="Times New Roman"/>
          <w:b/>
          <w:bCs/>
          <w:sz w:val="32"/>
          <w:szCs w:val="32"/>
        </w:rPr>
      </w:pPr>
    </w:p>
    <w:p w14:paraId="3EC5A596" w14:textId="77777777" w:rsidR="00D46920" w:rsidRDefault="00D46920" w:rsidP="005C28E8">
      <w:pPr>
        <w:spacing w:line="360" w:lineRule="auto"/>
        <w:rPr>
          <w:rFonts w:ascii="Times New Roman" w:hAnsi="Times New Roman"/>
          <w:b/>
          <w:bCs/>
          <w:sz w:val="32"/>
          <w:szCs w:val="32"/>
        </w:rPr>
      </w:pPr>
    </w:p>
    <w:p w14:paraId="01DFDCA7" w14:textId="77777777" w:rsidR="00D46920" w:rsidRDefault="00D46920" w:rsidP="005C28E8">
      <w:pPr>
        <w:spacing w:line="360" w:lineRule="auto"/>
        <w:rPr>
          <w:rFonts w:ascii="Times New Roman" w:hAnsi="Times New Roman"/>
          <w:b/>
          <w:bCs/>
          <w:sz w:val="32"/>
          <w:szCs w:val="32"/>
        </w:rPr>
      </w:pPr>
    </w:p>
    <w:p w14:paraId="747B80A3" w14:textId="77777777" w:rsidR="00D46920" w:rsidRDefault="00D46920" w:rsidP="005C28E8">
      <w:pPr>
        <w:spacing w:line="360" w:lineRule="auto"/>
        <w:rPr>
          <w:rFonts w:ascii="Times New Roman" w:hAnsi="Times New Roman"/>
          <w:b/>
          <w:bCs/>
          <w:sz w:val="32"/>
          <w:szCs w:val="32"/>
        </w:rPr>
      </w:pPr>
    </w:p>
    <w:p w14:paraId="08169C61" w14:textId="1A0A9999" w:rsidR="00D46920" w:rsidRDefault="00186604" w:rsidP="005C28E8">
      <w:pPr>
        <w:spacing w:line="360" w:lineRule="auto"/>
        <w:rPr>
          <w:rFonts w:ascii="Arial" w:hAnsi="Arial" w:cs="Arial"/>
          <w:b/>
          <w:bCs/>
          <w:sz w:val="22"/>
          <w:szCs w:val="22"/>
        </w:rPr>
      </w:pPr>
      <w:r w:rsidRPr="00186604">
        <w:rPr>
          <w:rFonts w:ascii="Arial" w:hAnsi="Arial" w:cs="Arial"/>
          <w:b/>
          <w:bCs/>
          <w:sz w:val="22"/>
          <w:szCs w:val="22"/>
        </w:rPr>
        <w:lastRenderedPageBreak/>
        <w:t>Healthcare professionals have an obligation to provide effective services that consistently improve. In order to achieve this, professionals need to understand different concepts that facilitate change and drive improvement. Concepts such as innovation, creativity, value creation and change itself are vital to understand as they aid effectiveness and improvement in health and social care settings. Innovation can be described as the generation and implementation of new/improved ideas, processes or technologies to improve services/outcomes (Rogers, 2003). Innovation is important to understand because healthcare services are continually faced with increasing demand, with which they have to become more efficient. Additionally, organisations must implement innovative practices to ensure safer, high-quality care. For example, an ambulance service may implement a new reporting system which allows healthcare professionals to spend more time with patients. Rogers’ Diffusion of Innovation theory helps us understand how and why new ideas spread through systems overtime.</w:t>
      </w:r>
      <w:r w:rsidRPr="00186604">
        <w:rPr>
          <w:rFonts w:ascii="Arial" w:hAnsi="Arial" w:cs="Arial"/>
          <w:b/>
          <w:bCs/>
          <w:sz w:val="22"/>
          <w:szCs w:val="22"/>
        </w:rPr>
        <w:br/>
      </w:r>
      <w:r w:rsidRPr="00186604">
        <w:rPr>
          <w:rFonts w:ascii="Arial" w:hAnsi="Arial" w:cs="Arial"/>
          <w:b/>
          <w:bCs/>
          <w:sz w:val="22"/>
          <w:szCs w:val="22"/>
        </w:rPr>
        <w:br/>
        <w:t>Creativity can be defined as generating new and useful ideas (Amabile, 1996). Creativity is important to health and social care as professionals often face new situations where processes do not exist. For example, support workers may need to find new ways to communicate with patients who have limited mobility. Amabile’s Theory of Creativity suggests that creativity is the byproduct of skills, knowledge and motivation.</w:t>
      </w:r>
      <w:r w:rsidRPr="00186604">
        <w:rPr>
          <w:rFonts w:ascii="Arial" w:hAnsi="Arial" w:cs="Arial"/>
          <w:b/>
          <w:bCs/>
          <w:sz w:val="22"/>
          <w:szCs w:val="22"/>
        </w:rPr>
        <w:br/>
      </w:r>
      <w:r w:rsidRPr="00186604">
        <w:rPr>
          <w:rFonts w:ascii="Arial" w:hAnsi="Arial" w:cs="Arial"/>
          <w:b/>
          <w:bCs/>
          <w:sz w:val="22"/>
          <w:szCs w:val="22"/>
        </w:rPr>
        <w:br/>
        <w:t>Value is when a healthcare service increases outcomes for patients relative to the cost of those outcomes (Porter, 2010). Value is important in health and social care because organisations are unable to provide limitless quality services due to restrictions on funding. Value should be the key focus of services to ensure patients receive the best experience possible and that services can continue to run. An example of this would be preventative health care programmes. For example, running vaccinations reduces the chance of patients needing to be treated for preventable diseases later on. This links to Porter’s concept of value-based healthcare.</w:t>
      </w:r>
      <w:r w:rsidRPr="00186604">
        <w:rPr>
          <w:rFonts w:ascii="Arial" w:hAnsi="Arial" w:cs="Arial"/>
          <w:b/>
          <w:bCs/>
          <w:sz w:val="22"/>
          <w:szCs w:val="22"/>
        </w:rPr>
        <w:br/>
      </w:r>
      <w:r w:rsidRPr="00186604">
        <w:rPr>
          <w:rFonts w:ascii="Arial" w:hAnsi="Arial" w:cs="Arial"/>
          <w:b/>
          <w:bCs/>
          <w:sz w:val="22"/>
          <w:szCs w:val="22"/>
        </w:rPr>
        <w:br/>
        <w:t xml:space="preserve">Change is the process of transitioning from a current state to a desired end state (Burnes, 2017). Change is important to understand because the healthcare system is constantly evolving and improving. For services to continue to provide effective care, they must be flexible and adapt to new policies, research findings and technology. An example of this would be changing how staff wash their hands to prevent infections </w:t>
      </w:r>
      <w:r w:rsidRPr="00186604">
        <w:rPr>
          <w:rFonts w:ascii="Arial" w:hAnsi="Arial" w:cs="Arial"/>
          <w:b/>
          <w:bCs/>
          <w:sz w:val="22"/>
          <w:szCs w:val="22"/>
        </w:rPr>
        <w:lastRenderedPageBreak/>
        <w:t>spreading within a healthcare setting. Lewin’s Change Management Model can help us understand how effective change can be brought about.</w:t>
      </w:r>
    </w:p>
    <w:p w14:paraId="065DF392" w14:textId="0EABE5E4" w:rsidR="00AA6A40" w:rsidRDefault="00032EFE" w:rsidP="005C28E8">
      <w:pPr>
        <w:spacing w:line="360" w:lineRule="auto"/>
        <w:rPr>
          <w:rFonts w:ascii="Arial" w:hAnsi="Arial" w:cs="Arial"/>
          <w:b/>
          <w:bCs/>
          <w:sz w:val="22"/>
          <w:szCs w:val="22"/>
        </w:rPr>
      </w:pPr>
      <w:r w:rsidRPr="00032EFE">
        <w:rPr>
          <w:rFonts w:ascii="Arial" w:hAnsi="Arial" w:cs="Arial"/>
          <w:b/>
          <w:bCs/>
          <w:sz w:val="22"/>
          <w:szCs w:val="22"/>
        </w:rPr>
        <w:t>Weaknesses in communication between health and social care professionals is problematic as it leads to insufficient care and risks patients safety. Causes of this problem include lack of time to communicate effectively between professionals, staff not trained in how to pass on information, language barriers between caregiver and patient, and poor record keeping systems. Problems in communication can leave information being misinterpreted or not given at all. This can lead to patients being given the wrong medication or treatment. As well as this, patients can be left feeling anxious about their treatment, have loss of trust in the services they receive and professionals may feel stressed from giving incorrect care to patients. If this issue is not resolved this can cause patient harm and people who are vulnerable like the elderly and those who do not speak fluent English will be affected. (systems thinking model Meadows, 2008) shows that there are a range of causes that link to one another which cause problems in communication. Therefore, some of the solutions like staff training, digital records and team working will have to operate together in order to improve safety.</w:t>
      </w:r>
    </w:p>
    <w:p w14:paraId="40D35423" w14:textId="48477AB1" w:rsidR="00AA6A40" w:rsidRDefault="00AA6A40" w:rsidP="005C28E8">
      <w:pPr>
        <w:spacing w:line="360" w:lineRule="auto"/>
        <w:rPr>
          <w:rFonts w:ascii="Arial" w:hAnsi="Arial" w:cs="Arial"/>
          <w:b/>
          <w:bCs/>
          <w:sz w:val="22"/>
          <w:szCs w:val="22"/>
        </w:rPr>
      </w:pPr>
      <w:r w:rsidRPr="00AA6A40">
        <w:rPr>
          <w:rFonts w:ascii="Arial" w:hAnsi="Arial" w:cs="Arial"/>
          <w:b/>
          <w:bCs/>
          <w:sz w:val="22"/>
          <w:szCs w:val="22"/>
        </w:rPr>
        <w:t>This response will follow Gibbs Reflective Cycle (Gibbs, 1988) to reflect upon my participation of the convergent/divergent thinking activity assigned as a group discussion in class. Divergent thinking consists of creating many ideas, and convergent thinking narrows those ideas down to what will be most effective.</w:t>
      </w:r>
      <w:r w:rsidRPr="00AA6A40">
        <w:rPr>
          <w:rFonts w:ascii="Arial" w:hAnsi="Arial" w:cs="Arial"/>
          <w:b/>
          <w:bCs/>
          <w:sz w:val="22"/>
          <w:szCs w:val="22"/>
        </w:rPr>
        <w:br/>
      </w:r>
      <w:r w:rsidRPr="00AA6A40">
        <w:rPr>
          <w:rFonts w:ascii="Arial" w:hAnsi="Arial" w:cs="Arial"/>
          <w:b/>
          <w:bCs/>
          <w:sz w:val="22"/>
          <w:szCs w:val="22"/>
        </w:rPr>
        <w:br/>
        <w:t>Description and Feelings: For this activity in class, our group was asked to come up with solutions to a problem during a group discussion. I felt most comfortable with divergent thinking because I am not afraid to speak up and provide many ideas during a brainstorm. However, I felt awkward with convergent thinking because we had to all come to one final group decision.</w:t>
      </w:r>
      <w:r w:rsidRPr="00AA6A40">
        <w:rPr>
          <w:rFonts w:ascii="Arial" w:hAnsi="Arial" w:cs="Arial"/>
          <w:b/>
          <w:bCs/>
          <w:sz w:val="22"/>
          <w:szCs w:val="22"/>
        </w:rPr>
        <w:br/>
      </w:r>
      <w:r w:rsidRPr="00AA6A40">
        <w:rPr>
          <w:rFonts w:ascii="Arial" w:hAnsi="Arial" w:cs="Arial"/>
          <w:b/>
          <w:bCs/>
          <w:sz w:val="22"/>
          <w:szCs w:val="22"/>
        </w:rPr>
        <w:br/>
        <w:t>Evaluation and Analysis: Personally, divergent thinking came more natural to me as I feel better at coming up with ideas rather than making decisions. Contributions to group: In the class discussion, I participated by voicing several ideas of my own and asking my groupmates to provide theirs. When we found it difficult to come to a decision, I pulled us together by providing a list of pros and cons which allowed us to think more critically about our final decision. This allowed us to progress from divergent thinking to convergent. Gibbs (1988) states that “reflective learning allows you to become more aware of yourself and so learn from experience.”</w:t>
      </w:r>
    </w:p>
    <w:p w14:paraId="7B09E0EA" w14:textId="444858A1" w:rsidR="008244A1" w:rsidRDefault="008244A1" w:rsidP="005C28E8">
      <w:pPr>
        <w:spacing w:line="360" w:lineRule="auto"/>
        <w:rPr>
          <w:rFonts w:ascii="Arial" w:hAnsi="Arial" w:cs="Arial"/>
          <w:b/>
          <w:bCs/>
          <w:sz w:val="22"/>
          <w:szCs w:val="22"/>
        </w:rPr>
      </w:pPr>
      <w:r w:rsidRPr="008244A1">
        <w:rPr>
          <w:rFonts w:ascii="Arial" w:hAnsi="Arial" w:cs="Arial"/>
          <w:b/>
          <w:bCs/>
          <w:sz w:val="22"/>
          <w:szCs w:val="22"/>
        </w:rPr>
        <w:lastRenderedPageBreak/>
        <w:t>One example of innovation in the NHS includes artificial intelligence (AI) early diagnosis and predictive healthcare. Identification of the problem was that certain diseases and conditions are identified late and often after emergency admission which leads to increased mortality, cost, and pressure on NHS services (NHS England, 2024).</w:t>
      </w:r>
      <w:r w:rsidRPr="008244A1">
        <w:rPr>
          <w:rFonts w:ascii="Arial" w:hAnsi="Arial" w:cs="Arial"/>
          <w:b/>
          <w:bCs/>
          <w:sz w:val="22"/>
          <w:szCs w:val="22"/>
        </w:rPr>
        <w:br/>
      </w:r>
      <w:r w:rsidRPr="008244A1">
        <w:rPr>
          <w:rFonts w:ascii="Arial" w:hAnsi="Arial" w:cs="Arial"/>
          <w:b/>
          <w:bCs/>
          <w:sz w:val="22"/>
          <w:szCs w:val="22"/>
        </w:rPr>
        <w:br/>
        <w:t>Creativity came in terms of finding solutions by merging medical imaging datasets with machine learning algorithms capable of spotting patterns and anomalies undetectable by human practitioners. An example includes AI tools being able to predict and diagnose diseases such as heart failure or cancer before symptoms show, such as CT scans and patient records being analysed by predictive diagnostics to spot high-risk patients earlier. This reflects Rogers’ theory as it demonstrates how innovations are diffused through society over time with the adoption of new technology into public services such as healthcare (Rogers, 2003).</w:t>
      </w:r>
      <w:r w:rsidRPr="008244A1">
        <w:rPr>
          <w:rFonts w:ascii="Arial" w:hAnsi="Arial" w:cs="Arial"/>
          <w:b/>
          <w:bCs/>
          <w:sz w:val="22"/>
          <w:szCs w:val="22"/>
        </w:rPr>
        <w:br/>
      </w:r>
      <w:r w:rsidRPr="008244A1">
        <w:rPr>
          <w:rFonts w:ascii="Arial" w:hAnsi="Arial" w:cs="Arial"/>
          <w:b/>
          <w:bCs/>
          <w:sz w:val="22"/>
          <w:szCs w:val="22"/>
        </w:rPr>
        <w:br/>
        <w:t>Value is created as it allows for better patient outcomes but also reduces cost to the healthcare system in the long term. Using Porter’s value-based healthcare model we can see this as it improves outcomes against cost (Porter, 2010). Reported outcomes include faster diagnosis, reduced emergency admissions, and improved patient survival rates which have been documented through use of NHS AI diagnosis programmes as well as clinical trials reporting improved detection rates (NHS Digital, 2024; The Guardian, 2026).</w:t>
      </w:r>
      <w:r w:rsidRPr="008244A1">
        <w:rPr>
          <w:rFonts w:ascii="Arial" w:hAnsi="Arial" w:cs="Arial"/>
          <w:b/>
          <w:bCs/>
          <w:sz w:val="22"/>
          <w:szCs w:val="22"/>
        </w:rPr>
        <w:br/>
      </w:r>
      <w:r w:rsidRPr="008244A1">
        <w:rPr>
          <w:rFonts w:ascii="Arial" w:hAnsi="Arial" w:cs="Arial"/>
          <w:b/>
          <w:bCs/>
          <w:sz w:val="22"/>
          <w:szCs w:val="22"/>
        </w:rPr>
        <w:br/>
        <w:t>This creates value for patients through earlier access to treatment, value for staff through a decreased workload and admissions, as well as value for the NHS system through more efficiency and capacity. This was a creative approach as it allowed for two industries to work together. This innovation could be applied to different contexts such as other healthcare systems around the world.</w:t>
      </w:r>
    </w:p>
    <w:p w14:paraId="782F2FAC" w14:textId="37A29F54" w:rsidR="008244A1" w:rsidRDefault="008244A1" w:rsidP="005C28E8">
      <w:pPr>
        <w:spacing w:line="360" w:lineRule="auto"/>
        <w:rPr>
          <w:rFonts w:ascii="Arial" w:hAnsi="Arial" w:cs="Arial"/>
          <w:b/>
          <w:bCs/>
          <w:sz w:val="22"/>
          <w:szCs w:val="22"/>
        </w:rPr>
      </w:pPr>
      <w:r w:rsidRPr="008244A1">
        <w:rPr>
          <w:rFonts w:ascii="Arial" w:hAnsi="Arial" w:cs="Arial"/>
          <w:b/>
          <w:bCs/>
          <w:sz w:val="22"/>
          <w:szCs w:val="22"/>
        </w:rPr>
        <w:t>The issue I have chosen to focus on is staff stress and burnout due to the impact this has on both the health and social care workforce, as well as quality of care they provide to patients.</w:t>
      </w:r>
      <w:r w:rsidRPr="008244A1">
        <w:rPr>
          <w:rFonts w:ascii="Arial" w:hAnsi="Arial" w:cs="Arial"/>
          <w:b/>
          <w:bCs/>
          <w:sz w:val="22"/>
          <w:szCs w:val="22"/>
        </w:rPr>
        <w:br/>
      </w:r>
      <w:r w:rsidRPr="008244A1">
        <w:rPr>
          <w:rFonts w:ascii="Arial" w:hAnsi="Arial" w:cs="Arial"/>
          <w:b/>
          <w:bCs/>
          <w:sz w:val="22"/>
          <w:szCs w:val="22"/>
        </w:rPr>
        <w:br/>
        <w:t xml:space="preserve">Article one authored by Demerouti et al. (2001) theorises burnout with the JD-R model and findings concluded that high job demands (excessive workload, emotional demands/time pressure) and low job resources (insufficient staffing, low managerial support) resulted in feelings of exhaustion and diminished personal </w:t>
      </w:r>
      <w:r w:rsidRPr="008244A1">
        <w:rPr>
          <w:rFonts w:ascii="Arial" w:hAnsi="Arial" w:cs="Arial"/>
          <w:b/>
          <w:bCs/>
          <w:sz w:val="22"/>
          <w:szCs w:val="22"/>
        </w:rPr>
        <w:lastRenderedPageBreak/>
        <w:t>accomplishment. This is particularly useful when considering burnout in NHS staff; employees may experience periods of increased demand with limited staff capacity which results in medical professionals feeling they are unable to recuperate after their shift ends.</w:t>
      </w:r>
      <w:r w:rsidRPr="008244A1">
        <w:rPr>
          <w:rFonts w:ascii="Arial" w:hAnsi="Arial" w:cs="Arial"/>
          <w:b/>
          <w:bCs/>
          <w:sz w:val="22"/>
          <w:szCs w:val="22"/>
        </w:rPr>
        <w:br/>
      </w:r>
      <w:r w:rsidRPr="008244A1">
        <w:rPr>
          <w:rFonts w:ascii="Arial" w:hAnsi="Arial" w:cs="Arial"/>
          <w:b/>
          <w:bCs/>
          <w:sz w:val="22"/>
          <w:szCs w:val="22"/>
        </w:rPr>
        <w:br/>
        <w:t>Article two by McVicar (2016) explores possible causes of burnout within nurses and found similarities with Demerouti et al.’s study; workload intensity, shift patterns and emotional labour was cited as the largest contributors. Furthermore, this study - which is a systematic review - found that poor organisational culture and lack of communication played significant roles. This indicated that the surrounding environment has a greater impact than the individual’s ability to cope.</w:t>
      </w:r>
      <w:r w:rsidRPr="008244A1">
        <w:rPr>
          <w:rFonts w:ascii="Arial" w:hAnsi="Arial" w:cs="Arial"/>
          <w:b/>
          <w:bCs/>
          <w:sz w:val="22"/>
          <w:szCs w:val="22"/>
        </w:rPr>
        <w:br/>
      </w:r>
      <w:r w:rsidRPr="008244A1">
        <w:rPr>
          <w:rFonts w:ascii="Arial" w:hAnsi="Arial" w:cs="Arial"/>
          <w:b/>
          <w:bCs/>
          <w:sz w:val="22"/>
          <w:szCs w:val="22"/>
        </w:rPr>
        <w:br/>
        <w:t>The two articles both identified workload and staffing issues as root causes of burnout; however, McVicar seems to place greater emphasis on organisational factors and staff relationships. Article one focused on explaining the concept of burnout theoretically with the JD-R model.</w:t>
      </w:r>
      <w:r w:rsidRPr="008244A1">
        <w:rPr>
          <w:rFonts w:ascii="Arial" w:hAnsi="Arial" w:cs="Arial"/>
          <w:b/>
          <w:bCs/>
          <w:sz w:val="22"/>
          <w:szCs w:val="22"/>
        </w:rPr>
        <w:br/>
      </w:r>
      <w:r w:rsidRPr="008244A1">
        <w:rPr>
          <w:rFonts w:ascii="Arial" w:hAnsi="Arial" w:cs="Arial"/>
          <w:b/>
          <w:bCs/>
          <w:sz w:val="22"/>
          <w:szCs w:val="22"/>
        </w:rPr>
        <w:br/>
        <w:t>The issue of staff stress and burnout can be seen played out within NHS environments with high sickness absence rates, staff turnover and limited time spent with patients.</w:t>
      </w:r>
    </w:p>
    <w:p w14:paraId="10B08FC6" w14:textId="25B6223F" w:rsidR="007F52B8" w:rsidRDefault="007F52B8" w:rsidP="005C28E8">
      <w:pPr>
        <w:spacing w:line="360" w:lineRule="auto"/>
        <w:rPr>
          <w:rFonts w:ascii="Arial" w:hAnsi="Arial" w:cs="Arial"/>
          <w:b/>
          <w:bCs/>
          <w:sz w:val="22"/>
          <w:szCs w:val="22"/>
        </w:rPr>
      </w:pPr>
      <w:r w:rsidRPr="007F52B8">
        <w:rPr>
          <w:rFonts w:ascii="Arial" w:hAnsi="Arial" w:cs="Arial"/>
          <w:b/>
          <w:bCs/>
          <w:sz w:val="22"/>
          <w:szCs w:val="22"/>
        </w:rPr>
        <w:t>Technology in health and social care can enhance the way we monitor conditions and keep healthy, share information with professionals and link up with others.</w:t>
      </w:r>
      <w:r w:rsidRPr="007F52B8">
        <w:rPr>
          <w:rFonts w:ascii="Arial" w:hAnsi="Arial" w:cs="Arial"/>
          <w:b/>
          <w:bCs/>
          <w:sz w:val="22"/>
          <w:szCs w:val="22"/>
        </w:rPr>
        <w:br/>
      </w:r>
      <w:r w:rsidRPr="007F52B8">
        <w:rPr>
          <w:rFonts w:ascii="Arial" w:hAnsi="Arial" w:cs="Arial"/>
          <w:b/>
          <w:bCs/>
          <w:sz w:val="22"/>
          <w:szCs w:val="22"/>
        </w:rPr>
        <w:br/>
        <w:t>Digital technology can help manage long-term health conditions. Wearable technology enables clinicians to understand how healthy we are right now. It can allow someone with diabetes to measure their heart rate and activity levels and see how daily behaviours impact on their blood sugars. Clinicians can also use wearables to spot early warning signs to help reduce crises and avoid emergency admissions.</w:t>
      </w:r>
      <w:r w:rsidRPr="007F52B8">
        <w:rPr>
          <w:rFonts w:ascii="Arial" w:hAnsi="Arial" w:cs="Arial"/>
          <w:b/>
          <w:bCs/>
          <w:sz w:val="22"/>
          <w:szCs w:val="22"/>
        </w:rPr>
        <w:br/>
      </w:r>
      <w:r w:rsidRPr="007F52B8">
        <w:rPr>
          <w:rFonts w:ascii="Arial" w:hAnsi="Arial" w:cs="Arial"/>
          <w:b/>
          <w:bCs/>
          <w:sz w:val="22"/>
          <w:szCs w:val="22"/>
        </w:rPr>
        <w:br/>
        <w:t xml:space="preserve">Technology can help information flow seamlessly between professionals, allowing anyone involved in a patient’s care to view up-to-date medical history. Let’s say there’s a patient seeing a GP, hospital consultant and community nurse. Access to Electronic Health Records means that all parties are accessing the same information about medicines, known allergies and existing medical conditions. Reduced duplication means less risk of prescribing the same medicine to a patient or prescribing medicine they’re allergic too. Information can also be updated by </w:t>
      </w:r>
      <w:r w:rsidRPr="007F52B8">
        <w:rPr>
          <w:rFonts w:ascii="Arial" w:hAnsi="Arial" w:cs="Arial"/>
          <w:b/>
          <w:bCs/>
          <w:sz w:val="22"/>
          <w:szCs w:val="22"/>
        </w:rPr>
        <w:lastRenderedPageBreak/>
        <w:t>professionals at the point of care which improves collaboration between teams and helps to keep everyone safe.</w:t>
      </w:r>
      <w:r w:rsidRPr="007F52B8">
        <w:rPr>
          <w:rFonts w:ascii="Arial" w:hAnsi="Arial" w:cs="Arial"/>
          <w:b/>
          <w:bCs/>
          <w:sz w:val="22"/>
          <w:szCs w:val="22"/>
        </w:rPr>
        <w:br/>
      </w:r>
      <w:r w:rsidRPr="007F52B8">
        <w:rPr>
          <w:rFonts w:ascii="Arial" w:hAnsi="Arial" w:cs="Arial"/>
          <w:b/>
          <w:bCs/>
          <w:sz w:val="22"/>
          <w:szCs w:val="22"/>
        </w:rPr>
        <w:br/>
        <w:t>Technology also allows us to stay healthy or seek help at the earliest possible stage. There are a number of NHS weight management apps which allow people to keep track of how much they exercise, improve their diet and set goals to improve their health. In Jane’s case she could have been offered preventative digital support such as alerts to improve her lifestyle to prevent her from developing cardiovascular disease.</w:t>
      </w:r>
    </w:p>
    <w:p w14:paraId="55E651F9" w14:textId="77777777" w:rsidR="007F52B8" w:rsidRDefault="007F52B8" w:rsidP="005C28E8">
      <w:pPr>
        <w:spacing w:line="360" w:lineRule="auto"/>
        <w:rPr>
          <w:rFonts w:ascii="Arial" w:hAnsi="Arial" w:cs="Arial"/>
          <w:b/>
          <w:bCs/>
          <w:sz w:val="22"/>
          <w:szCs w:val="22"/>
        </w:rPr>
      </w:pPr>
    </w:p>
    <w:p w14:paraId="5CBC676A" w14:textId="326B4459" w:rsidR="007F52B8" w:rsidRDefault="007F52B8" w:rsidP="005C28E8">
      <w:pPr>
        <w:spacing w:line="360" w:lineRule="auto"/>
        <w:rPr>
          <w:rFonts w:ascii="Arial" w:hAnsi="Arial" w:cs="Arial"/>
          <w:b/>
          <w:bCs/>
          <w:sz w:val="22"/>
          <w:szCs w:val="22"/>
        </w:rPr>
      </w:pPr>
      <w:r w:rsidRPr="007F52B8">
        <w:rPr>
          <w:rFonts w:ascii="Arial" w:hAnsi="Arial" w:cs="Arial"/>
          <w:b/>
          <w:bCs/>
          <w:sz w:val="22"/>
          <w:szCs w:val="22"/>
        </w:rPr>
        <w:t>The NHS Healthcare Leadership Model consists of a set of behaviours leaders should demonstrate to be effective in health and social care organisations. The behaviours of this model are founded around five domains: Inspiring shared purpose; Leading with care; Evaluating information; Engaging the team; and Achieving results (NHS Leadership Academy, 2013). The behaviours in this framework allow leaders to demonstrate they do more than manage the service they work in but inspire compassionate, evidenced-based and collaborative care. It is essential leaders adopt behaviours mapped out by this framework to provide cohesion and consistency of leadership practices across the NHS. It can help the NHS respond to issues surrounding workforce shortages, rising demand from patients and complexity within the health care system. Adapting the behaviours in real-world scenarios allows leaders to improve communication with staff and patients, staff wellbeing and patient safety and promote an ongoing cycle of clinical and leadership improvement (NHS England, 2022).</w:t>
      </w:r>
      <w:r w:rsidRPr="007F52B8">
        <w:rPr>
          <w:rFonts w:ascii="Arial" w:hAnsi="Arial" w:cs="Arial"/>
          <w:b/>
          <w:bCs/>
          <w:sz w:val="22"/>
          <w:szCs w:val="22"/>
        </w:rPr>
        <w:br/>
      </w:r>
      <w:r w:rsidRPr="007F52B8">
        <w:rPr>
          <w:rFonts w:ascii="Arial" w:hAnsi="Arial" w:cs="Arial"/>
          <w:b/>
          <w:bCs/>
          <w:sz w:val="22"/>
          <w:szCs w:val="22"/>
        </w:rPr>
        <w:br/>
        <w:t>One behaviour that resonated with me was “leading with care”. Leading with care encourages leaders to show compassion and empathy with both staff and service users. For instance, a leader who displays this behaviour could foster creativity in the workplace by allowing staff to feel safe when suggesting new ideas and improvements to the current way of working without fear of being judged or shouted at by their manager. If a ward manager led with care, they may encourage HCAs and nurses to suggest ways to improve patients’ experiences on their journey to discharge. . Leading with care can allow leaders to improve staff experience and prevent burn out which will have a positive effect on the care they provide patients. Patients who experience compassion from their healthcare professionals are likely to have better outcomes (West et al., 2017).</w:t>
      </w:r>
      <w:r w:rsidRPr="007F52B8">
        <w:rPr>
          <w:rFonts w:ascii="Arial" w:hAnsi="Arial" w:cs="Arial"/>
          <w:b/>
          <w:bCs/>
          <w:sz w:val="22"/>
          <w:szCs w:val="22"/>
        </w:rPr>
        <w:br/>
      </w:r>
      <w:r w:rsidRPr="007F52B8">
        <w:rPr>
          <w:rFonts w:ascii="Arial" w:hAnsi="Arial" w:cs="Arial"/>
          <w:b/>
          <w:bCs/>
          <w:sz w:val="22"/>
          <w:szCs w:val="22"/>
        </w:rPr>
        <w:lastRenderedPageBreak/>
        <w:br/>
        <w:t>My knowledge on creativity and value has vastly improved throughout this module. Before this module, I viewed creativity as simply coming up with new ideas to implement. However, I now know there is so much more to it. Creativity can consist of finding solutions to problems, implementing small changes to improve current practices and finding ways to adapt things to better the services we provide to patients in a practical way. After learning about value-based healthcare and Porter’s model of value, I now know that we create value when we can improve outcomes for patients compared to the cost it takes to deliver those care.</w:t>
      </w:r>
      <w:r w:rsidRPr="007F52B8">
        <w:rPr>
          <w:rFonts w:ascii="Arial" w:hAnsi="Arial" w:cs="Arial"/>
          <w:b/>
          <w:bCs/>
          <w:sz w:val="22"/>
          <w:szCs w:val="22"/>
        </w:rPr>
        <w:br/>
      </w:r>
      <w:r w:rsidRPr="007F52B8">
        <w:rPr>
          <w:rFonts w:ascii="Arial" w:hAnsi="Arial" w:cs="Arial"/>
          <w:b/>
          <w:bCs/>
          <w:sz w:val="22"/>
          <w:szCs w:val="22"/>
        </w:rPr>
        <w:br/>
        <w:t>What I also took from this module was the idea that innovation is not left up to chance. Innovation is structured and requires team work, leadership and critical decision-making using evidence. Moving forward, I will use these learnings to implement more ideas myself as I no longer feel uncomfortable suggesting small changes that could improve patient care.</w:t>
      </w:r>
    </w:p>
    <w:p w14:paraId="2E241C5D" w14:textId="3D421044" w:rsidR="007F52B8" w:rsidRDefault="007F52B8" w:rsidP="005C28E8">
      <w:pPr>
        <w:spacing w:line="360" w:lineRule="auto"/>
        <w:rPr>
          <w:rFonts w:ascii="Arial" w:hAnsi="Arial" w:cs="Arial"/>
          <w:b/>
          <w:bCs/>
          <w:sz w:val="22"/>
          <w:szCs w:val="22"/>
        </w:rPr>
      </w:pPr>
      <w:r w:rsidRPr="007F52B8">
        <w:rPr>
          <w:rFonts w:ascii="Arial" w:hAnsi="Arial" w:cs="Arial"/>
          <w:b/>
          <w:bCs/>
          <w:sz w:val="22"/>
          <w:szCs w:val="22"/>
        </w:rPr>
        <w:t>Overall this module helped me gain more confidence around creativity, innovation and value creation within health and social care. This module made me realise creativity is not just about having new ideas but generating ideas to solve problems or improve services. Innovation is also something that is implemented through frameworks and evidence-based ideas rather than just one individual idea. Value creation is about improving outcomes for patients but decreasing or optimising the use of resources (Porter, 2010).</w:t>
      </w:r>
      <w:r w:rsidRPr="007F52B8">
        <w:rPr>
          <w:rFonts w:ascii="Arial" w:hAnsi="Arial" w:cs="Arial"/>
          <w:b/>
          <w:bCs/>
          <w:sz w:val="22"/>
          <w:szCs w:val="22"/>
        </w:rPr>
        <w:br/>
      </w:r>
      <w:r w:rsidRPr="007F52B8">
        <w:rPr>
          <w:rFonts w:ascii="Arial" w:hAnsi="Arial" w:cs="Arial"/>
          <w:b/>
          <w:bCs/>
          <w:sz w:val="22"/>
          <w:szCs w:val="22"/>
        </w:rPr>
        <w:br/>
        <w:t>One task that made me change the way I think was when we had to analyse some NHS innovations such as AI diagnostic tools or digital health which helped me see how these innovations are put into practice within healthcare to help make services more efficient, improve patient safety and access to services. When we discussed convergent/divergent thinking in groups I also realised how group work can impact how an idea is generated or what decision is made.</w:t>
      </w:r>
      <w:r w:rsidRPr="007F52B8">
        <w:rPr>
          <w:rFonts w:ascii="Arial" w:hAnsi="Arial" w:cs="Arial"/>
          <w:b/>
          <w:bCs/>
          <w:sz w:val="22"/>
          <w:szCs w:val="22"/>
        </w:rPr>
        <w:br/>
      </w:r>
      <w:r w:rsidRPr="007F52B8">
        <w:rPr>
          <w:rFonts w:ascii="Arial" w:hAnsi="Arial" w:cs="Arial"/>
          <w:b/>
          <w:bCs/>
          <w:sz w:val="22"/>
          <w:szCs w:val="22"/>
        </w:rPr>
        <w:br/>
        <w:t>In my next placement/professional position I will use what I have learnt from this module by speaking up more in team meetings and offering ideas. I will also be more open to constructive criticism to improve my ideas. I will also look to improve on small areas of practice to help create value for patients and staff.</w:t>
      </w:r>
    </w:p>
    <w:p w14:paraId="14303814" w14:textId="187231B3" w:rsidR="002D370A" w:rsidRDefault="002D370A" w:rsidP="005C28E8">
      <w:pPr>
        <w:spacing w:line="360" w:lineRule="auto"/>
        <w:rPr>
          <w:rFonts w:ascii="Arial" w:hAnsi="Arial" w:cs="Arial"/>
          <w:b/>
          <w:bCs/>
          <w:sz w:val="22"/>
          <w:szCs w:val="22"/>
        </w:rPr>
      </w:pPr>
      <w:r>
        <w:rPr>
          <w:rFonts w:ascii="Arial" w:hAnsi="Arial" w:cs="Arial"/>
          <w:b/>
          <w:bCs/>
          <w:sz w:val="22"/>
          <w:szCs w:val="22"/>
        </w:rPr>
        <w:t xml:space="preserve">References </w:t>
      </w:r>
    </w:p>
    <w:p w14:paraId="66186351" w14:textId="77777777" w:rsidR="002D370A" w:rsidRDefault="002D370A" w:rsidP="005C28E8">
      <w:pPr>
        <w:spacing w:line="360" w:lineRule="auto"/>
        <w:rPr>
          <w:rFonts w:ascii="Arial" w:hAnsi="Arial" w:cs="Arial"/>
          <w:b/>
          <w:bCs/>
          <w:sz w:val="22"/>
          <w:szCs w:val="22"/>
        </w:rPr>
      </w:pPr>
    </w:p>
    <w:p w14:paraId="1D507EC5"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Amabile, T.M. (1996) </w:t>
      </w:r>
      <w:r w:rsidRPr="002D370A">
        <w:rPr>
          <w:rFonts w:ascii="Arial" w:hAnsi="Arial" w:cs="Arial"/>
          <w:b/>
          <w:bCs/>
          <w:i/>
          <w:iCs/>
          <w:color w:val="000000" w:themeColor="text1"/>
          <w:sz w:val="22"/>
          <w:szCs w:val="22"/>
        </w:rPr>
        <w:t>Creativity in Context</w:t>
      </w:r>
      <w:r w:rsidRPr="002D370A">
        <w:rPr>
          <w:rFonts w:ascii="Arial" w:hAnsi="Arial" w:cs="Arial"/>
          <w:b/>
          <w:bCs/>
          <w:color w:val="000000" w:themeColor="text1"/>
          <w:sz w:val="22"/>
          <w:szCs w:val="22"/>
        </w:rPr>
        <w:t>. Boulder, CO: Westview Press.</w:t>
      </w:r>
    </w:p>
    <w:p w14:paraId="341BFB56"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Burnes, B. (2017) </w:t>
      </w:r>
      <w:r w:rsidRPr="002D370A">
        <w:rPr>
          <w:rFonts w:ascii="Arial" w:hAnsi="Arial" w:cs="Arial"/>
          <w:b/>
          <w:bCs/>
          <w:i/>
          <w:iCs/>
          <w:color w:val="000000" w:themeColor="text1"/>
          <w:sz w:val="22"/>
          <w:szCs w:val="22"/>
        </w:rPr>
        <w:t>Managing Change</w:t>
      </w:r>
      <w:r w:rsidRPr="002D370A">
        <w:rPr>
          <w:rFonts w:ascii="Arial" w:hAnsi="Arial" w:cs="Arial"/>
          <w:b/>
          <w:bCs/>
          <w:color w:val="000000" w:themeColor="text1"/>
          <w:sz w:val="22"/>
          <w:szCs w:val="22"/>
        </w:rPr>
        <w:t xml:space="preserve">. 7th </w:t>
      </w:r>
      <w:proofErr w:type="spellStart"/>
      <w:r w:rsidRPr="002D370A">
        <w:rPr>
          <w:rFonts w:ascii="Arial" w:hAnsi="Arial" w:cs="Arial"/>
          <w:b/>
          <w:bCs/>
          <w:color w:val="000000" w:themeColor="text1"/>
          <w:sz w:val="22"/>
          <w:szCs w:val="22"/>
        </w:rPr>
        <w:t>edn</w:t>
      </w:r>
      <w:proofErr w:type="spellEnd"/>
      <w:r w:rsidRPr="002D370A">
        <w:rPr>
          <w:rFonts w:ascii="Arial" w:hAnsi="Arial" w:cs="Arial"/>
          <w:b/>
          <w:bCs/>
          <w:color w:val="000000" w:themeColor="text1"/>
          <w:sz w:val="22"/>
          <w:szCs w:val="22"/>
        </w:rPr>
        <w:t>. Harlow: Pearson.</w:t>
      </w:r>
    </w:p>
    <w:p w14:paraId="3085D112"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Demerouti, E., Bakker, A.B., Nachreiner, F. and Schaufeli, W.B. (2001) ‘The job demands–resources model of burnout’, </w:t>
      </w:r>
      <w:r w:rsidRPr="002D370A">
        <w:rPr>
          <w:rFonts w:ascii="Arial" w:hAnsi="Arial" w:cs="Arial"/>
          <w:b/>
          <w:bCs/>
          <w:i/>
          <w:iCs/>
          <w:color w:val="000000" w:themeColor="text1"/>
          <w:sz w:val="22"/>
          <w:szCs w:val="22"/>
        </w:rPr>
        <w:t>Journal of Applied Psychology</w:t>
      </w:r>
      <w:r w:rsidRPr="002D370A">
        <w:rPr>
          <w:rFonts w:ascii="Arial" w:hAnsi="Arial" w:cs="Arial"/>
          <w:b/>
          <w:bCs/>
          <w:color w:val="000000" w:themeColor="text1"/>
          <w:sz w:val="22"/>
          <w:szCs w:val="22"/>
        </w:rPr>
        <w:t>, 86(3), pp. 499–512.</w:t>
      </w:r>
    </w:p>
    <w:p w14:paraId="18B271ED"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Gibbs, G. (1988) </w:t>
      </w:r>
      <w:r w:rsidRPr="002D370A">
        <w:rPr>
          <w:rFonts w:ascii="Arial" w:hAnsi="Arial" w:cs="Arial"/>
          <w:b/>
          <w:bCs/>
          <w:i/>
          <w:iCs/>
          <w:color w:val="000000" w:themeColor="text1"/>
          <w:sz w:val="22"/>
          <w:szCs w:val="22"/>
        </w:rPr>
        <w:t>Learning by Doing: A Guide to Teaching and Learning Methods</w:t>
      </w:r>
      <w:r w:rsidRPr="002D370A">
        <w:rPr>
          <w:rFonts w:ascii="Arial" w:hAnsi="Arial" w:cs="Arial"/>
          <w:b/>
          <w:bCs/>
          <w:color w:val="000000" w:themeColor="text1"/>
          <w:sz w:val="22"/>
          <w:szCs w:val="22"/>
        </w:rPr>
        <w:t>. Oxford: Oxford Polytechnic.</w:t>
      </w:r>
    </w:p>
    <w:p w14:paraId="10C94CC8"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McVicar, A. (2016) ‘Scoping the common antecedents of job stress and job satisfaction for nurses’, </w:t>
      </w:r>
      <w:r w:rsidRPr="002D370A">
        <w:rPr>
          <w:rFonts w:ascii="Arial" w:hAnsi="Arial" w:cs="Arial"/>
          <w:b/>
          <w:bCs/>
          <w:i/>
          <w:iCs/>
          <w:color w:val="000000" w:themeColor="text1"/>
          <w:sz w:val="22"/>
          <w:szCs w:val="22"/>
        </w:rPr>
        <w:t>International Journal of Nursing Studies</w:t>
      </w:r>
      <w:r w:rsidRPr="002D370A">
        <w:rPr>
          <w:rFonts w:ascii="Arial" w:hAnsi="Arial" w:cs="Arial"/>
          <w:b/>
          <w:bCs/>
          <w:color w:val="000000" w:themeColor="text1"/>
          <w:sz w:val="22"/>
          <w:szCs w:val="22"/>
        </w:rPr>
        <w:t>, 61, pp. 11–24.</w:t>
      </w:r>
    </w:p>
    <w:p w14:paraId="15934EEA"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Meadows, D.H. (2008) </w:t>
      </w:r>
      <w:r w:rsidRPr="002D370A">
        <w:rPr>
          <w:rFonts w:ascii="Arial" w:hAnsi="Arial" w:cs="Arial"/>
          <w:b/>
          <w:bCs/>
          <w:i/>
          <w:iCs/>
          <w:color w:val="000000" w:themeColor="text1"/>
          <w:sz w:val="22"/>
          <w:szCs w:val="22"/>
        </w:rPr>
        <w:t>Thinking in Systems: A Primer</w:t>
      </w:r>
      <w:r w:rsidRPr="002D370A">
        <w:rPr>
          <w:rFonts w:ascii="Arial" w:hAnsi="Arial" w:cs="Arial"/>
          <w:b/>
          <w:bCs/>
          <w:color w:val="000000" w:themeColor="text1"/>
          <w:sz w:val="22"/>
          <w:szCs w:val="22"/>
        </w:rPr>
        <w:t>. White River Junction, VT: Chelsea Green Publishing.</w:t>
      </w:r>
    </w:p>
    <w:p w14:paraId="4F473652"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NHS Digital (2024) </w:t>
      </w:r>
      <w:r w:rsidRPr="002D370A">
        <w:rPr>
          <w:rFonts w:ascii="Arial" w:hAnsi="Arial" w:cs="Arial"/>
          <w:b/>
          <w:bCs/>
          <w:i/>
          <w:iCs/>
          <w:color w:val="000000" w:themeColor="text1"/>
          <w:sz w:val="22"/>
          <w:szCs w:val="22"/>
        </w:rPr>
        <w:t>Artificial intelligence in health and care: progress report</w:t>
      </w:r>
      <w:r w:rsidRPr="002D370A">
        <w:rPr>
          <w:rFonts w:ascii="Arial" w:hAnsi="Arial" w:cs="Arial"/>
          <w:b/>
          <w:bCs/>
          <w:color w:val="000000" w:themeColor="text1"/>
          <w:sz w:val="22"/>
          <w:szCs w:val="22"/>
        </w:rPr>
        <w:t xml:space="preserve">. Available at: </w:t>
      </w:r>
      <w:hyperlink r:id="rId7" w:tgtFrame="_new" w:history="1">
        <w:r w:rsidRPr="002D370A">
          <w:rPr>
            <w:rStyle w:val="Hyperlink"/>
            <w:rFonts w:ascii="Arial" w:hAnsi="Arial" w:cs="Arial"/>
            <w:b/>
            <w:bCs/>
            <w:color w:val="000000" w:themeColor="text1"/>
            <w:sz w:val="22"/>
            <w:szCs w:val="22"/>
            <w:u w:val="none"/>
          </w:rPr>
          <w:t>https://digital.nhs.uk</w:t>
        </w:r>
      </w:hyperlink>
      <w:r w:rsidRPr="002D370A">
        <w:rPr>
          <w:rFonts w:ascii="Arial" w:hAnsi="Arial" w:cs="Arial"/>
          <w:b/>
          <w:bCs/>
          <w:color w:val="000000" w:themeColor="text1"/>
          <w:sz w:val="22"/>
          <w:szCs w:val="22"/>
        </w:rPr>
        <w:t xml:space="preserve"> (Accessed: 12 April 2026).</w:t>
      </w:r>
    </w:p>
    <w:p w14:paraId="79FBB8AC"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NHS England (2022) </w:t>
      </w:r>
      <w:r w:rsidRPr="002D370A">
        <w:rPr>
          <w:rFonts w:ascii="Arial" w:hAnsi="Arial" w:cs="Arial"/>
          <w:b/>
          <w:bCs/>
          <w:i/>
          <w:iCs/>
          <w:color w:val="000000" w:themeColor="text1"/>
          <w:sz w:val="22"/>
          <w:szCs w:val="22"/>
        </w:rPr>
        <w:t>The NHS Healthcare Leadership Model</w:t>
      </w:r>
      <w:r w:rsidRPr="002D370A">
        <w:rPr>
          <w:rFonts w:ascii="Arial" w:hAnsi="Arial" w:cs="Arial"/>
          <w:b/>
          <w:bCs/>
          <w:color w:val="000000" w:themeColor="text1"/>
          <w:sz w:val="22"/>
          <w:szCs w:val="22"/>
        </w:rPr>
        <w:t xml:space="preserve">. Available at: </w:t>
      </w:r>
      <w:hyperlink r:id="rId8" w:tgtFrame="_new" w:history="1">
        <w:r w:rsidRPr="002D370A">
          <w:rPr>
            <w:rStyle w:val="Hyperlink"/>
            <w:rFonts w:ascii="Arial" w:hAnsi="Arial" w:cs="Arial"/>
            <w:b/>
            <w:bCs/>
            <w:color w:val="000000" w:themeColor="text1"/>
            <w:sz w:val="22"/>
            <w:szCs w:val="22"/>
            <w:u w:val="none"/>
          </w:rPr>
          <w:t>https://www.leadershipacademy.nhs.uk</w:t>
        </w:r>
      </w:hyperlink>
      <w:r w:rsidRPr="002D370A">
        <w:rPr>
          <w:rFonts w:ascii="Arial" w:hAnsi="Arial" w:cs="Arial"/>
          <w:b/>
          <w:bCs/>
          <w:color w:val="000000" w:themeColor="text1"/>
          <w:sz w:val="22"/>
          <w:szCs w:val="22"/>
        </w:rPr>
        <w:t xml:space="preserve"> (Accessed: 12 April 2026).</w:t>
      </w:r>
    </w:p>
    <w:p w14:paraId="48E88E94"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NHS England (2024) </w:t>
      </w:r>
      <w:r w:rsidRPr="002D370A">
        <w:rPr>
          <w:rFonts w:ascii="Arial" w:hAnsi="Arial" w:cs="Arial"/>
          <w:b/>
          <w:bCs/>
          <w:i/>
          <w:iCs/>
          <w:color w:val="000000" w:themeColor="text1"/>
          <w:sz w:val="22"/>
          <w:szCs w:val="22"/>
        </w:rPr>
        <w:t>The NHS Long Term Plan: progress update</w:t>
      </w:r>
      <w:r w:rsidRPr="002D370A">
        <w:rPr>
          <w:rFonts w:ascii="Arial" w:hAnsi="Arial" w:cs="Arial"/>
          <w:b/>
          <w:bCs/>
          <w:color w:val="000000" w:themeColor="text1"/>
          <w:sz w:val="22"/>
          <w:szCs w:val="22"/>
        </w:rPr>
        <w:t xml:space="preserve">. Available at: </w:t>
      </w:r>
      <w:hyperlink r:id="rId9" w:tgtFrame="_new" w:history="1">
        <w:r w:rsidRPr="002D370A">
          <w:rPr>
            <w:rStyle w:val="Hyperlink"/>
            <w:rFonts w:ascii="Arial" w:hAnsi="Arial" w:cs="Arial"/>
            <w:b/>
            <w:bCs/>
            <w:color w:val="000000" w:themeColor="text1"/>
            <w:sz w:val="22"/>
            <w:szCs w:val="22"/>
            <w:u w:val="none"/>
          </w:rPr>
          <w:t>https://www.england.nhs.uk</w:t>
        </w:r>
      </w:hyperlink>
      <w:r w:rsidRPr="002D370A">
        <w:rPr>
          <w:rFonts w:ascii="Arial" w:hAnsi="Arial" w:cs="Arial"/>
          <w:b/>
          <w:bCs/>
          <w:color w:val="000000" w:themeColor="text1"/>
          <w:sz w:val="22"/>
          <w:szCs w:val="22"/>
        </w:rPr>
        <w:t xml:space="preserve"> (Accessed: 12 April 2026).</w:t>
      </w:r>
    </w:p>
    <w:p w14:paraId="1CB2936B"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NHS Leadership Academy (2013) </w:t>
      </w:r>
      <w:r w:rsidRPr="002D370A">
        <w:rPr>
          <w:rFonts w:ascii="Arial" w:hAnsi="Arial" w:cs="Arial"/>
          <w:b/>
          <w:bCs/>
          <w:i/>
          <w:iCs/>
          <w:color w:val="000000" w:themeColor="text1"/>
          <w:sz w:val="22"/>
          <w:szCs w:val="22"/>
        </w:rPr>
        <w:t>Healthcare Leadership Model</w:t>
      </w:r>
      <w:r w:rsidRPr="002D370A">
        <w:rPr>
          <w:rFonts w:ascii="Arial" w:hAnsi="Arial" w:cs="Arial"/>
          <w:b/>
          <w:bCs/>
          <w:color w:val="000000" w:themeColor="text1"/>
          <w:sz w:val="22"/>
          <w:szCs w:val="22"/>
        </w:rPr>
        <w:t>. Leeds: NHS Leadership Academy.</w:t>
      </w:r>
    </w:p>
    <w:p w14:paraId="09CE2693"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Porter, M.E. (2010) ‘What is value in health care?’, </w:t>
      </w:r>
      <w:r w:rsidRPr="002D370A">
        <w:rPr>
          <w:rFonts w:ascii="Arial" w:hAnsi="Arial" w:cs="Arial"/>
          <w:b/>
          <w:bCs/>
          <w:i/>
          <w:iCs/>
          <w:color w:val="000000" w:themeColor="text1"/>
          <w:sz w:val="22"/>
          <w:szCs w:val="22"/>
        </w:rPr>
        <w:t>New England Journal of Medicine</w:t>
      </w:r>
      <w:r w:rsidRPr="002D370A">
        <w:rPr>
          <w:rFonts w:ascii="Arial" w:hAnsi="Arial" w:cs="Arial"/>
          <w:b/>
          <w:bCs/>
          <w:color w:val="000000" w:themeColor="text1"/>
          <w:sz w:val="22"/>
          <w:szCs w:val="22"/>
        </w:rPr>
        <w:t>, 363(26), pp. 2477–2481.</w:t>
      </w:r>
    </w:p>
    <w:p w14:paraId="44AA7971"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Rogers, E.M. (2003) </w:t>
      </w:r>
      <w:r w:rsidRPr="002D370A">
        <w:rPr>
          <w:rFonts w:ascii="Arial" w:hAnsi="Arial" w:cs="Arial"/>
          <w:b/>
          <w:bCs/>
          <w:i/>
          <w:iCs/>
          <w:color w:val="000000" w:themeColor="text1"/>
          <w:sz w:val="22"/>
          <w:szCs w:val="22"/>
        </w:rPr>
        <w:t>Diffusion of Innovations</w:t>
      </w:r>
      <w:r w:rsidRPr="002D370A">
        <w:rPr>
          <w:rFonts w:ascii="Arial" w:hAnsi="Arial" w:cs="Arial"/>
          <w:b/>
          <w:bCs/>
          <w:color w:val="000000" w:themeColor="text1"/>
          <w:sz w:val="22"/>
          <w:szCs w:val="22"/>
        </w:rPr>
        <w:t xml:space="preserve">. 5th </w:t>
      </w:r>
      <w:proofErr w:type="spellStart"/>
      <w:r w:rsidRPr="002D370A">
        <w:rPr>
          <w:rFonts w:ascii="Arial" w:hAnsi="Arial" w:cs="Arial"/>
          <w:b/>
          <w:bCs/>
          <w:color w:val="000000" w:themeColor="text1"/>
          <w:sz w:val="22"/>
          <w:szCs w:val="22"/>
        </w:rPr>
        <w:t>edn</w:t>
      </w:r>
      <w:proofErr w:type="spellEnd"/>
      <w:r w:rsidRPr="002D370A">
        <w:rPr>
          <w:rFonts w:ascii="Arial" w:hAnsi="Arial" w:cs="Arial"/>
          <w:b/>
          <w:bCs/>
          <w:color w:val="000000" w:themeColor="text1"/>
          <w:sz w:val="22"/>
          <w:szCs w:val="22"/>
        </w:rPr>
        <w:t>. New York: Free Press.</w:t>
      </w:r>
    </w:p>
    <w:p w14:paraId="5B01CC0D" w14:textId="77777777" w:rsidR="002D370A" w:rsidRPr="002D370A" w:rsidRDefault="002D370A" w:rsidP="002D370A">
      <w:pPr>
        <w:spacing w:line="360" w:lineRule="auto"/>
        <w:rPr>
          <w:rFonts w:ascii="Arial" w:hAnsi="Arial" w:cs="Arial"/>
          <w:b/>
          <w:bCs/>
          <w:color w:val="000000" w:themeColor="text1"/>
          <w:sz w:val="22"/>
          <w:szCs w:val="22"/>
        </w:rPr>
      </w:pPr>
      <w:r w:rsidRPr="002D370A">
        <w:rPr>
          <w:rFonts w:ascii="Arial" w:hAnsi="Arial" w:cs="Arial"/>
          <w:b/>
          <w:bCs/>
          <w:color w:val="000000" w:themeColor="text1"/>
          <w:sz w:val="22"/>
          <w:szCs w:val="22"/>
        </w:rPr>
        <w:t xml:space="preserve">West, M., Eckert, R., Collins, B. and Chowla, R. (2017) </w:t>
      </w:r>
      <w:r w:rsidRPr="002D370A">
        <w:rPr>
          <w:rFonts w:ascii="Arial" w:hAnsi="Arial" w:cs="Arial"/>
          <w:b/>
          <w:bCs/>
          <w:i/>
          <w:iCs/>
          <w:color w:val="000000" w:themeColor="text1"/>
          <w:sz w:val="22"/>
          <w:szCs w:val="22"/>
        </w:rPr>
        <w:t>Caring to Change: How Compassionate Leadership Can Stimulate Innovation in Health Care</w:t>
      </w:r>
      <w:r w:rsidRPr="002D370A">
        <w:rPr>
          <w:rFonts w:ascii="Arial" w:hAnsi="Arial" w:cs="Arial"/>
          <w:b/>
          <w:bCs/>
          <w:color w:val="000000" w:themeColor="text1"/>
          <w:sz w:val="22"/>
          <w:szCs w:val="22"/>
        </w:rPr>
        <w:t>. London: The King’s Fund.</w:t>
      </w:r>
    </w:p>
    <w:p w14:paraId="32DB4503" w14:textId="77777777" w:rsidR="002D370A" w:rsidRDefault="002D370A" w:rsidP="005C28E8">
      <w:pPr>
        <w:spacing w:line="360" w:lineRule="auto"/>
        <w:rPr>
          <w:rFonts w:ascii="Arial" w:hAnsi="Arial" w:cs="Arial"/>
          <w:b/>
          <w:bCs/>
          <w:sz w:val="22"/>
          <w:szCs w:val="22"/>
        </w:rPr>
      </w:pPr>
    </w:p>
    <w:p w14:paraId="3AB5D701" w14:textId="77777777" w:rsidR="002F4606" w:rsidRDefault="002F4606" w:rsidP="005C28E8">
      <w:pPr>
        <w:spacing w:line="360" w:lineRule="auto"/>
        <w:rPr>
          <w:rFonts w:ascii="Arial" w:hAnsi="Arial" w:cs="Arial"/>
          <w:b/>
          <w:bCs/>
          <w:sz w:val="22"/>
          <w:szCs w:val="22"/>
        </w:rPr>
      </w:pPr>
    </w:p>
    <w:p w14:paraId="1EB5E6E9" w14:textId="77777777" w:rsidR="002F4606" w:rsidRDefault="002F4606" w:rsidP="005C28E8">
      <w:pPr>
        <w:spacing w:line="360" w:lineRule="auto"/>
        <w:rPr>
          <w:rFonts w:ascii="Arial" w:hAnsi="Arial" w:cs="Arial"/>
          <w:b/>
          <w:bCs/>
          <w:sz w:val="22"/>
          <w:szCs w:val="22"/>
        </w:rPr>
      </w:pPr>
    </w:p>
    <w:p w14:paraId="0F296AA9" w14:textId="559774D6" w:rsidR="002F4606" w:rsidRDefault="002F4606" w:rsidP="005C28E8">
      <w:pPr>
        <w:spacing w:line="360" w:lineRule="auto"/>
        <w:rPr>
          <w:rFonts w:ascii="Arial" w:hAnsi="Arial" w:cs="Arial"/>
          <w:b/>
          <w:bCs/>
          <w:sz w:val="22"/>
          <w:szCs w:val="22"/>
        </w:rPr>
      </w:pPr>
      <w:r>
        <w:rPr>
          <w:rFonts w:ascii="Arial" w:hAnsi="Arial" w:cs="Arial"/>
          <w:b/>
          <w:bCs/>
          <w:sz w:val="22"/>
          <w:szCs w:val="22"/>
        </w:rPr>
        <w:lastRenderedPageBreak/>
        <w:t xml:space="preserve">Evidence based Screenshots: </w:t>
      </w:r>
    </w:p>
    <w:p w14:paraId="362995B3" w14:textId="49B3566A" w:rsidR="002F4606" w:rsidRPr="00186604" w:rsidRDefault="002F4606" w:rsidP="005C28E8">
      <w:pPr>
        <w:spacing w:line="360" w:lineRule="auto"/>
        <w:rPr>
          <w:rFonts w:ascii="Arial" w:hAnsi="Arial" w:cs="Arial"/>
          <w:b/>
          <w:bCs/>
          <w:sz w:val="22"/>
          <w:szCs w:val="22"/>
        </w:rPr>
      </w:pPr>
      <w:r>
        <w:rPr>
          <w:rFonts w:ascii="Arial" w:hAnsi="Arial" w:cs="Arial"/>
          <w:b/>
          <w:bCs/>
          <w:noProof/>
          <w:sz w:val="22"/>
          <w:szCs w:val="22"/>
          <w14:ligatures w14:val="standardContextual"/>
        </w:rPr>
        <w:drawing>
          <wp:inline distT="0" distB="0" distL="0" distR="0" wp14:anchorId="56863D3E" wp14:editId="3C0C63C5">
            <wp:extent cx="5731510" cy="955675"/>
            <wp:effectExtent l="0" t="0" r="2540" b="0"/>
            <wp:docPr id="1814140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414062" name="Picture 181414062"/>
                    <pic:cNvPicPr/>
                  </pic:nvPicPr>
                  <pic:blipFill>
                    <a:blip r:embed="rId10" cstate="print">
                      <a:extLst>
                        <a:ext uri="{28A0092B-C50C-407E-A947-70E740481C1C}">
                          <a14:useLocalDpi xmlns:a14="http://schemas.microsoft.com/office/drawing/2010/main" val="0"/>
                        </a:ext>
                      </a:extLst>
                    </a:blip>
                    <a:stretch>
                      <a:fillRect/>
                    </a:stretch>
                  </pic:blipFill>
                  <pic:spPr>
                    <a:xfrm>
                      <a:off x="0" y="0"/>
                      <a:ext cx="5731510" cy="95567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1E7EFF71" wp14:editId="0BC26795">
            <wp:extent cx="5731510" cy="1142365"/>
            <wp:effectExtent l="0" t="0" r="2540" b="635"/>
            <wp:docPr id="25072652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0726525" name="Picture 250726525"/>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114236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613E937C" wp14:editId="39A50BCC">
            <wp:extent cx="5731510" cy="1079500"/>
            <wp:effectExtent l="0" t="0" r="2540" b="6350"/>
            <wp:docPr id="1328243801"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8243801" name="Picture 1328243801"/>
                    <pic:cNvPicPr/>
                  </pic:nvPicPr>
                  <pic:blipFill>
                    <a:blip r:embed="rId12" cstate="print">
                      <a:extLst>
                        <a:ext uri="{28A0092B-C50C-407E-A947-70E740481C1C}">
                          <a14:useLocalDpi xmlns:a14="http://schemas.microsoft.com/office/drawing/2010/main" val="0"/>
                        </a:ext>
                      </a:extLst>
                    </a:blip>
                    <a:stretch>
                      <a:fillRect/>
                    </a:stretch>
                  </pic:blipFill>
                  <pic:spPr>
                    <a:xfrm>
                      <a:off x="0" y="0"/>
                      <a:ext cx="5731510" cy="1079500"/>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1603051D" wp14:editId="4C998C38">
            <wp:extent cx="5731510" cy="1116965"/>
            <wp:effectExtent l="0" t="0" r="2540" b="6985"/>
            <wp:docPr id="108221694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2216948" name="Picture 1082216948"/>
                    <pic:cNvPicPr/>
                  </pic:nvPicPr>
                  <pic:blipFill>
                    <a:blip r:embed="rId13" cstate="print">
                      <a:extLst>
                        <a:ext uri="{28A0092B-C50C-407E-A947-70E740481C1C}">
                          <a14:useLocalDpi xmlns:a14="http://schemas.microsoft.com/office/drawing/2010/main" val="0"/>
                        </a:ext>
                      </a:extLst>
                    </a:blip>
                    <a:stretch>
                      <a:fillRect/>
                    </a:stretch>
                  </pic:blipFill>
                  <pic:spPr>
                    <a:xfrm>
                      <a:off x="0" y="0"/>
                      <a:ext cx="5731510" cy="111696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78DC202E" wp14:editId="6EF8747B">
            <wp:extent cx="5731510" cy="3455035"/>
            <wp:effectExtent l="0" t="0" r="2540" b="0"/>
            <wp:docPr id="83586214"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586214" name="Picture 83586214"/>
                    <pic:cNvPicPr/>
                  </pic:nvPicPr>
                  <pic:blipFill>
                    <a:blip r:embed="rId14" cstate="print">
                      <a:extLst>
                        <a:ext uri="{28A0092B-C50C-407E-A947-70E740481C1C}">
                          <a14:useLocalDpi xmlns:a14="http://schemas.microsoft.com/office/drawing/2010/main" val="0"/>
                        </a:ext>
                      </a:extLst>
                    </a:blip>
                    <a:stretch>
                      <a:fillRect/>
                    </a:stretch>
                  </pic:blipFill>
                  <pic:spPr>
                    <a:xfrm>
                      <a:off x="0" y="0"/>
                      <a:ext cx="5731510" cy="3455035"/>
                    </a:xfrm>
                    <a:prstGeom prst="rect">
                      <a:avLst/>
                    </a:prstGeom>
                  </pic:spPr>
                </pic:pic>
              </a:graphicData>
            </a:graphic>
          </wp:inline>
        </w:drawing>
      </w:r>
      <w:r>
        <w:rPr>
          <w:rFonts w:ascii="Arial" w:hAnsi="Arial" w:cs="Arial"/>
          <w:b/>
          <w:bCs/>
          <w:noProof/>
          <w:sz w:val="22"/>
          <w:szCs w:val="22"/>
          <w14:ligatures w14:val="standardContextual"/>
        </w:rPr>
        <w:lastRenderedPageBreak/>
        <w:drawing>
          <wp:inline distT="0" distB="0" distL="0" distR="0" wp14:anchorId="6E95962D" wp14:editId="7D8A9A2F">
            <wp:extent cx="5731510" cy="3415665"/>
            <wp:effectExtent l="0" t="0" r="2540" b="0"/>
            <wp:docPr id="615352885"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5352885" name="Picture 615352885"/>
                    <pic:cNvPicPr/>
                  </pic:nvPicPr>
                  <pic:blipFill>
                    <a:blip r:embed="rId15">
                      <a:extLst>
                        <a:ext uri="{28A0092B-C50C-407E-A947-70E740481C1C}">
                          <a14:useLocalDpi xmlns:a14="http://schemas.microsoft.com/office/drawing/2010/main" val="0"/>
                        </a:ext>
                      </a:extLst>
                    </a:blip>
                    <a:stretch>
                      <a:fillRect/>
                    </a:stretch>
                  </pic:blipFill>
                  <pic:spPr>
                    <a:xfrm>
                      <a:off x="0" y="0"/>
                      <a:ext cx="5731510" cy="341566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5639C615" wp14:editId="5E474394">
            <wp:extent cx="5731510" cy="1337945"/>
            <wp:effectExtent l="0" t="0" r="2540" b="0"/>
            <wp:docPr id="477994790"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994790" name="Picture 477994790"/>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133794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7C494EB6" wp14:editId="6BD4D048">
            <wp:extent cx="5731510" cy="700405"/>
            <wp:effectExtent l="0" t="0" r="2540" b="4445"/>
            <wp:docPr id="339869550"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9869550" name="Picture 339869550"/>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70040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13963885" wp14:editId="700ADD33">
            <wp:extent cx="5731510" cy="1602740"/>
            <wp:effectExtent l="0" t="0" r="2540" b="0"/>
            <wp:docPr id="1526757195"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6757195" name="Picture 1526757195"/>
                    <pic:cNvPicPr/>
                  </pic:nvPicPr>
                  <pic:blipFill>
                    <a:blip r:embed="rId18" cstate="print">
                      <a:extLst>
                        <a:ext uri="{28A0092B-C50C-407E-A947-70E740481C1C}">
                          <a14:useLocalDpi xmlns:a14="http://schemas.microsoft.com/office/drawing/2010/main" val="0"/>
                        </a:ext>
                      </a:extLst>
                    </a:blip>
                    <a:stretch>
                      <a:fillRect/>
                    </a:stretch>
                  </pic:blipFill>
                  <pic:spPr>
                    <a:xfrm>
                      <a:off x="0" y="0"/>
                      <a:ext cx="5731510" cy="1602740"/>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4A68F98E" wp14:editId="393637E3">
            <wp:extent cx="5731510" cy="267335"/>
            <wp:effectExtent l="0" t="0" r="2540" b="0"/>
            <wp:docPr id="388475109"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8475109" name="Picture 388475109"/>
                    <pic:cNvPicPr/>
                  </pic:nvPicPr>
                  <pic:blipFill>
                    <a:blip r:embed="rId19" cstate="print">
                      <a:extLst>
                        <a:ext uri="{28A0092B-C50C-407E-A947-70E740481C1C}">
                          <a14:useLocalDpi xmlns:a14="http://schemas.microsoft.com/office/drawing/2010/main" val="0"/>
                        </a:ext>
                      </a:extLst>
                    </a:blip>
                    <a:stretch>
                      <a:fillRect/>
                    </a:stretch>
                  </pic:blipFill>
                  <pic:spPr>
                    <a:xfrm>
                      <a:off x="0" y="0"/>
                      <a:ext cx="5731510" cy="267335"/>
                    </a:xfrm>
                    <a:prstGeom prst="rect">
                      <a:avLst/>
                    </a:prstGeom>
                  </pic:spPr>
                </pic:pic>
              </a:graphicData>
            </a:graphic>
          </wp:inline>
        </w:drawing>
      </w:r>
      <w:r>
        <w:rPr>
          <w:rFonts w:ascii="Arial" w:hAnsi="Arial" w:cs="Arial"/>
          <w:b/>
          <w:bCs/>
          <w:noProof/>
          <w:sz w:val="22"/>
          <w:szCs w:val="22"/>
          <w14:ligatures w14:val="standardContextual"/>
        </w:rPr>
        <w:lastRenderedPageBreak/>
        <w:drawing>
          <wp:inline distT="0" distB="0" distL="0" distR="0" wp14:anchorId="20F0CED2" wp14:editId="667FEF0E">
            <wp:extent cx="5731510" cy="1666875"/>
            <wp:effectExtent l="0" t="0" r="2540" b="9525"/>
            <wp:docPr id="1186395400"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6395400" name="Picture 1186395400"/>
                    <pic:cNvPicPr/>
                  </pic:nvPicPr>
                  <pic:blipFill>
                    <a:blip r:embed="rId20">
                      <a:extLst>
                        <a:ext uri="{28A0092B-C50C-407E-A947-70E740481C1C}">
                          <a14:useLocalDpi xmlns:a14="http://schemas.microsoft.com/office/drawing/2010/main" val="0"/>
                        </a:ext>
                      </a:extLst>
                    </a:blip>
                    <a:stretch>
                      <a:fillRect/>
                    </a:stretch>
                  </pic:blipFill>
                  <pic:spPr>
                    <a:xfrm>
                      <a:off x="0" y="0"/>
                      <a:ext cx="5731510" cy="166687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34B5E986" wp14:editId="68E56A72">
            <wp:extent cx="5731510" cy="1454785"/>
            <wp:effectExtent l="0" t="0" r="2540" b="0"/>
            <wp:docPr id="23757162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7571621" name="Picture 237571621"/>
                    <pic:cNvPicPr/>
                  </pic:nvPicPr>
                  <pic:blipFill>
                    <a:blip r:embed="rId21">
                      <a:extLst>
                        <a:ext uri="{28A0092B-C50C-407E-A947-70E740481C1C}">
                          <a14:useLocalDpi xmlns:a14="http://schemas.microsoft.com/office/drawing/2010/main" val="0"/>
                        </a:ext>
                      </a:extLst>
                    </a:blip>
                    <a:stretch>
                      <a:fillRect/>
                    </a:stretch>
                  </pic:blipFill>
                  <pic:spPr>
                    <a:xfrm>
                      <a:off x="0" y="0"/>
                      <a:ext cx="5731510" cy="145478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3D5F4101" wp14:editId="3A7BDDA3">
            <wp:extent cx="5731510" cy="1960880"/>
            <wp:effectExtent l="0" t="0" r="2540" b="1270"/>
            <wp:docPr id="613046452"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13046452" name="Picture 613046452"/>
                    <pic:cNvPicPr/>
                  </pic:nvPicPr>
                  <pic:blipFill>
                    <a:blip r:embed="rId22">
                      <a:extLst>
                        <a:ext uri="{28A0092B-C50C-407E-A947-70E740481C1C}">
                          <a14:useLocalDpi xmlns:a14="http://schemas.microsoft.com/office/drawing/2010/main" val="0"/>
                        </a:ext>
                      </a:extLst>
                    </a:blip>
                    <a:stretch>
                      <a:fillRect/>
                    </a:stretch>
                  </pic:blipFill>
                  <pic:spPr>
                    <a:xfrm>
                      <a:off x="0" y="0"/>
                      <a:ext cx="5731510" cy="1960880"/>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7DDFB02A" wp14:editId="3DD879ED">
            <wp:extent cx="5731510" cy="1391920"/>
            <wp:effectExtent l="0" t="0" r="2540" b="0"/>
            <wp:docPr id="1733874297"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3874297" name="Picture 1733874297"/>
                    <pic:cNvPicPr/>
                  </pic:nvPicPr>
                  <pic:blipFill>
                    <a:blip r:embed="rId23">
                      <a:extLst>
                        <a:ext uri="{28A0092B-C50C-407E-A947-70E740481C1C}">
                          <a14:useLocalDpi xmlns:a14="http://schemas.microsoft.com/office/drawing/2010/main" val="0"/>
                        </a:ext>
                      </a:extLst>
                    </a:blip>
                    <a:stretch>
                      <a:fillRect/>
                    </a:stretch>
                  </pic:blipFill>
                  <pic:spPr>
                    <a:xfrm>
                      <a:off x="0" y="0"/>
                      <a:ext cx="5731510" cy="1391920"/>
                    </a:xfrm>
                    <a:prstGeom prst="rect">
                      <a:avLst/>
                    </a:prstGeom>
                  </pic:spPr>
                </pic:pic>
              </a:graphicData>
            </a:graphic>
          </wp:inline>
        </w:drawing>
      </w:r>
      <w:r>
        <w:rPr>
          <w:rFonts w:ascii="Arial" w:hAnsi="Arial" w:cs="Arial"/>
          <w:b/>
          <w:bCs/>
          <w:noProof/>
          <w:sz w:val="22"/>
          <w:szCs w:val="22"/>
          <w14:ligatures w14:val="standardContextual"/>
        </w:rPr>
        <w:lastRenderedPageBreak/>
        <w:drawing>
          <wp:inline distT="0" distB="0" distL="0" distR="0" wp14:anchorId="500D5C90" wp14:editId="50277B02">
            <wp:extent cx="5731510" cy="2107565"/>
            <wp:effectExtent l="0" t="0" r="2540" b="6985"/>
            <wp:docPr id="1667680019"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680019" name="Picture 1667680019"/>
                    <pic:cNvPicPr/>
                  </pic:nvPicPr>
                  <pic:blipFill>
                    <a:blip r:embed="rId24">
                      <a:extLst>
                        <a:ext uri="{28A0092B-C50C-407E-A947-70E740481C1C}">
                          <a14:useLocalDpi xmlns:a14="http://schemas.microsoft.com/office/drawing/2010/main" val="0"/>
                        </a:ext>
                      </a:extLst>
                    </a:blip>
                    <a:stretch>
                      <a:fillRect/>
                    </a:stretch>
                  </pic:blipFill>
                  <pic:spPr>
                    <a:xfrm>
                      <a:off x="0" y="0"/>
                      <a:ext cx="5731510" cy="210756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23AF4EFA" wp14:editId="3AF49D84">
            <wp:extent cx="5731510" cy="1565275"/>
            <wp:effectExtent l="0" t="0" r="2540" b="0"/>
            <wp:docPr id="106066013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660137" name="Picture 1060660137"/>
                    <pic:cNvPicPr/>
                  </pic:nvPicPr>
                  <pic:blipFill>
                    <a:blip r:embed="rId25">
                      <a:extLst>
                        <a:ext uri="{28A0092B-C50C-407E-A947-70E740481C1C}">
                          <a14:useLocalDpi xmlns:a14="http://schemas.microsoft.com/office/drawing/2010/main" val="0"/>
                        </a:ext>
                      </a:extLst>
                    </a:blip>
                    <a:stretch>
                      <a:fillRect/>
                    </a:stretch>
                  </pic:blipFill>
                  <pic:spPr>
                    <a:xfrm>
                      <a:off x="0" y="0"/>
                      <a:ext cx="5731510" cy="156527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4CD189BD" wp14:editId="4F888616">
            <wp:extent cx="5731510" cy="1956435"/>
            <wp:effectExtent l="0" t="0" r="2540" b="5715"/>
            <wp:docPr id="33752091"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52091" name="Picture 33752091"/>
                    <pic:cNvPicPr/>
                  </pic:nvPicPr>
                  <pic:blipFill>
                    <a:blip r:embed="rId26">
                      <a:extLst>
                        <a:ext uri="{28A0092B-C50C-407E-A947-70E740481C1C}">
                          <a14:useLocalDpi xmlns:a14="http://schemas.microsoft.com/office/drawing/2010/main" val="0"/>
                        </a:ext>
                      </a:extLst>
                    </a:blip>
                    <a:stretch>
                      <a:fillRect/>
                    </a:stretch>
                  </pic:blipFill>
                  <pic:spPr>
                    <a:xfrm>
                      <a:off x="0" y="0"/>
                      <a:ext cx="5731510" cy="1956435"/>
                    </a:xfrm>
                    <a:prstGeom prst="rect">
                      <a:avLst/>
                    </a:prstGeom>
                  </pic:spPr>
                </pic:pic>
              </a:graphicData>
            </a:graphic>
          </wp:inline>
        </w:drawing>
      </w:r>
      <w:r>
        <w:rPr>
          <w:rFonts w:ascii="Arial" w:hAnsi="Arial" w:cs="Arial"/>
          <w:b/>
          <w:bCs/>
          <w:noProof/>
          <w:sz w:val="22"/>
          <w:szCs w:val="22"/>
          <w14:ligatures w14:val="standardContextual"/>
        </w:rPr>
        <w:lastRenderedPageBreak/>
        <w:drawing>
          <wp:inline distT="0" distB="0" distL="0" distR="0" wp14:anchorId="03B87F47" wp14:editId="0D457CF1">
            <wp:extent cx="5731510" cy="2036445"/>
            <wp:effectExtent l="0" t="0" r="2540" b="1905"/>
            <wp:docPr id="208526876"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8526876" name="Picture 208526876"/>
                    <pic:cNvPicPr/>
                  </pic:nvPicPr>
                  <pic:blipFill>
                    <a:blip r:embed="rId27">
                      <a:extLst>
                        <a:ext uri="{28A0092B-C50C-407E-A947-70E740481C1C}">
                          <a14:useLocalDpi xmlns:a14="http://schemas.microsoft.com/office/drawing/2010/main" val="0"/>
                        </a:ext>
                      </a:extLst>
                    </a:blip>
                    <a:stretch>
                      <a:fillRect/>
                    </a:stretch>
                  </pic:blipFill>
                  <pic:spPr>
                    <a:xfrm>
                      <a:off x="0" y="0"/>
                      <a:ext cx="5731510" cy="2036445"/>
                    </a:xfrm>
                    <a:prstGeom prst="rect">
                      <a:avLst/>
                    </a:prstGeom>
                  </pic:spPr>
                </pic:pic>
              </a:graphicData>
            </a:graphic>
          </wp:inline>
        </w:drawing>
      </w:r>
      <w:r>
        <w:rPr>
          <w:rFonts w:ascii="Arial" w:hAnsi="Arial" w:cs="Arial"/>
          <w:b/>
          <w:bCs/>
          <w:noProof/>
          <w:sz w:val="22"/>
          <w:szCs w:val="22"/>
          <w14:ligatures w14:val="standardContextual"/>
        </w:rPr>
        <w:drawing>
          <wp:inline distT="0" distB="0" distL="0" distR="0" wp14:anchorId="0006F974" wp14:editId="776001E9">
            <wp:extent cx="5731510" cy="2840355"/>
            <wp:effectExtent l="0" t="0" r="2540" b="0"/>
            <wp:docPr id="45246406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2464065" name="Picture 452464065"/>
                    <pic:cNvPicPr/>
                  </pic:nvPicPr>
                  <pic:blipFill>
                    <a:blip r:embed="rId28">
                      <a:extLst>
                        <a:ext uri="{28A0092B-C50C-407E-A947-70E740481C1C}">
                          <a14:useLocalDpi xmlns:a14="http://schemas.microsoft.com/office/drawing/2010/main" val="0"/>
                        </a:ext>
                      </a:extLst>
                    </a:blip>
                    <a:stretch>
                      <a:fillRect/>
                    </a:stretch>
                  </pic:blipFill>
                  <pic:spPr>
                    <a:xfrm>
                      <a:off x="0" y="0"/>
                      <a:ext cx="5731510" cy="2840355"/>
                    </a:xfrm>
                    <a:prstGeom prst="rect">
                      <a:avLst/>
                    </a:prstGeom>
                  </pic:spPr>
                </pic:pic>
              </a:graphicData>
            </a:graphic>
          </wp:inline>
        </w:drawing>
      </w:r>
    </w:p>
    <w:sectPr w:rsidR="002F4606" w:rsidRPr="001866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32EFE"/>
    <w:rsid w:val="000812B9"/>
    <w:rsid w:val="000B1AFC"/>
    <w:rsid w:val="00114199"/>
    <w:rsid w:val="00153BDC"/>
    <w:rsid w:val="00186604"/>
    <w:rsid w:val="002D370A"/>
    <w:rsid w:val="002F4606"/>
    <w:rsid w:val="0048229F"/>
    <w:rsid w:val="005C28E8"/>
    <w:rsid w:val="007472D0"/>
    <w:rsid w:val="007F52B8"/>
    <w:rsid w:val="00804E06"/>
    <w:rsid w:val="008244A1"/>
    <w:rsid w:val="009F0992"/>
    <w:rsid w:val="00AA6A40"/>
    <w:rsid w:val="00B44499"/>
    <w:rsid w:val="00D46920"/>
    <w:rsid w:val="00E831D8"/>
    <w:rsid w:val="00EB12B1"/>
    <w:rsid w:val="00F24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character" w:styleId="Hyperlink">
    <w:name w:val="Hyperlink"/>
    <w:basedOn w:val="DefaultParagraphFont"/>
    <w:uiPriority w:val="99"/>
    <w:unhideWhenUsed/>
    <w:rsid w:val="002D370A"/>
    <w:rPr>
      <w:color w:val="467886" w:themeColor="hyperlink"/>
      <w:u w:val="single"/>
    </w:rPr>
  </w:style>
  <w:style w:type="character" w:styleId="UnresolvedMention">
    <w:name w:val="Unresolved Mention"/>
    <w:basedOn w:val="DefaultParagraphFont"/>
    <w:uiPriority w:val="99"/>
    <w:semiHidden/>
    <w:unhideWhenUsed/>
    <w:rsid w:val="002D37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dershipacademy.nhs.uk" TargetMode="External"/><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image" Target="media/image18.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hyperlink" Target="https://digital.nhs.uk"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hyperlink" Target="https://www.england.nhs.uk"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4E733CE-CF10-4CBB-B41B-43D83679EE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2538</Words>
  <Characters>14472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Florin Cristian Cristea (2328061)</cp:lastModifiedBy>
  <cp:revision>4</cp:revision>
  <dcterms:created xsi:type="dcterms:W3CDTF">2026-04-12T14:28:00Z</dcterms:created>
  <dcterms:modified xsi:type="dcterms:W3CDTF">2026-04-15T10:52:00Z</dcterms:modified>
</cp:coreProperties>
</file>