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463DF" w14:textId="5E6664B8" w:rsidR="2C9948C1" w:rsidRDefault="2C9948C1" w:rsidP="729C825E">
      <w:pPr>
        <w:rPr>
          <w:rFonts w:ascii="Arial" w:eastAsia="Arial" w:hAnsi="Arial" w:cs="Arial"/>
          <w:b/>
          <w:bCs/>
          <w:sz w:val="22"/>
          <w:szCs w:val="22"/>
        </w:rPr>
      </w:pPr>
      <w:r w:rsidRPr="729C825E">
        <w:rPr>
          <w:rFonts w:ascii="Arial" w:eastAsia="Arial" w:hAnsi="Arial" w:cs="Arial"/>
          <w:b/>
          <w:bCs/>
          <w:sz w:val="22"/>
          <w:szCs w:val="22"/>
        </w:rPr>
        <w:t>LCHS4003</w:t>
      </w:r>
      <w:r w:rsidR="701425A7" w:rsidRPr="729C825E">
        <w:rPr>
          <w:rFonts w:ascii="Arial" w:eastAsia="Arial" w:hAnsi="Arial" w:cs="Arial"/>
          <w:b/>
          <w:bCs/>
          <w:sz w:val="22"/>
          <w:szCs w:val="22"/>
        </w:rPr>
        <w:t xml:space="preserve"> </w:t>
      </w:r>
      <w:r w:rsidR="7B14E40E" w:rsidRPr="729C825E">
        <w:rPr>
          <w:rFonts w:ascii="Arial" w:eastAsia="Arial" w:hAnsi="Arial" w:cs="Arial"/>
          <w:b/>
          <w:bCs/>
          <w:sz w:val="22"/>
          <w:szCs w:val="22"/>
        </w:rPr>
        <w:t>Christian Dave Galvan 2430423                               Lecturer: Mrs</w:t>
      </w:r>
      <w:r w:rsidR="2B260296" w:rsidRPr="729C825E">
        <w:rPr>
          <w:rFonts w:ascii="Arial" w:eastAsia="Arial" w:hAnsi="Arial" w:cs="Arial"/>
          <w:b/>
          <w:bCs/>
          <w:sz w:val="22"/>
          <w:szCs w:val="22"/>
        </w:rPr>
        <w:t xml:space="preserve"> </w:t>
      </w:r>
      <w:r w:rsidR="7B14E40E" w:rsidRPr="729C825E">
        <w:rPr>
          <w:rFonts w:ascii="Arial" w:eastAsia="Arial" w:hAnsi="Arial" w:cs="Arial"/>
          <w:b/>
          <w:bCs/>
          <w:sz w:val="22"/>
          <w:szCs w:val="22"/>
        </w:rPr>
        <w:t>Ping Wu</w:t>
      </w:r>
    </w:p>
    <w:p w14:paraId="66B0186A" w14:textId="3DC6BACF" w:rsidR="7860C910" w:rsidRDefault="7860C910" w:rsidP="729C825E">
      <w:pPr>
        <w:rPr>
          <w:rFonts w:ascii="Arial" w:eastAsia="Arial" w:hAnsi="Arial" w:cs="Arial"/>
          <w:b/>
          <w:bCs/>
          <w:sz w:val="22"/>
          <w:szCs w:val="22"/>
        </w:rPr>
      </w:pPr>
      <w:r w:rsidRPr="729C825E">
        <w:rPr>
          <w:rFonts w:ascii="Arial" w:eastAsia="Arial" w:hAnsi="Arial" w:cs="Arial"/>
          <w:b/>
          <w:bCs/>
          <w:sz w:val="22"/>
          <w:szCs w:val="22"/>
        </w:rPr>
        <w:t>TASK:1</w:t>
      </w:r>
    </w:p>
    <w:p w14:paraId="398A3BAC" w14:textId="383319F8" w:rsidR="5B5881E9" w:rsidRDefault="5B5881E9" w:rsidP="729C825E">
      <w:pPr>
        <w:rPr>
          <w:rFonts w:ascii="Arial" w:eastAsia="Arial" w:hAnsi="Arial" w:cs="Arial"/>
          <w:b/>
          <w:bCs/>
          <w:sz w:val="22"/>
          <w:szCs w:val="22"/>
        </w:rPr>
      </w:pPr>
      <w:r w:rsidRPr="729C825E">
        <w:rPr>
          <w:rFonts w:ascii="Arial" w:eastAsia="Arial" w:hAnsi="Arial" w:cs="Arial"/>
          <w:b/>
          <w:bCs/>
          <w:sz w:val="22"/>
          <w:szCs w:val="22"/>
        </w:rPr>
        <w:t>A brief history of the Pharmacy service in the UK</w:t>
      </w:r>
    </w:p>
    <w:p w14:paraId="6E7002D5" w14:textId="4E8EF4C4" w:rsidR="426C2A44" w:rsidRDefault="426C2A44" w:rsidP="729C825E">
      <w:pPr>
        <w:rPr>
          <w:rFonts w:ascii="Arial" w:eastAsia="Arial" w:hAnsi="Arial" w:cs="Arial"/>
          <w:color w:val="000000" w:themeColor="text1"/>
          <w:sz w:val="22"/>
          <w:szCs w:val="22"/>
        </w:rPr>
      </w:pPr>
      <w:r w:rsidRPr="729C825E">
        <w:rPr>
          <w:rFonts w:ascii="Arial" w:eastAsia="Arial" w:hAnsi="Arial" w:cs="Arial"/>
          <w:color w:val="000000" w:themeColor="text1"/>
          <w:sz w:val="22"/>
          <w:szCs w:val="22"/>
        </w:rPr>
        <w:t>Pharmacy services in the UK began with apothecaries in medieval times. They made herbal medicines and gave simple health advice. By the 1600s, they were seen as trained professionals. In 1841, the Pharmaceutical Society was created to improve training and make medicines safer. In the early 1900s, pharmacists mainly prepared and dispensed medicines prescribed by doctors. When the NHS started in 1948, community pharmacies became a key place for people to get their medicines. Over time, their role has grown. Today, pharmacies also give health advice, help with minor illnesses, offer vaccinations, and support people who take long-term medication (Royal Pharmaceutical Society, n.d.; Webster, 2002).</w:t>
      </w:r>
    </w:p>
    <w:tbl>
      <w:tblPr>
        <w:tblStyle w:val="GridTable4-Accent1"/>
        <w:tblW w:w="0" w:type="auto"/>
        <w:tblLayout w:type="fixed"/>
        <w:tblLook w:val="06A0" w:firstRow="1" w:lastRow="0" w:firstColumn="1" w:lastColumn="0" w:noHBand="1" w:noVBand="1"/>
      </w:tblPr>
      <w:tblGrid>
        <w:gridCol w:w="1502"/>
        <w:gridCol w:w="1502"/>
        <w:gridCol w:w="1502"/>
        <w:gridCol w:w="1502"/>
        <w:gridCol w:w="1502"/>
        <w:gridCol w:w="1502"/>
      </w:tblGrid>
      <w:tr w:rsidR="729C825E" w14:paraId="67DA5F68" w14:textId="77777777" w:rsidTr="729C825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2" w:type="dxa"/>
          </w:tcPr>
          <w:p w14:paraId="08E34ABB" w14:textId="31F2A247" w:rsidR="1E957A10" w:rsidRDefault="1E957A10" w:rsidP="729C825E">
            <w:pPr>
              <w:jc w:val="both"/>
              <w:rPr>
                <w:rFonts w:ascii="Arial" w:eastAsia="Arial" w:hAnsi="Arial" w:cs="Arial"/>
                <w:sz w:val="22"/>
                <w:szCs w:val="22"/>
              </w:rPr>
            </w:pPr>
            <w:r w:rsidRPr="729C825E">
              <w:rPr>
                <w:rFonts w:ascii="Arial" w:eastAsia="Arial" w:hAnsi="Arial" w:cs="Arial"/>
                <w:sz w:val="22"/>
                <w:szCs w:val="22"/>
              </w:rPr>
              <w:t>Medieval times</w:t>
            </w:r>
          </w:p>
        </w:tc>
        <w:tc>
          <w:tcPr>
            <w:tcW w:w="1502" w:type="dxa"/>
          </w:tcPr>
          <w:p w14:paraId="4ECA8FE7" w14:textId="67F78C65" w:rsidR="1E957A10" w:rsidRDefault="1E957A10" w:rsidP="729C825E">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1600’s</w:t>
            </w:r>
          </w:p>
        </w:tc>
        <w:tc>
          <w:tcPr>
            <w:tcW w:w="1502" w:type="dxa"/>
          </w:tcPr>
          <w:p w14:paraId="38160E21" w14:textId="05FA18F6" w:rsidR="1E957A10" w:rsidRDefault="1E957A10" w:rsidP="729C825E">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1700s-1800s</w:t>
            </w:r>
          </w:p>
        </w:tc>
        <w:tc>
          <w:tcPr>
            <w:tcW w:w="1502" w:type="dxa"/>
          </w:tcPr>
          <w:p w14:paraId="62A3AD2D" w14:textId="7BA22062" w:rsidR="1E957A10" w:rsidRDefault="1E957A10" w:rsidP="729C825E">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1868</w:t>
            </w:r>
          </w:p>
        </w:tc>
        <w:tc>
          <w:tcPr>
            <w:tcW w:w="1502" w:type="dxa"/>
          </w:tcPr>
          <w:p w14:paraId="5935F57F" w14:textId="41E76C2C" w:rsidR="1E957A10" w:rsidRDefault="1E957A10" w:rsidP="729C825E">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20</w:t>
            </w:r>
            <w:r w:rsidRPr="729C825E">
              <w:rPr>
                <w:rFonts w:ascii="Arial" w:eastAsia="Arial" w:hAnsi="Arial" w:cs="Arial"/>
                <w:sz w:val="22"/>
                <w:szCs w:val="22"/>
                <w:vertAlign w:val="superscript"/>
              </w:rPr>
              <w:t>th</w:t>
            </w:r>
            <w:r w:rsidRPr="729C825E">
              <w:rPr>
                <w:rFonts w:ascii="Arial" w:eastAsia="Arial" w:hAnsi="Arial" w:cs="Arial"/>
                <w:sz w:val="22"/>
                <w:szCs w:val="22"/>
              </w:rPr>
              <w:t xml:space="preserve"> Century </w:t>
            </w:r>
          </w:p>
        </w:tc>
        <w:tc>
          <w:tcPr>
            <w:tcW w:w="1502" w:type="dxa"/>
          </w:tcPr>
          <w:p w14:paraId="41579D8E" w14:textId="651C92ED" w:rsidR="1E957A10" w:rsidRDefault="1E957A10" w:rsidP="729C825E">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21</w:t>
            </w:r>
            <w:r w:rsidRPr="729C825E">
              <w:rPr>
                <w:rFonts w:ascii="Arial" w:eastAsia="Arial" w:hAnsi="Arial" w:cs="Arial"/>
                <w:sz w:val="22"/>
                <w:szCs w:val="22"/>
                <w:vertAlign w:val="superscript"/>
              </w:rPr>
              <w:t>st</w:t>
            </w:r>
            <w:r w:rsidRPr="729C825E">
              <w:rPr>
                <w:rFonts w:ascii="Arial" w:eastAsia="Arial" w:hAnsi="Arial" w:cs="Arial"/>
                <w:sz w:val="22"/>
                <w:szCs w:val="22"/>
              </w:rPr>
              <w:t xml:space="preserve"> Century </w:t>
            </w:r>
          </w:p>
        </w:tc>
      </w:tr>
      <w:tr w:rsidR="729C825E" w14:paraId="3CF189A3" w14:textId="77777777" w:rsidTr="729C825E">
        <w:trPr>
          <w:trHeight w:val="300"/>
        </w:trPr>
        <w:tc>
          <w:tcPr>
            <w:cnfStyle w:val="001000000000" w:firstRow="0" w:lastRow="0" w:firstColumn="1" w:lastColumn="0" w:oddVBand="0" w:evenVBand="0" w:oddHBand="0" w:evenHBand="0" w:firstRowFirstColumn="0" w:firstRowLastColumn="0" w:lastRowFirstColumn="0" w:lastRowLastColumn="0"/>
            <w:tcW w:w="1502" w:type="dxa"/>
          </w:tcPr>
          <w:p w14:paraId="6FC212BD" w14:textId="1157EF69" w:rsidR="1E957A10" w:rsidRDefault="1E957A10" w:rsidP="729C825E">
            <w:pPr>
              <w:jc w:val="both"/>
              <w:rPr>
                <w:rFonts w:ascii="Arial" w:eastAsia="Arial" w:hAnsi="Arial" w:cs="Arial"/>
                <w:b w:val="0"/>
                <w:bCs w:val="0"/>
                <w:sz w:val="22"/>
                <w:szCs w:val="22"/>
              </w:rPr>
            </w:pPr>
            <w:r w:rsidRPr="729C825E">
              <w:rPr>
                <w:rFonts w:ascii="Arial" w:eastAsia="Arial" w:hAnsi="Arial" w:cs="Arial"/>
                <w:b w:val="0"/>
                <w:bCs w:val="0"/>
                <w:sz w:val="22"/>
                <w:szCs w:val="22"/>
              </w:rPr>
              <w:t>Apothecaries</w:t>
            </w:r>
            <w:r w:rsidR="6B82F1FD" w:rsidRPr="729C825E">
              <w:rPr>
                <w:rFonts w:ascii="Arial" w:eastAsia="Arial" w:hAnsi="Arial" w:cs="Arial"/>
                <w:b w:val="0"/>
                <w:bCs w:val="0"/>
                <w:sz w:val="22"/>
                <w:szCs w:val="22"/>
              </w:rPr>
              <w:t xml:space="preserve"> </w:t>
            </w:r>
            <w:r w:rsidRPr="729C825E">
              <w:rPr>
                <w:rFonts w:ascii="Arial" w:eastAsia="Arial" w:hAnsi="Arial" w:cs="Arial"/>
                <w:b w:val="0"/>
                <w:bCs w:val="0"/>
                <w:sz w:val="22"/>
                <w:szCs w:val="22"/>
              </w:rPr>
              <w:t>made herbal remedies</w:t>
            </w:r>
          </w:p>
          <w:p w14:paraId="47B07D68" w14:textId="54FE271F" w:rsidR="1E957A10" w:rsidRDefault="1E957A10" w:rsidP="729C825E">
            <w:pPr>
              <w:jc w:val="both"/>
              <w:rPr>
                <w:rFonts w:ascii="Arial" w:eastAsia="Arial" w:hAnsi="Arial" w:cs="Arial"/>
                <w:b w:val="0"/>
                <w:bCs w:val="0"/>
                <w:sz w:val="22"/>
                <w:szCs w:val="22"/>
              </w:rPr>
            </w:pPr>
            <w:r w:rsidRPr="729C825E">
              <w:rPr>
                <w:rFonts w:ascii="Arial" w:eastAsia="Arial" w:hAnsi="Arial" w:cs="Arial"/>
                <w:b w:val="0"/>
                <w:bCs w:val="0"/>
                <w:sz w:val="22"/>
                <w:szCs w:val="22"/>
              </w:rPr>
              <w:t xml:space="preserve">   and gave basic health advice</w:t>
            </w:r>
          </w:p>
        </w:tc>
        <w:tc>
          <w:tcPr>
            <w:tcW w:w="1502" w:type="dxa"/>
          </w:tcPr>
          <w:p w14:paraId="12DD7680" w14:textId="2E2B1601" w:rsidR="1E957A10" w:rsidRDefault="1E957A10" w:rsidP="729C825E">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 xml:space="preserve">  Apothecaries recognized as professional</w:t>
            </w:r>
          </w:p>
          <w:p w14:paraId="7CEE1C66" w14:textId="141C4B8B" w:rsidR="1E957A10" w:rsidRDefault="1E957A10" w:rsidP="729C825E">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 xml:space="preserve">   pharmacists</w:t>
            </w:r>
          </w:p>
        </w:tc>
        <w:tc>
          <w:tcPr>
            <w:tcW w:w="1502" w:type="dxa"/>
          </w:tcPr>
          <w:p w14:paraId="3BFF5DDD" w14:textId="7D9CA5AB" w:rsidR="1E957A10" w:rsidRDefault="1E957A10" w:rsidP="729C825E">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Expansion of medicines and pharmacy trade</w:t>
            </w:r>
          </w:p>
        </w:tc>
        <w:tc>
          <w:tcPr>
            <w:tcW w:w="1502" w:type="dxa"/>
          </w:tcPr>
          <w:p w14:paraId="729F2D9F" w14:textId="367EA94A" w:rsidR="1E957A10" w:rsidRDefault="1E957A10" w:rsidP="729C825E">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Pharmacy Act: formal training and registration required</w:t>
            </w:r>
          </w:p>
        </w:tc>
        <w:tc>
          <w:tcPr>
            <w:tcW w:w="1502" w:type="dxa"/>
          </w:tcPr>
          <w:p w14:paraId="7C0B16C2" w14:textId="16403905" w:rsidR="1E957A10" w:rsidRDefault="1E957A10" w:rsidP="729C825E">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20th Century</w:t>
            </w:r>
          </w:p>
          <w:p w14:paraId="25A3316B" w14:textId="013599A8" w:rsidR="1E957A10" w:rsidRDefault="1E957A10" w:rsidP="729C825E">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 xml:space="preserve">  Community pharmacies provide prescriptionsand health advice</w:t>
            </w:r>
          </w:p>
        </w:tc>
        <w:tc>
          <w:tcPr>
            <w:tcW w:w="1502" w:type="dxa"/>
          </w:tcPr>
          <w:p w14:paraId="3F06CFE4" w14:textId="14DD6148" w:rsidR="1E957A10" w:rsidRDefault="1E957A10" w:rsidP="729C825E">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Modern pharmacies</w:t>
            </w:r>
            <w:r w:rsidR="1C567B14" w:rsidRPr="729C825E">
              <w:rPr>
                <w:rFonts w:ascii="Arial" w:eastAsia="Arial" w:hAnsi="Arial" w:cs="Arial"/>
                <w:sz w:val="22"/>
                <w:szCs w:val="22"/>
              </w:rPr>
              <w:t>:</w:t>
            </w:r>
            <w:r w:rsidRPr="729C825E">
              <w:rPr>
                <w:rFonts w:ascii="Arial" w:eastAsia="Arial" w:hAnsi="Arial" w:cs="Arial"/>
                <w:sz w:val="22"/>
                <w:szCs w:val="22"/>
              </w:rPr>
              <w:t xml:space="preserve"> vaccinations, health checks,</w:t>
            </w:r>
          </w:p>
          <w:p w14:paraId="03C41A05" w14:textId="5F2C5610" w:rsidR="1E957A10" w:rsidRDefault="1E957A10" w:rsidP="729C825E">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729C825E">
              <w:rPr>
                <w:rFonts w:ascii="Arial" w:eastAsia="Arial" w:hAnsi="Arial" w:cs="Arial"/>
                <w:sz w:val="22"/>
                <w:szCs w:val="22"/>
              </w:rPr>
              <w:t xml:space="preserve">  medication safety monitoring</w:t>
            </w:r>
          </w:p>
        </w:tc>
      </w:tr>
    </w:tbl>
    <w:p w14:paraId="7010F270" w14:textId="38B3AB2B" w:rsidR="729C825E" w:rsidRDefault="729C825E" w:rsidP="729C825E">
      <w:pPr>
        <w:pStyle w:val="Heading3"/>
        <w:spacing w:before="0" w:after="160"/>
        <w:rPr>
          <w:rFonts w:ascii="Arial" w:eastAsia="Arial" w:hAnsi="Arial" w:cs="Arial"/>
          <w:b/>
          <w:bCs/>
          <w:color w:val="000000" w:themeColor="text1"/>
          <w:sz w:val="22"/>
          <w:szCs w:val="22"/>
        </w:rPr>
      </w:pPr>
    </w:p>
    <w:p w14:paraId="71881F59" w14:textId="182FAE6D" w:rsidR="1D262F31" w:rsidRDefault="1D262F31" w:rsidP="729C825E">
      <w:pPr>
        <w:rPr>
          <w:b/>
          <w:bCs/>
        </w:rPr>
      </w:pPr>
      <w:r w:rsidRPr="729C825E">
        <w:rPr>
          <w:b/>
          <w:bCs/>
        </w:rPr>
        <w:t>Pharmacy services and statistics</w:t>
      </w:r>
    </w:p>
    <w:p w14:paraId="57BF33E5" w14:textId="7C6CF7E0" w:rsidR="1D262F31" w:rsidRDefault="1D262F31"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Pharmacy services play a key role in helping people stay healthy in the community. They give us easy access to medicines and clear advice on how to use them safely. Pharmacists make sure our medication is right for us and explain how to take it so we can get the best results.</w:t>
      </w:r>
    </w:p>
    <w:p w14:paraId="1D3145EC" w14:textId="2A242A47" w:rsidR="1D262F31" w:rsidRDefault="1D262F31"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Community pharmacies also support people with everyday health needs. They can help with common problems like coughs, colds, rashes, and stomach issues. Many pharmacies now offer vaccinations, blood pressure checks, help to quit smoking, contraception advice, and repeat prescriptions. This means people can get quick and convenient care without always needing to see a GP.</w:t>
      </w:r>
    </w:p>
    <w:p w14:paraId="171A83DE" w14:textId="7CB93C8C" w:rsidR="1D262F31" w:rsidRDefault="1D262F31"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Pharmacy staff also work with doctors to make sure our medicines are safe and well monitored. Overall, pharmacy services make healthcare easier to access and more supportive for everyone (Royal Pharmaceutical Society, n.d.; NHS, 2023).</w:t>
      </w:r>
    </w:p>
    <w:p w14:paraId="44EA569B" w14:textId="3B94D300" w:rsidR="1D262F31" w:rsidRDefault="1D262F31" w:rsidP="729C825E">
      <w:pPr>
        <w:pStyle w:val="ListParagraph"/>
        <w:numPr>
          <w:ilvl w:val="0"/>
          <w:numId w:val="3"/>
        </w:num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There are 12,009 “active” pharmacies in 2023/24, partly because some changed owners, even if the shop didn’t move.</w:t>
      </w:r>
    </w:p>
    <w:p w14:paraId="03348366" w14:textId="087FF1A5" w:rsidR="1D262F31" w:rsidRDefault="1D262F31" w:rsidP="729C825E">
      <w:pPr>
        <w:pStyle w:val="ListParagraph"/>
        <w:numPr>
          <w:ilvl w:val="0"/>
          <w:numId w:val="3"/>
        </w:num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Prescriptions are going up—3% more this year—so people are using more medicines.</w:t>
      </w:r>
    </w:p>
    <w:p w14:paraId="6DFB9382" w14:textId="6FCCFD90" w:rsidR="1D262F31" w:rsidRDefault="1D262F31" w:rsidP="729C825E">
      <w:pPr>
        <w:pStyle w:val="ListParagraph"/>
        <w:numPr>
          <w:ilvl w:val="0"/>
          <w:numId w:val="3"/>
        </w:num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Most pharmacies now use the Electronic Prescription Service (EPS), so e-prescriptions are the norm.</w:t>
      </w:r>
    </w:p>
    <w:p w14:paraId="3ED9EAB5" w14:textId="715149E8" w:rsidR="1D262F31" w:rsidRDefault="1D262F31" w:rsidP="729C825E">
      <w:pPr>
        <w:pStyle w:val="ListParagraph"/>
        <w:numPr>
          <w:ilvl w:val="0"/>
          <w:numId w:val="3"/>
        </w:num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Pharmacies were paid £10 billion for medicines and supplies, showing both high demand and rising costs.</w:t>
      </w:r>
    </w:p>
    <w:p w14:paraId="38E94064" w14:textId="091DDA89" w:rsidR="1D262F31" w:rsidRDefault="1D262F31" w:rsidP="729C825E">
      <w:pPr>
        <w:pStyle w:val="ListParagraph"/>
        <w:numPr>
          <w:ilvl w:val="0"/>
          <w:numId w:val="3"/>
        </w:num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There are around 90,000 pharmacy staff, including pharmacists and technicians, so the sector has plenty of people working in it.</w:t>
      </w:r>
    </w:p>
    <w:p w14:paraId="565DB95A" w14:textId="03E45CE2" w:rsidR="729C825E" w:rsidRDefault="729C825E" w:rsidP="729C825E">
      <w:pPr>
        <w:pStyle w:val="ListParagraph"/>
        <w:spacing w:before="240" w:after="240"/>
        <w:rPr>
          <w:rFonts w:ascii="Arial" w:eastAsia="Arial" w:hAnsi="Arial" w:cs="Arial"/>
          <w:color w:val="000000" w:themeColor="text1"/>
          <w:sz w:val="22"/>
          <w:szCs w:val="22"/>
        </w:rPr>
      </w:pPr>
    </w:p>
    <w:p w14:paraId="6BE39819" w14:textId="02E14557" w:rsidR="78E66CBF" w:rsidRDefault="78E66CBF" w:rsidP="729C825E">
      <w:pPr>
        <w:spacing w:before="240" w:after="240"/>
        <w:rPr>
          <w:rFonts w:ascii="Arial" w:eastAsia="Arial" w:hAnsi="Arial" w:cs="Arial"/>
          <w:color w:val="000000" w:themeColor="text1"/>
          <w:sz w:val="22"/>
          <w:szCs w:val="22"/>
        </w:rPr>
      </w:pPr>
      <w:r>
        <w:rPr>
          <w:noProof/>
        </w:rPr>
        <w:drawing>
          <wp:inline distT="0" distB="0" distL="0" distR="0" wp14:anchorId="39E3E7FC" wp14:editId="726C3FA2">
            <wp:extent cx="1611977" cy="2415957"/>
            <wp:effectExtent l="0" t="0" r="0" b="0"/>
            <wp:docPr id="19987771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11417" name=""/>
                    <pic:cNvPicPr/>
                  </pic:nvPicPr>
                  <pic:blipFill>
                    <a:blip r:embed="rId7">
                      <a:extLst>
                        <a:ext uri="{28A0092B-C50C-407E-A947-70E740481C1C}">
                          <a14:useLocalDpi xmlns:a14="http://schemas.microsoft.com/office/drawing/2010/main"/>
                        </a:ext>
                      </a:extLst>
                    </a:blip>
                    <a:stretch>
                      <a:fillRect/>
                    </a:stretch>
                  </pic:blipFill>
                  <pic:spPr>
                    <a:xfrm>
                      <a:off x="0" y="0"/>
                      <a:ext cx="1611977" cy="2415957"/>
                    </a:xfrm>
                    <a:prstGeom prst="rect">
                      <a:avLst/>
                    </a:prstGeom>
                  </pic:spPr>
                </pic:pic>
              </a:graphicData>
            </a:graphic>
          </wp:inline>
        </w:drawing>
      </w:r>
      <w:r w:rsidR="3A1F07AC" w:rsidRPr="729C825E">
        <w:rPr>
          <w:rFonts w:ascii="Arial" w:eastAsia="Arial" w:hAnsi="Arial" w:cs="Arial"/>
          <w:color w:val="000000" w:themeColor="text1"/>
          <w:sz w:val="22"/>
          <w:szCs w:val="22"/>
        </w:rPr>
        <w:t xml:space="preserve">    </w:t>
      </w:r>
      <w:r w:rsidR="1019627A" w:rsidRPr="729C825E">
        <w:rPr>
          <w:rFonts w:ascii="Arial" w:eastAsia="Arial" w:hAnsi="Arial" w:cs="Arial"/>
          <w:color w:val="000000" w:themeColor="text1"/>
          <w:sz w:val="22"/>
          <w:szCs w:val="22"/>
        </w:rPr>
        <w:t xml:space="preserve">  </w:t>
      </w:r>
      <w:r w:rsidR="1019627A">
        <w:rPr>
          <w:noProof/>
        </w:rPr>
        <w:drawing>
          <wp:inline distT="0" distB="0" distL="0" distR="0" wp14:anchorId="1E33AD90" wp14:editId="5BD25F96">
            <wp:extent cx="1634427" cy="2449602"/>
            <wp:effectExtent l="0" t="0" r="0" b="0"/>
            <wp:docPr id="13668110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811098" name=""/>
                    <pic:cNvPicPr/>
                  </pic:nvPicPr>
                  <pic:blipFill>
                    <a:blip r:embed="rId8">
                      <a:extLst>
                        <a:ext uri="{28A0092B-C50C-407E-A947-70E740481C1C}">
                          <a14:useLocalDpi xmlns:a14="http://schemas.microsoft.com/office/drawing/2010/main"/>
                        </a:ext>
                      </a:extLst>
                    </a:blip>
                    <a:stretch>
                      <a:fillRect/>
                    </a:stretch>
                  </pic:blipFill>
                  <pic:spPr>
                    <a:xfrm>
                      <a:off x="0" y="0"/>
                      <a:ext cx="1634427" cy="2449602"/>
                    </a:xfrm>
                    <a:prstGeom prst="rect">
                      <a:avLst/>
                    </a:prstGeom>
                  </pic:spPr>
                </pic:pic>
              </a:graphicData>
            </a:graphic>
          </wp:inline>
        </w:drawing>
      </w:r>
    </w:p>
    <w:p w14:paraId="6BB2CDB4" w14:textId="60D3B877" w:rsidR="3FA095DB" w:rsidRDefault="3FA095DB" w:rsidP="729C825E">
      <w:pPr>
        <w:spacing w:before="240" w:after="240"/>
        <w:rPr>
          <w:rFonts w:ascii="Arial" w:eastAsia="Arial" w:hAnsi="Arial" w:cs="Arial"/>
          <w:b/>
          <w:bCs/>
          <w:color w:val="000000" w:themeColor="text1"/>
          <w:sz w:val="22"/>
          <w:szCs w:val="22"/>
        </w:rPr>
      </w:pPr>
      <w:r w:rsidRPr="729C825E">
        <w:rPr>
          <w:rFonts w:ascii="Arial" w:eastAsia="Arial" w:hAnsi="Arial" w:cs="Arial"/>
          <w:b/>
          <w:bCs/>
          <w:color w:val="000000" w:themeColor="text1"/>
          <w:sz w:val="22"/>
          <w:szCs w:val="22"/>
        </w:rPr>
        <w:t xml:space="preserve">                                   </w:t>
      </w:r>
      <w:r w:rsidR="576B83F4" w:rsidRPr="729C825E">
        <w:rPr>
          <w:rFonts w:ascii="Arial" w:eastAsia="Arial" w:hAnsi="Arial" w:cs="Arial"/>
          <w:b/>
          <w:bCs/>
          <w:color w:val="000000" w:themeColor="text1"/>
          <w:sz w:val="22"/>
          <w:szCs w:val="22"/>
        </w:rPr>
        <w:t>Current functioning of the Pharmacy Service</w:t>
      </w:r>
      <w:r w:rsidR="7C51D753" w:rsidRPr="729C825E">
        <w:rPr>
          <w:rFonts w:ascii="Arial" w:eastAsia="Arial" w:hAnsi="Arial" w:cs="Arial"/>
          <w:b/>
          <w:bCs/>
          <w:color w:val="000000" w:themeColor="text1"/>
          <w:sz w:val="22"/>
          <w:szCs w:val="22"/>
        </w:rPr>
        <w:t>s</w:t>
      </w:r>
    </w:p>
    <w:p w14:paraId="3BE32310" w14:textId="1A5999E1" w:rsidR="47D9E176" w:rsidRDefault="47D9E176"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Pharmacies are regulated to make sure they provide safe and high-quality care. The General Pharmaceutical Council (GPhC) oversees registration, standards, and inspections of pharmacists and pharmacies. Pharmacists must follow strict rules on medicine safety, record-keeping, and patient confidentiality. Through these services and regulations, pharmacies help people manage their health safely and make healthcare more accessible in the community (General Pharmaceutical Council, 2023; NHS, 2023).</w:t>
      </w:r>
    </w:p>
    <w:p w14:paraId="5D946CE0" w14:textId="74C3199A" w:rsidR="27989AF2" w:rsidRDefault="27989AF2" w:rsidP="729C825E">
      <w:pPr>
        <w:spacing w:before="240" w:after="240"/>
        <w:rPr>
          <w:rFonts w:ascii="Arial" w:eastAsia="Arial" w:hAnsi="Arial" w:cs="Arial"/>
          <w:sz w:val="22"/>
          <w:szCs w:val="22"/>
        </w:rPr>
      </w:pPr>
      <w:r>
        <w:rPr>
          <w:noProof/>
        </w:rPr>
        <w:drawing>
          <wp:inline distT="0" distB="0" distL="0" distR="0" wp14:anchorId="1A45356B" wp14:editId="2CDC5F8A">
            <wp:extent cx="2678248" cy="1870242"/>
            <wp:effectExtent l="0" t="0" r="0" b="0"/>
            <wp:docPr id="1178195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879396" name=""/>
                    <pic:cNvPicPr/>
                  </pic:nvPicPr>
                  <pic:blipFill>
                    <a:blip r:embed="rId9">
                      <a:extLst>
                        <a:ext uri="{28A0092B-C50C-407E-A947-70E740481C1C}">
                          <a14:useLocalDpi xmlns:a14="http://schemas.microsoft.com/office/drawing/2010/main"/>
                        </a:ext>
                      </a:extLst>
                    </a:blip>
                    <a:stretch>
                      <a:fillRect/>
                    </a:stretch>
                  </pic:blipFill>
                  <pic:spPr>
                    <a:xfrm>
                      <a:off x="0" y="0"/>
                      <a:ext cx="2678248" cy="1870242"/>
                    </a:xfrm>
                    <a:prstGeom prst="rect">
                      <a:avLst/>
                    </a:prstGeom>
                  </pic:spPr>
                </pic:pic>
              </a:graphicData>
            </a:graphic>
          </wp:inline>
        </w:drawing>
      </w:r>
      <w:r w:rsidRPr="729C825E">
        <w:rPr>
          <w:rFonts w:ascii="Arial" w:eastAsia="Arial" w:hAnsi="Arial" w:cs="Arial"/>
          <w:sz w:val="22"/>
          <w:szCs w:val="22"/>
        </w:rPr>
        <w:t xml:space="preserve">       </w:t>
      </w:r>
      <w:r>
        <w:rPr>
          <w:noProof/>
        </w:rPr>
        <w:drawing>
          <wp:inline distT="0" distB="0" distL="0" distR="0" wp14:anchorId="31E76701" wp14:editId="18273EEA">
            <wp:extent cx="1934264" cy="1879139"/>
            <wp:effectExtent l="0" t="0" r="0" b="0"/>
            <wp:docPr id="14557141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51811" name=""/>
                    <pic:cNvPicPr/>
                  </pic:nvPicPr>
                  <pic:blipFill>
                    <a:blip r:embed="rId10">
                      <a:extLst>
                        <a:ext uri="{28A0092B-C50C-407E-A947-70E740481C1C}">
                          <a14:useLocalDpi xmlns:a14="http://schemas.microsoft.com/office/drawing/2010/main"/>
                        </a:ext>
                      </a:extLst>
                    </a:blip>
                    <a:stretch>
                      <a:fillRect/>
                    </a:stretch>
                  </pic:blipFill>
                  <pic:spPr>
                    <a:xfrm>
                      <a:off x="0" y="0"/>
                      <a:ext cx="1934264" cy="1879139"/>
                    </a:xfrm>
                    <a:prstGeom prst="rect">
                      <a:avLst/>
                    </a:prstGeom>
                  </pic:spPr>
                </pic:pic>
              </a:graphicData>
            </a:graphic>
          </wp:inline>
        </w:drawing>
      </w:r>
    </w:p>
    <w:p w14:paraId="5EA016C6" w14:textId="4D590B36" w:rsidR="7B4ED2F2" w:rsidRDefault="7B4ED2F2" w:rsidP="729C825E">
      <w:pPr>
        <w:spacing w:before="240" w:after="240"/>
        <w:rPr>
          <w:rFonts w:ascii="Arial" w:eastAsia="Arial" w:hAnsi="Arial" w:cs="Arial"/>
          <w:b/>
          <w:bCs/>
          <w:color w:val="000000" w:themeColor="text1"/>
          <w:sz w:val="22"/>
          <w:szCs w:val="22"/>
        </w:rPr>
      </w:pPr>
      <w:r w:rsidRPr="729C825E">
        <w:rPr>
          <w:rFonts w:ascii="Arial" w:eastAsia="Arial" w:hAnsi="Arial" w:cs="Arial"/>
          <w:b/>
          <w:bCs/>
          <w:color w:val="000000" w:themeColor="text1"/>
          <w:sz w:val="22"/>
          <w:szCs w:val="22"/>
        </w:rPr>
        <w:t xml:space="preserve">                                      </w:t>
      </w:r>
    </w:p>
    <w:p w14:paraId="263F6CCA" w14:textId="4E52EB10" w:rsidR="729C825E" w:rsidRDefault="729C825E" w:rsidP="729C825E">
      <w:pPr>
        <w:spacing w:before="240" w:after="240"/>
        <w:rPr>
          <w:rFonts w:ascii="Arial" w:eastAsia="Arial" w:hAnsi="Arial" w:cs="Arial"/>
          <w:b/>
          <w:bCs/>
          <w:color w:val="000000" w:themeColor="text1"/>
          <w:sz w:val="22"/>
          <w:szCs w:val="22"/>
        </w:rPr>
      </w:pPr>
    </w:p>
    <w:p w14:paraId="7B90592D" w14:textId="721541F1" w:rsidR="25DE230A" w:rsidRDefault="25DE230A" w:rsidP="729C825E">
      <w:pPr>
        <w:spacing w:before="240" w:after="240"/>
        <w:rPr>
          <w:rFonts w:ascii="Arial" w:eastAsia="Arial" w:hAnsi="Arial" w:cs="Arial"/>
          <w:b/>
          <w:bCs/>
          <w:color w:val="000000" w:themeColor="text1"/>
          <w:sz w:val="22"/>
          <w:szCs w:val="22"/>
        </w:rPr>
      </w:pPr>
      <w:r w:rsidRPr="729C825E">
        <w:rPr>
          <w:rFonts w:ascii="Arial" w:eastAsia="Arial" w:hAnsi="Arial" w:cs="Arial"/>
          <w:b/>
          <w:bCs/>
          <w:color w:val="000000" w:themeColor="text1"/>
          <w:sz w:val="22"/>
          <w:szCs w:val="22"/>
        </w:rPr>
        <w:t>Clinical and Consultation Services</w:t>
      </w:r>
    </w:p>
    <w:p w14:paraId="69E8DB45" w14:textId="357766EE" w:rsidR="2A6363DE" w:rsidRDefault="2A6363DE"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Pharmacists offer more than just medicines—they provide advice and support to keep patients healthy. Through Pharmacy First, they can treat seven common conditions, like sore throats, sinus infections, earaches, shingles, and uncomplicated UTIs, without needing a GP. Minor Ailments Support helps with everyday health issues like coughs and colds. New Medicine Service (NMS) and Medicines Use Reviews (MURs) guide safe medicine use, while Discharge Medicines Service helps patients manage medications after leaving hospital (NHS England, 2023; Royal Pharmaceutical Society, n.d.).</w:t>
      </w:r>
    </w:p>
    <w:p w14:paraId="21D4A24A" w14:textId="5F521F4D" w:rsidR="3A3CFD80" w:rsidRDefault="3A3CFD80" w:rsidP="729C825E">
      <w:pPr>
        <w:spacing w:before="240" w:after="240"/>
        <w:rPr>
          <w:rFonts w:ascii="Arial" w:eastAsia="Arial" w:hAnsi="Arial" w:cs="Arial"/>
          <w:color w:val="000000" w:themeColor="text1"/>
          <w:sz w:val="22"/>
          <w:szCs w:val="22"/>
        </w:rPr>
      </w:pPr>
      <w:r w:rsidRPr="729C825E">
        <w:rPr>
          <w:rFonts w:ascii="Arial" w:eastAsia="Arial" w:hAnsi="Arial" w:cs="Arial"/>
          <w:b/>
          <w:bCs/>
          <w:color w:val="000000" w:themeColor="text1"/>
          <w:sz w:val="22"/>
          <w:szCs w:val="22"/>
        </w:rPr>
        <w:t>Core and Operational Services</w:t>
      </w:r>
    </w:p>
    <w:p w14:paraId="15A8D41E" w14:textId="49B44BF2" w:rsidR="05AE71F1" w:rsidRDefault="05AE71F1"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Pharmacies handle key everyday tasks to support patient care. Dispensing and Repeat Prescriptions make sure medicines are given accurately, including electronically. Medicine Disposal safely removes expired or unwanted medicines. Signposting guides patients to other healthcare professionals or support services when needed. Technology like automated dispensing, electronic health records, and telepharmacy helps improve efficiency, reduce errors, and provide care to people in remote areas.</w:t>
      </w:r>
    </w:p>
    <w:p w14:paraId="35DE5764" w14:textId="29DF4062" w:rsidR="729C825E" w:rsidRDefault="729C825E" w:rsidP="729C825E">
      <w:pPr>
        <w:spacing w:before="240" w:after="240"/>
        <w:rPr>
          <w:rFonts w:ascii="Arial" w:eastAsia="Arial" w:hAnsi="Arial" w:cs="Arial"/>
          <w:color w:val="000000" w:themeColor="text1"/>
          <w:sz w:val="22"/>
          <w:szCs w:val="22"/>
        </w:rPr>
      </w:pPr>
    </w:p>
    <w:p w14:paraId="2336CFFC" w14:textId="4DF5F49B" w:rsidR="05AE71F1" w:rsidRDefault="05AE71F1" w:rsidP="729C825E">
      <w:pPr>
        <w:spacing w:before="240" w:after="240"/>
        <w:rPr>
          <w:rFonts w:ascii="Arial" w:eastAsia="Arial" w:hAnsi="Arial" w:cs="Arial"/>
          <w:color w:val="000000" w:themeColor="text1"/>
          <w:sz w:val="22"/>
          <w:szCs w:val="22"/>
        </w:rPr>
      </w:pPr>
      <w:r>
        <w:rPr>
          <w:noProof/>
        </w:rPr>
        <w:drawing>
          <wp:inline distT="0" distB="0" distL="0" distR="0" wp14:anchorId="70C67E64" wp14:editId="040E8256">
            <wp:extent cx="5491205" cy="2466931"/>
            <wp:effectExtent l="0" t="0" r="0" b="0"/>
            <wp:docPr id="11951954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95428" name=""/>
                    <pic:cNvPicPr/>
                  </pic:nvPicPr>
                  <pic:blipFill>
                    <a:blip r:embed="rId11">
                      <a:extLst>
                        <a:ext uri="{28A0092B-C50C-407E-A947-70E740481C1C}">
                          <a14:useLocalDpi xmlns:a14="http://schemas.microsoft.com/office/drawing/2010/main"/>
                        </a:ext>
                      </a:extLst>
                    </a:blip>
                    <a:stretch>
                      <a:fillRect/>
                    </a:stretch>
                  </pic:blipFill>
                  <pic:spPr>
                    <a:xfrm>
                      <a:off x="0" y="0"/>
                      <a:ext cx="5491205" cy="2466931"/>
                    </a:xfrm>
                    <a:prstGeom prst="rect">
                      <a:avLst/>
                    </a:prstGeom>
                  </pic:spPr>
                </pic:pic>
              </a:graphicData>
            </a:graphic>
          </wp:inline>
        </w:drawing>
      </w:r>
    </w:p>
    <w:p w14:paraId="27505146" w14:textId="2CAA48E4" w:rsidR="1918BC1C" w:rsidRDefault="1918BC1C" w:rsidP="729C825E">
      <w:pPr>
        <w:spacing w:before="240" w:after="240"/>
        <w:rPr>
          <w:rFonts w:ascii="Arial" w:eastAsia="Arial" w:hAnsi="Arial" w:cs="Arial"/>
          <w:b/>
          <w:bCs/>
          <w:color w:val="000000" w:themeColor="text1"/>
          <w:sz w:val="22"/>
          <w:szCs w:val="22"/>
        </w:rPr>
      </w:pPr>
      <w:r w:rsidRPr="729C825E">
        <w:rPr>
          <w:rFonts w:ascii="Arial" w:eastAsia="Arial" w:hAnsi="Arial" w:cs="Arial"/>
          <w:b/>
          <w:bCs/>
          <w:color w:val="000000" w:themeColor="text1"/>
          <w:sz w:val="22"/>
          <w:szCs w:val="22"/>
        </w:rPr>
        <w:t>Two Challenges Faced by Pharmacy Services</w:t>
      </w:r>
    </w:p>
    <w:p w14:paraId="5ACBED3B" w14:textId="4823E37B" w:rsidR="1918BC1C" w:rsidRDefault="1918BC1C"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Pharmacies often don’t have enough staff because there is a high demand for prescriptions, advice, and extra services like vaccinations. Finding qualified pharmacists and support staff can be difficult, and busy schedules make it hard to keep up with patient needs. Funding can also be limited because some pharmacies, especially smaller or community ones, rely on government budgets or local support, which may not cover all costs. With less money, pharmacies struggle to offer extra services, buy medicines, or hire enough staff. Together, these issues make it harder for pharmacies to give fast and high-quality care.</w:t>
      </w:r>
    </w:p>
    <w:p w14:paraId="4B715834" w14:textId="0935B43B" w:rsidR="1918BC1C" w:rsidRDefault="1918BC1C" w:rsidP="729C825E">
      <w:pPr>
        <w:pStyle w:val="ListParagraph"/>
        <w:numPr>
          <w:ilvl w:val="0"/>
          <w:numId w:val="2"/>
        </w:numPr>
        <w:spacing w:before="240" w:after="240"/>
        <w:rPr>
          <w:rFonts w:ascii="Arial" w:eastAsia="Arial" w:hAnsi="Arial" w:cs="Arial"/>
          <w:color w:val="000000" w:themeColor="text1"/>
          <w:sz w:val="22"/>
          <w:szCs w:val="22"/>
        </w:rPr>
      </w:pPr>
      <w:r w:rsidRPr="729C825E">
        <w:rPr>
          <w:rFonts w:ascii="Arial" w:eastAsia="Arial" w:hAnsi="Arial" w:cs="Arial"/>
          <w:b/>
          <w:bCs/>
          <w:color w:val="000000" w:themeColor="text1"/>
          <w:sz w:val="22"/>
          <w:szCs w:val="22"/>
        </w:rPr>
        <w:t>Busy Workload &amp; Not Enough Staff</w:t>
      </w:r>
      <w:r w:rsidRPr="729C825E">
        <w:rPr>
          <w:rFonts w:ascii="Arial" w:eastAsia="Arial" w:hAnsi="Arial" w:cs="Arial"/>
          <w:color w:val="000000" w:themeColor="text1"/>
          <w:sz w:val="22"/>
          <w:szCs w:val="22"/>
        </w:rPr>
        <w:t xml:space="preserve"> – Hard to give each patient enough time.</w:t>
      </w:r>
    </w:p>
    <w:p w14:paraId="0271111E" w14:textId="794755DB" w:rsidR="1918BC1C" w:rsidRDefault="1918BC1C" w:rsidP="729C825E">
      <w:pPr>
        <w:pStyle w:val="ListParagraph"/>
        <w:numPr>
          <w:ilvl w:val="0"/>
          <w:numId w:val="2"/>
        </w:numPr>
        <w:spacing w:before="240" w:after="240"/>
        <w:rPr>
          <w:rFonts w:ascii="Arial" w:eastAsia="Arial" w:hAnsi="Arial" w:cs="Arial"/>
          <w:color w:val="000000" w:themeColor="text1"/>
          <w:sz w:val="22"/>
          <w:szCs w:val="22"/>
        </w:rPr>
      </w:pPr>
      <w:r w:rsidRPr="729C825E">
        <w:rPr>
          <w:rFonts w:ascii="Arial" w:eastAsia="Arial" w:hAnsi="Arial" w:cs="Arial"/>
          <w:b/>
          <w:bCs/>
          <w:color w:val="000000" w:themeColor="text1"/>
          <w:sz w:val="22"/>
          <w:szCs w:val="22"/>
        </w:rPr>
        <w:t>Limited Funding &amp; Resources</w:t>
      </w:r>
      <w:r w:rsidRPr="729C825E">
        <w:rPr>
          <w:rFonts w:ascii="Arial" w:eastAsia="Arial" w:hAnsi="Arial" w:cs="Arial"/>
          <w:color w:val="000000" w:themeColor="text1"/>
          <w:sz w:val="22"/>
          <w:szCs w:val="22"/>
        </w:rPr>
        <w:t xml:space="preserve"> – Fewer medicines and services available.</w:t>
      </w:r>
    </w:p>
    <w:p w14:paraId="78B8A857" w14:textId="24CED72A" w:rsidR="1918BC1C" w:rsidRDefault="1918BC1C"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These challenges can slow down care for the community (NHS England, 2023; Pharmaceutical Journal, 2023).</w:t>
      </w:r>
    </w:p>
    <w:p w14:paraId="24151EC0" w14:textId="11A9C921" w:rsidR="729C825E" w:rsidRDefault="729C825E" w:rsidP="729C825E">
      <w:pPr>
        <w:spacing w:before="240" w:after="240"/>
        <w:rPr>
          <w:rFonts w:ascii="Arial" w:eastAsia="Arial" w:hAnsi="Arial" w:cs="Arial"/>
          <w:color w:val="000000" w:themeColor="text1"/>
          <w:sz w:val="22"/>
          <w:szCs w:val="22"/>
        </w:rPr>
      </w:pPr>
    </w:p>
    <w:p w14:paraId="5EC8DD16" w14:textId="4FE01834" w:rsidR="7EAC79BD" w:rsidRDefault="7EAC79BD" w:rsidP="729C825E">
      <w:pPr>
        <w:rPr>
          <w:rFonts w:ascii="Arial" w:eastAsia="Arial" w:hAnsi="Arial" w:cs="Arial"/>
          <w:color w:val="000000" w:themeColor="text1"/>
          <w:sz w:val="22"/>
          <w:szCs w:val="22"/>
        </w:rPr>
      </w:pPr>
      <w:r>
        <w:rPr>
          <w:noProof/>
        </w:rPr>
        <w:drawing>
          <wp:inline distT="0" distB="0" distL="0" distR="0" wp14:anchorId="599A44BB" wp14:editId="39266BF7">
            <wp:extent cx="5380621" cy="2335742"/>
            <wp:effectExtent l="0" t="0" r="0" b="0"/>
            <wp:docPr id="12721776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77609" name=""/>
                    <pic:cNvPicPr/>
                  </pic:nvPicPr>
                  <pic:blipFill>
                    <a:blip r:embed="rId12">
                      <a:extLst>
                        <a:ext uri="{28A0092B-C50C-407E-A947-70E740481C1C}">
                          <a14:useLocalDpi xmlns:a14="http://schemas.microsoft.com/office/drawing/2010/main"/>
                        </a:ext>
                      </a:extLst>
                    </a:blip>
                    <a:stretch>
                      <a:fillRect/>
                    </a:stretch>
                  </pic:blipFill>
                  <pic:spPr>
                    <a:xfrm>
                      <a:off x="0" y="0"/>
                      <a:ext cx="5380621" cy="2335742"/>
                    </a:xfrm>
                    <a:prstGeom prst="rect">
                      <a:avLst/>
                    </a:prstGeom>
                  </pic:spPr>
                </pic:pic>
              </a:graphicData>
            </a:graphic>
          </wp:inline>
        </w:drawing>
      </w:r>
    </w:p>
    <w:p w14:paraId="4AB33ACA" w14:textId="3750EB62" w:rsidR="729C825E" w:rsidRDefault="729C825E" w:rsidP="729C825E">
      <w:pPr>
        <w:rPr>
          <w:rFonts w:ascii="Arial" w:eastAsia="Arial" w:hAnsi="Arial" w:cs="Arial"/>
          <w:color w:val="000000" w:themeColor="text1"/>
          <w:sz w:val="22"/>
          <w:szCs w:val="22"/>
        </w:rPr>
      </w:pPr>
    </w:p>
    <w:p w14:paraId="50F16951" w14:textId="03CF6B3D" w:rsidR="2FC3326A" w:rsidRDefault="2FC3326A" w:rsidP="729C825E">
      <w:pPr>
        <w:rPr>
          <w:rFonts w:ascii="Arial" w:eastAsia="Arial" w:hAnsi="Arial" w:cs="Arial"/>
          <w:b/>
          <w:bCs/>
          <w:color w:val="000000" w:themeColor="text1"/>
          <w:sz w:val="22"/>
          <w:szCs w:val="22"/>
        </w:rPr>
      </w:pPr>
      <w:r w:rsidRPr="729C825E">
        <w:rPr>
          <w:rFonts w:ascii="Arial" w:eastAsia="Arial" w:hAnsi="Arial" w:cs="Arial"/>
          <w:b/>
          <w:bCs/>
          <w:color w:val="000000" w:themeColor="text1"/>
          <w:sz w:val="22"/>
          <w:szCs w:val="22"/>
        </w:rPr>
        <w:t>Pharmacy actions with the challenges</w:t>
      </w:r>
    </w:p>
    <w:p w14:paraId="09B1187F" w14:textId="4C0E2587" w:rsidR="2FC3326A" w:rsidRDefault="2FC3326A" w:rsidP="729C825E">
      <w:pPr>
        <w:rPr>
          <w:rFonts w:ascii="Arial" w:eastAsia="Arial" w:hAnsi="Arial" w:cs="Arial"/>
          <w:color w:val="000000" w:themeColor="text1"/>
          <w:sz w:val="22"/>
          <w:szCs w:val="22"/>
        </w:rPr>
      </w:pPr>
      <w:r w:rsidRPr="729C825E">
        <w:rPr>
          <w:rFonts w:ascii="Arial" w:eastAsia="Arial" w:hAnsi="Arial" w:cs="Arial"/>
          <w:color w:val="000000" w:themeColor="text1"/>
          <w:sz w:val="22"/>
          <w:szCs w:val="22"/>
        </w:rPr>
        <w:t>Pharmacies face challenges like staff shortages, heavy workloads, and limited funding, but they focus on what’s most important. They prioritise tasks, ensuring urgent prescriptions and patient safety are handled first. They make use of technology, including automated dispensing systems and electronic prescriptions, to speed up work and reduce mistakes. Collaboration is essential, with staff working with other healthcare providers to share responsibilities and support patients. Careful resource management helps pharmacies maintain medicine supplies and funding to keep essential services running smoothly.</w:t>
      </w:r>
    </w:p>
    <w:p w14:paraId="251334FA" w14:textId="6C980F83" w:rsidR="729C825E" w:rsidRDefault="729C825E" w:rsidP="729C825E">
      <w:pPr>
        <w:rPr>
          <w:rFonts w:ascii="Arial" w:eastAsia="Arial" w:hAnsi="Arial" w:cs="Arial"/>
          <w:color w:val="000000" w:themeColor="text1"/>
          <w:sz w:val="22"/>
          <w:szCs w:val="22"/>
        </w:rPr>
      </w:pPr>
    </w:p>
    <w:p w14:paraId="7AC5B17E" w14:textId="6AA6315F" w:rsidR="729C825E" w:rsidRDefault="729C825E" w:rsidP="729C825E">
      <w:pPr>
        <w:rPr>
          <w:rFonts w:ascii="Arial" w:eastAsia="Arial" w:hAnsi="Arial" w:cs="Arial"/>
          <w:color w:val="000000" w:themeColor="text1"/>
          <w:sz w:val="22"/>
          <w:szCs w:val="22"/>
        </w:rPr>
      </w:pPr>
    </w:p>
    <w:p w14:paraId="2A68CEF9" w14:textId="3AE75319" w:rsidR="729C825E" w:rsidRDefault="729C825E" w:rsidP="729C825E">
      <w:pPr>
        <w:rPr>
          <w:rFonts w:ascii="Arial" w:eastAsia="Arial" w:hAnsi="Arial" w:cs="Arial"/>
          <w:color w:val="000000" w:themeColor="text1"/>
          <w:sz w:val="22"/>
          <w:szCs w:val="22"/>
        </w:rPr>
      </w:pPr>
    </w:p>
    <w:p w14:paraId="3F4F7B89" w14:textId="37009564" w:rsidR="729C825E" w:rsidRDefault="729C825E" w:rsidP="729C825E">
      <w:pPr>
        <w:rPr>
          <w:rFonts w:ascii="Arial" w:eastAsia="Arial" w:hAnsi="Arial" w:cs="Arial"/>
          <w:color w:val="000000" w:themeColor="text1"/>
          <w:sz w:val="22"/>
          <w:szCs w:val="22"/>
        </w:rPr>
      </w:pPr>
    </w:p>
    <w:p w14:paraId="7C140664" w14:textId="3F5C571B" w:rsidR="729C825E" w:rsidRDefault="729C825E" w:rsidP="729C825E">
      <w:pPr>
        <w:rPr>
          <w:rFonts w:ascii="Arial" w:eastAsia="Arial" w:hAnsi="Arial" w:cs="Arial"/>
          <w:color w:val="000000" w:themeColor="text1"/>
          <w:sz w:val="22"/>
          <w:szCs w:val="22"/>
        </w:rPr>
      </w:pPr>
    </w:p>
    <w:p w14:paraId="1591DD31" w14:textId="6C4FCAD1" w:rsidR="729C825E" w:rsidRDefault="729C825E" w:rsidP="729C825E">
      <w:pPr>
        <w:rPr>
          <w:rFonts w:ascii="Arial" w:eastAsia="Arial" w:hAnsi="Arial" w:cs="Arial"/>
          <w:color w:val="000000" w:themeColor="text1"/>
          <w:sz w:val="22"/>
          <w:szCs w:val="22"/>
        </w:rPr>
      </w:pPr>
    </w:p>
    <w:p w14:paraId="3688A119" w14:textId="7523D7E5" w:rsidR="729C825E" w:rsidRDefault="729C825E" w:rsidP="729C825E">
      <w:pPr>
        <w:rPr>
          <w:rFonts w:ascii="Arial" w:eastAsia="Arial" w:hAnsi="Arial" w:cs="Arial"/>
          <w:color w:val="000000" w:themeColor="text1"/>
          <w:sz w:val="22"/>
          <w:szCs w:val="22"/>
        </w:rPr>
      </w:pPr>
    </w:p>
    <w:p w14:paraId="354E44FC" w14:textId="353B6DD8" w:rsidR="729C825E" w:rsidRDefault="729C825E" w:rsidP="729C825E">
      <w:pPr>
        <w:rPr>
          <w:rFonts w:ascii="Arial" w:eastAsia="Arial" w:hAnsi="Arial" w:cs="Arial"/>
          <w:color w:val="000000" w:themeColor="text1"/>
          <w:sz w:val="22"/>
          <w:szCs w:val="22"/>
        </w:rPr>
      </w:pPr>
    </w:p>
    <w:p w14:paraId="53A246C9" w14:textId="2223C980" w:rsidR="464AA092" w:rsidRDefault="464AA092" w:rsidP="729C825E">
      <w:pPr>
        <w:rPr>
          <w:rFonts w:ascii="Arial" w:eastAsia="Arial" w:hAnsi="Arial" w:cs="Arial"/>
          <w:b/>
          <w:bCs/>
          <w:color w:val="000000" w:themeColor="text1"/>
          <w:sz w:val="22"/>
          <w:szCs w:val="22"/>
        </w:rPr>
      </w:pPr>
      <w:r w:rsidRPr="729C825E">
        <w:rPr>
          <w:rFonts w:ascii="Arial" w:eastAsia="Arial" w:hAnsi="Arial" w:cs="Arial"/>
          <w:b/>
          <w:bCs/>
          <w:color w:val="000000" w:themeColor="text1"/>
          <w:sz w:val="22"/>
          <w:szCs w:val="22"/>
        </w:rPr>
        <w:t xml:space="preserve">TASK:2 </w:t>
      </w:r>
    </w:p>
    <w:p w14:paraId="65E8BC1C" w14:textId="23EFD518"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The National Health Service (NHS) was established in 1948 in the United Kingdom, soon after World War II. Its creation was influenced by historical, social, and political factors and reflected the country’s commitment to social welfare and public health (Timmins, 2001). Before the NHS, healthcare in the UK was inconsistent and often depended on wealth, employment, or charity. Many working-class families could not afford medical care, and poor housing, malnutrition, and disease affected vulnerable communities the most (Webster, 2002).</w:t>
      </w:r>
    </w:p>
    <w:p w14:paraId="49B5AD14" w14:textId="455D3410"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A major step towards the NHS was the Beveridge Report of 1942, led by Sir William Beveridge. The report recommended reforms across health, education, and welfare and promoted services available to everyone “from cradle to grave” (Beveridge, 1942). After the war, the Labour government under Clement Attlee focused on social welfare and national rebuilding, establishing a healthcare system that would be accessible to all, regardless of income (Klein, 2013).</w:t>
      </w:r>
    </w:p>
    <w:p w14:paraId="2E85C448" w14:textId="41671ECB"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The NHS was founded on three main principles: universal access, comprehensive care, and free at the point of use. Universal access means healthcare is available to all UK residents. Comprehensive care ensures services cover everything from prevention to advanced treatments. Free at the point of use means patients do not pay when they receive care (Appleby et al., 2017). These principles made healthcare fairer and more inclusive compared to the previous system, which often left many people without the care they needed.</w:t>
      </w:r>
    </w:p>
    <w:p w14:paraId="22DA25AB" w14:textId="3BE0BE0C"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Since its creation, the NHS has grown and developed. It continues to provide free healthcare, maintaining fairness and equality. It is a trusted institution and a key part of the UK’s social welfare system. Advances like digital health records, telemedicine, and integrated care systems have improved efficiency and patient care (NHS England, 2023).</w:t>
      </w:r>
    </w:p>
    <w:p w14:paraId="7C380740" w14:textId="0007BEB4"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However, the NHS faces ongoing challenges. Rising demand, an aging population, and the high cost of treatments put pressure on funding. Staff shortages, particularly in nursing and primary care, affect service quality. Health inequalities remain, with some areas experiencing lower life expectancy and worse health outcomes. Waiting times for elective procedures and specialist care can also be long, affecting patient satisfaction (The Kings Fund, 2022).</w:t>
      </w:r>
    </w:p>
    <w:p w14:paraId="57745CAF" w14:textId="1F9BCA3D"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In response, the NHS has focused on preventive care, digital innovation, and community-based services, as well as working closely with social care to manage chronic conditions and reduce hospital pressure (NHS England, 2023).</w:t>
      </w:r>
    </w:p>
    <w:p w14:paraId="47F02F68" w14:textId="10A0FA73"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In conclusion, the NHS was founded on principles of equity, universality, and free access. Over seventy years later, it remains a respected healthcare system. However, ongoing financial, demographic, and operational pressures mean it must continue evolving. Its future success depends on balancing innovation, efficiency, and fairness to ensure high-quality healthcare remains available to all (Appleby et al., 2017).</w:t>
      </w:r>
    </w:p>
    <w:p w14:paraId="79039853" w14:textId="1D463463" w:rsidR="729C825E" w:rsidRDefault="729C825E" w:rsidP="729C825E">
      <w:pPr>
        <w:rPr>
          <w:rFonts w:ascii="Arial" w:eastAsia="Arial" w:hAnsi="Arial" w:cs="Arial"/>
          <w:b/>
          <w:bCs/>
          <w:color w:val="000000" w:themeColor="text1"/>
          <w:sz w:val="22"/>
          <w:szCs w:val="22"/>
        </w:rPr>
      </w:pPr>
    </w:p>
    <w:p w14:paraId="346D572D" w14:textId="25FE8AE9" w:rsidR="66E1A388" w:rsidRDefault="66E1A388" w:rsidP="729C825E">
      <w:pPr>
        <w:rPr>
          <w:rFonts w:ascii="Arial" w:eastAsia="Arial" w:hAnsi="Arial" w:cs="Arial"/>
          <w:b/>
          <w:bCs/>
          <w:color w:val="000000" w:themeColor="text1"/>
          <w:sz w:val="22"/>
          <w:szCs w:val="22"/>
        </w:rPr>
      </w:pPr>
      <w:r w:rsidRPr="729C825E">
        <w:rPr>
          <w:rFonts w:ascii="Arial" w:eastAsia="Arial" w:hAnsi="Arial" w:cs="Arial"/>
          <w:b/>
          <w:bCs/>
          <w:color w:val="000000" w:themeColor="text1"/>
          <w:sz w:val="22"/>
          <w:szCs w:val="22"/>
        </w:rPr>
        <w:t>References</w:t>
      </w:r>
    </w:p>
    <w:p w14:paraId="32C28D39" w14:textId="2DE6142F" w:rsidR="12415B13" w:rsidRDefault="12415B13" w:rsidP="729C825E">
      <w:pPr>
        <w:rPr>
          <w:rFonts w:ascii="Arial" w:eastAsia="Arial" w:hAnsi="Arial" w:cs="Arial"/>
          <w:b/>
          <w:bCs/>
          <w:color w:val="000000" w:themeColor="text1"/>
          <w:sz w:val="22"/>
          <w:szCs w:val="22"/>
        </w:rPr>
      </w:pPr>
      <w:r w:rsidRPr="729C825E">
        <w:rPr>
          <w:rFonts w:ascii="Arial" w:eastAsia="Arial" w:hAnsi="Arial" w:cs="Arial"/>
          <w:b/>
          <w:bCs/>
          <w:color w:val="000000" w:themeColor="text1"/>
          <w:sz w:val="22"/>
          <w:szCs w:val="22"/>
        </w:rPr>
        <w:t>Task 1</w:t>
      </w:r>
    </w:p>
    <w:p w14:paraId="12BB5649" w14:textId="3200D29A" w:rsidR="26BACCA2" w:rsidRDefault="26BACCA2" w:rsidP="729C825E">
      <w:pPr>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General Pharmaceutical Council. (2023). </w:t>
      </w:r>
      <w:r w:rsidRPr="729C825E">
        <w:rPr>
          <w:rFonts w:ascii="Arial" w:eastAsia="Arial" w:hAnsi="Arial" w:cs="Arial"/>
          <w:i/>
          <w:iCs/>
          <w:color w:val="000000" w:themeColor="text1"/>
          <w:sz w:val="22"/>
          <w:szCs w:val="22"/>
        </w:rPr>
        <w:t>Standards for pharmacy professionals</w:t>
      </w:r>
      <w:r w:rsidRPr="729C825E">
        <w:rPr>
          <w:rFonts w:ascii="Arial" w:eastAsia="Arial" w:hAnsi="Arial" w:cs="Arial"/>
          <w:color w:val="000000" w:themeColor="text1"/>
          <w:sz w:val="22"/>
          <w:szCs w:val="22"/>
        </w:rPr>
        <w:t>. https://www.pharmacyregulation.org/standards</w:t>
      </w:r>
    </w:p>
    <w:p w14:paraId="67D80AA6" w14:textId="2B7E1447" w:rsidR="12415B13" w:rsidRDefault="12415B13"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Royal Pharmaceutical Society. (n.d.). </w:t>
      </w:r>
      <w:r w:rsidRPr="729C825E">
        <w:rPr>
          <w:rFonts w:ascii="Arial" w:eastAsia="Arial" w:hAnsi="Arial" w:cs="Arial"/>
          <w:i/>
          <w:iCs/>
          <w:color w:val="000000" w:themeColor="text1"/>
          <w:sz w:val="22"/>
          <w:szCs w:val="22"/>
        </w:rPr>
        <w:t>The history of pharmacy in the UK</w:t>
      </w:r>
      <w:r w:rsidRPr="729C825E">
        <w:rPr>
          <w:rFonts w:ascii="Arial" w:eastAsia="Arial" w:hAnsi="Arial" w:cs="Arial"/>
          <w:color w:val="000000" w:themeColor="text1"/>
          <w:sz w:val="22"/>
          <w:szCs w:val="22"/>
        </w:rPr>
        <w:t xml:space="preserve">. </w:t>
      </w:r>
      <w:hyperlink r:id="rId13">
        <w:r w:rsidRPr="729C825E">
          <w:rPr>
            <w:rStyle w:val="Hyperlink"/>
            <w:rFonts w:ascii="Arial" w:eastAsia="Arial" w:hAnsi="Arial" w:cs="Arial"/>
            <w:color w:val="000000" w:themeColor="text1"/>
            <w:sz w:val="22"/>
            <w:szCs w:val="22"/>
          </w:rPr>
          <w:t>https://www.rpharms.com</w:t>
        </w:r>
      </w:hyperlink>
    </w:p>
    <w:p w14:paraId="78265DCA" w14:textId="57C9F182" w:rsidR="12415B13" w:rsidRDefault="12415B13"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Webster, C. (2002). </w:t>
      </w:r>
      <w:r w:rsidRPr="729C825E">
        <w:rPr>
          <w:rFonts w:ascii="Arial" w:eastAsia="Arial" w:hAnsi="Arial" w:cs="Arial"/>
          <w:i/>
          <w:iCs/>
          <w:color w:val="000000" w:themeColor="text1"/>
          <w:sz w:val="22"/>
          <w:szCs w:val="22"/>
        </w:rPr>
        <w:t>The National Health Service: A political history</w:t>
      </w:r>
      <w:r w:rsidRPr="729C825E">
        <w:rPr>
          <w:rFonts w:ascii="Arial" w:eastAsia="Arial" w:hAnsi="Arial" w:cs="Arial"/>
          <w:color w:val="000000" w:themeColor="text1"/>
          <w:sz w:val="22"/>
          <w:szCs w:val="22"/>
        </w:rPr>
        <w:t>. Oxford University Press.</w:t>
      </w:r>
    </w:p>
    <w:p w14:paraId="054CD987" w14:textId="449E805B" w:rsidR="5A184202" w:rsidRDefault="5A184202" w:rsidP="729C825E">
      <w:pPr>
        <w:spacing w:before="240" w:after="240"/>
        <w:rPr>
          <w:rFonts w:ascii="Arial" w:eastAsia="Arial" w:hAnsi="Arial" w:cs="Arial"/>
          <w:sz w:val="22"/>
          <w:szCs w:val="22"/>
        </w:rPr>
      </w:pPr>
      <w:r w:rsidRPr="729C825E">
        <w:rPr>
          <w:rFonts w:ascii="Arial" w:eastAsia="Arial" w:hAnsi="Arial" w:cs="Arial"/>
          <w:color w:val="000000" w:themeColor="text1"/>
          <w:sz w:val="22"/>
          <w:szCs w:val="22"/>
        </w:rPr>
        <w:t xml:space="preserve">Royal Pharmaceutical Society. (n.d.). </w:t>
      </w:r>
      <w:r w:rsidRPr="729C825E">
        <w:rPr>
          <w:rFonts w:ascii="Arial" w:eastAsia="Arial" w:hAnsi="Arial" w:cs="Arial"/>
          <w:i/>
          <w:iCs/>
          <w:color w:val="000000" w:themeColor="text1"/>
          <w:sz w:val="22"/>
          <w:szCs w:val="22"/>
        </w:rPr>
        <w:t>Community pharmacy: Supporting health and wellbeing</w:t>
      </w:r>
      <w:r w:rsidRPr="729C825E">
        <w:rPr>
          <w:rFonts w:ascii="Arial" w:eastAsia="Arial" w:hAnsi="Arial" w:cs="Arial"/>
          <w:color w:val="000000" w:themeColor="text1"/>
          <w:sz w:val="22"/>
          <w:szCs w:val="22"/>
        </w:rPr>
        <w:t xml:space="preserve">. </w:t>
      </w:r>
      <w:hyperlink r:id="rId14">
        <w:r w:rsidRPr="729C825E">
          <w:rPr>
            <w:rStyle w:val="Hyperlink"/>
            <w:rFonts w:ascii="Arial" w:eastAsia="Arial" w:hAnsi="Arial" w:cs="Arial"/>
            <w:color w:val="000000" w:themeColor="text1"/>
            <w:sz w:val="22"/>
            <w:szCs w:val="22"/>
          </w:rPr>
          <w:t>https://www.rpharms.com</w:t>
        </w:r>
      </w:hyperlink>
    </w:p>
    <w:p w14:paraId="03BEF1D1" w14:textId="6E372AEE" w:rsidR="5A184202" w:rsidRDefault="5A184202"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NHS. (2023). </w:t>
      </w:r>
      <w:r w:rsidRPr="729C825E">
        <w:rPr>
          <w:rFonts w:ascii="Arial" w:eastAsia="Arial" w:hAnsi="Arial" w:cs="Arial"/>
          <w:i/>
          <w:iCs/>
          <w:color w:val="000000" w:themeColor="text1"/>
          <w:sz w:val="22"/>
          <w:szCs w:val="22"/>
        </w:rPr>
        <w:t>Pharmacies and your health</w:t>
      </w:r>
      <w:r w:rsidRPr="729C825E">
        <w:rPr>
          <w:rFonts w:ascii="Arial" w:eastAsia="Arial" w:hAnsi="Arial" w:cs="Arial"/>
          <w:color w:val="000000" w:themeColor="text1"/>
          <w:sz w:val="22"/>
          <w:szCs w:val="22"/>
        </w:rPr>
        <w:t xml:space="preserve">. </w:t>
      </w:r>
      <w:hyperlink r:id="rId15">
        <w:r w:rsidRPr="729C825E">
          <w:rPr>
            <w:rStyle w:val="Hyperlink"/>
            <w:rFonts w:ascii="Arial" w:eastAsia="Arial" w:hAnsi="Arial" w:cs="Arial"/>
            <w:color w:val="000000" w:themeColor="text1"/>
            <w:sz w:val="22"/>
            <w:szCs w:val="22"/>
          </w:rPr>
          <w:t>https://www.nhs.uk</w:t>
        </w:r>
      </w:hyperlink>
    </w:p>
    <w:p w14:paraId="09EED82A" w14:textId="30049CF4" w:rsidR="470936F7" w:rsidRDefault="470936F7"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pharmaceutical Journal. (2023). </w:t>
      </w:r>
      <w:r w:rsidRPr="729C825E">
        <w:rPr>
          <w:rFonts w:ascii="Arial" w:eastAsia="Arial" w:hAnsi="Arial" w:cs="Arial"/>
          <w:i/>
          <w:iCs/>
          <w:color w:val="000000" w:themeColor="text1"/>
          <w:sz w:val="22"/>
          <w:szCs w:val="22"/>
        </w:rPr>
        <w:t>Community pharmacy workload and staffing challenges</w:t>
      </w:r>
      <w:r w:rsidRPr="729C825E">
        <w:rPr>
          <w:rFonts w:ascii="Arial" w:eastAsia="Arial" w:hAnsi="Arial" w:cs="Arial"/>
          <w:color w:val="000000" w:themeColor="text1"/>
          <w:sz w:val="22"/>
          <w:szCs w:val="22"/>
        </w:rPr>
        <w:t xml:space="preserve">. </w:t>
      </w:r>
      <w:hyperlink r:id="rId16">
        <w:r w:rsidRPr="729C825E">
          <w:rPr>
            <w:rStyle w:val="Hyperlink"/>
            <w:rFonts w:ascii="Arial" w:eastAsia="Arial" w:hAnsi="Arial" w:cs="Arial"/>
            <w:sz w:val="22"/>
            <w:szCs w:val="22"/>
          </w:rPr>
          <w:t>https://www.pharmaceutical-journal.com</w:t>
        </w:r>
      </w:hyperlink>
    </w:p>
    <w:p w14:paraId="462CC3B0" w14:textId="4BC9EC05" w:rsidR="12415B13" w:rsidRDefault="12415B13" w:rsidP="729C825E">
      <w:pPr>
        <w:rPr>
          <w:rFonts w:ascii="Arial" w:eastAsia="Arial" w:hAnsi="Arial" w:cs="Arial"/>
          <w:b/>
          <w:bCs/>
          <w:color w:val="000000" w:themeColor="text1"/>
          <w:sz w:val="22"/>
          <w:szCs w:val="22"/>
        </w:rPr>
      </w:pPr>
      <w:r w:rsidRPr="729C825E">
        <w:rPr>
          <w:rFonts w:ascii="Arial" w:eastAsia="Arial" w:hAnsi="Arial" w:cs="Arial"/>
          <w:b/>
          <w:bCs/>
          <w:color w:val="000000" w:themeColor="text1"/>
          <w:sz w:val="22"/>
          <w:szCs w:val="22"/>
        </w:rPr>
        <w:t>Task 2</w:t>
      </w:r>
    </w:p>
    <w:p w14:paraId="53FD01DB" w14:textId="7A0ED80E"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Appleby, J., Thompson, J., Jabbal, J. and Galea, A., 2017. </w:t>
      </w:r>
      <w:r w:rsidRPr="729C825E">
        <w:rPr>
          <w:rFonts w:ascii="Arial" w:eastAsia="Arial" w:hAnsi="Arial" w:cs="Arial"/>
          <w:i/>
          <w:iCs/>
          <w:color w:val="000000" w:themeColor="text1"/>
          <w:sz w:val="22"/>
          <w:szCs w:val="22"/>
        </w:rPr>
        <w:t>The NHS under the Coalition Government: Part One: NHS Reform</w:t>
      </w:r>
      <w:r w:rsidRPr="729C825E">
        <w:rPr>
          <w:rFonts w:ascii="Arial" w:eastAsia="Arial" w:hAnsi="Arial" w:cs="Arial"/>
          <w:color w:val="000000" w:themeColor="text1"/>
          <w:sz w:val="22"/>
          <w:szCs w:val="22"/>
        </w:rPr>
        <w:t>. London: The King’s Fund.</w:t>
      </w:r>
    </w:p>
    <w:p w14:paraId="030D3EE1" w14:textId="25B553AF"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Beveridge, W., 1942. </w:t>
      </w:r>
      <w:r w:rsidRPr="729C825E">
        <w:rPr>
          <w:rFonts w:ascii="Arial" w:eastAsia="Arial" w:hAnsi="Arial" w:cs="Arial"/>
          <w:i/>
          <w:iCs/>
          <w:color w:val="000000" w:themeColor="text1"/>
          <w:sz w:val="22"/>
          <w:szCs w:val="22"/>
        </w:rPr>
        <w:t>Social Insurance and Allied Services</w:t>
      </w:r>
      <w:r w:rsidRPr="729C825E">
        <w:rPr>
          <w:rFonts w:ascii="Arial" w:eastAsia="Arial" w:hAnsi="Arial" w:cs="Arial"/>
          <w:color w:val="000000" w:themeColor="text1"/>
          <w:sz w:val="22"/>
          <w:szCs w:val="22"/>
        </w:rPr>
        <w:t>. London: HMSO.</w:t>
      </w:r>
    </w:p>
    <w:p w14:paraId="5245C73A" w14:textId="755624ED"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Klein, R., 2013. </w:t>
      </w:r>
      <w:r w:rsidRPr="729C825E">
        <w:rPr>
          <w:rFonts w:ascii="Arial" w:eastAsia="Arial" w:hAnsi="Arial" w:cs="Arial"/>
          <w:i/>
          <w:iCs/>
          <w:color w:val="000000" w:themeColor="text1"/>
          <w:sz w:val="22"/>
          <w:szCs w:val="22"/>
        </w:rPr>
        <w:t>The New Politics of the NHS: From Creation to Reinvention</w:t>
      </w:r>
      <w:r w:rsidRPr="729C825E">
        <w:rPr>
          <w:rFonts w:ascii="Arial" w:eastAsia="Arial" w:hAnsi="Arial" w:cs="Arial"/>
          <w:color w:val="000000" w:themeColor="text1"/>
          <w:sz w:val="22"/>
          <w:szCs w:val="22"/>
        </w:rPr>
        <w:t>. 6th ed. London: Radcliffe Publishing.</w:t>
      </w:r>
    </w:p>
    <w:p w14:paraId="5707371C" w14:textId="43CDCDFC"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NHS England, 2023. </w:t>
      </w:r>
      <w:r w:rsidRPr="729C825E">
        <w:rPr>
          <w:rFonts w:ascii="Arial" w:eastAsia="Arial" w:hAnsi="Arial" w:cs="Arial"/>
          <w:i/>
          <w:iCs/>
          <w:color w:val="000000" w:themeColor="text1"/>
          <w:sz w:val="22"/>
          <w:szCs w:val="22"/>
        </w:rPr>
        <w:t>About the NHS</w:t>
      </w:r>
      <w:r w:rsidRPr="729C825E">
        <w:rPr>
          <w:rFonts w:ascii="Arial" w:eastAsia="Arial" w:hAnsi="Arial" w:cs="Arial"/>
          <w:color w:val="000000" w:themeColor="text1"/>
          <w:sz w:val="22"/>
          <w:szCs w:val="22"/>
        </w:rPr>
        <w:t xml:space="preserve">. Available at: </w:t>
      </w:r>
      <w:hyperlink r:id="rId17">
        <w:r w:rsidRPr="729C825E">
          <w:rPr>
            <w:rStyle w:val="Hyperlink"/>
            <w:rFonts w:ascii="Arial" w:eastAsia="Arial" w:hAnsi="Arial" w:cs="Arial"/>
            <w:color w:val="000000" w:themeColor="text1"/>
            <w:sz w:val="22"/>
            <w:szCs w:val="22"/>
          </w:rPr>
          <w:t>https://www.england.nhs.uk/about/</w:t>
        </w:r>
      </w:hyperlink>
      <w:r w:rsidRPr="729C825E">
        <w:rPr>
          <w:rFonts w:ascii="Arial" w:eastAsia="Arial" w:hAnsi="Arial" w:cs="Arial"/>
          <w:color w:val="000000" w:themeColor="text1"/>
          <w:sz w:val="22"/>
          <w:szCs w:val="22"/>
        </w:rPr>
        <w:t xml:space="preserve"> </w:t>
      </w:r>
    </w:p>
    <w:p w14:paraId="172F23C6" w14:textId="6B0D5711"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The Kings Fund, 2022. </w:t>
      </w:r>
      <w:r w:rsidRPr="729C825E">
        <w:rPr>
          <w:rFonts w:ascii="Arial" w:eastAsia="Arial" w:hAnsi="Arial" w:cs="Arial"/>
          <w:i/>
          <w:iCs/>
          <w:color w:val="000000" w:themeColor="text1"/>
          <w:sz w:val="22"/>
          <w:szCs w:val="22"/>
        </w:rPr>
        <w:t>The NHS Budget and How It Has Changed</w:t>
      </w:r>
      <w:r w:rsidRPr="729C825E">
        <w:rPr>
          <w:rFonts w:ascii="Arial" w:eastAsia="Arial" w:hAnsi="Arial" w:cs="Arial"/>
          <w:color w:val="000000" w:themeColor="text1"/>
          <w:sz w:val="22"/>
          <w:szCs w:val="22"/>
        </w:rPr>
        <w:t xml:space="preserve">. Available at: </w:t>
      </w:r>
      <w:hyperlink r:id="rId18">
        <w:r w:rsidRPr="729C825E">
          <w:rPr>
            <w:rStyle w:val="Hyperlink"/>
            <w:rFonts w:ascii="Arial" w:eastAsia="Arial" w:hAnsi="Arial" w:cs="Arial"/>
            <w:color w:val="000000" w:themeColor="text1"/>
            <w:sz w:val="22"/>
            <w:szCs w:val="22"/>
          </w:rPr>
          <w:t>https://www.kingsfund.org.uk/projects/nhs-in-a-nutshell/nhs-budget</w:t>
        </w:r>
      </w:hyperlink>
      <w:r w:rsidRPr="729C825E">
        <w:rPr>
          <w:rFonts w:ascii="Arial" w:eastAsia="Arial" w:hAnsi="Arial" w:cs="Arial"/>
          <w:color w:val="000000" w:themeColor="text1"/>
          <w:sz w:val="22"/>
          <w:szCs w:val="22"/>
        </w:rPr>
        <w:t xml:space="preserve"> </w:t>
      </w:r>
    </w:p>
    <w:p w14:paraId="7DBA8685" w14:textId="61C17B27"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Timmins, N., 2001. </w:t>
      </w:r>
      <w:r w:rsidRPr="729C825E">
        <w:rPr>
          <w:rFonts w:ascii="Arial" w:eastAsia="Arial" w:hAnsi="Arial" w:cs="Arial"/>
          <w:i/>
          <w:iCs/>
          <w:color w:val="000000" w:themeColor="text1"/>
          <w:sz w:val="22"/>
          <w:szCs w:val="22"/>
        </w:rPr>
        <w:t>The Five Giants: A Biography of the Welfare State</w:t>
      </w:r>
      <w:r w:rsidRPr="729C825E">
        <w:rPr>
          <w:rFonts w:ascii="Arial" w:eastAsia="Arial" w:hAnsi="Arial" w:cs="Arial"/>
          <w:color w:val="000000" w:themeColor="text1"/>
          <w:sz w:val="22"/>
          <w:szCs w:val="22"/>
        </w:rPr>
        <w:t>. London: HarperCollins.</w:t>
      </w:r>
    </w:p>
    <w:p w14:paraId="49BCE26B" w14:textId="0EAF830C" w:rsidR="66E1A388" w:rsidRDefault="66E1A388" w:rsidP="729C825E">
      <w:pPr>
        <w:spacing w:before="240" w:after="240"/>
        <w:rPr>
          <w:rFonts w:ascii="Arial" w:eastAsia="Arial" w:hAnsi="Arial" w:cs="Arial"/>
          <w:color w:val="000000" w:themeColor="text1"/>
          <w:sz w:val="22"/>
          <w:szCs w:val="22"/>
        </w:rPr>
      </w:pPr>
      <w:r w:rsidRPr="729C825E">
        <w:rPr>
          <w:rFonts w:ascii="Arial" w:eastAsia="Arial" w:hAnsi="Arial" w:cs="Arial"/>
          <w:color w:val="000000" w:themeColor="text1"/>
          <w:sz w:val="22"/>
          <w:szCs w:val="22"/>
        </w:rPr>
        <w:t xml:space="preserve">Webster, C., 2002. </w:t>
      </w:r>
      <w:r w:rsidRPr="729C825E">
        <w:rPr>
          <w:rFonts w:ascii="Arial" w:eastAsia="Arial" w:hAnsi="Arial" w:cs="Arial"/>
          <w:i/>
          <w:iCs/>
          <w:color w:val="000000" w:themeColor="text1"/>
          <w:sz w:val="22"/>
          <w:szCs w:val="22"/>
        </w:rPr>
        <w:t>The National Health Service: A Political History</w:t>
      </w:r>
      <w:r w:rsidRPr="729C825E">
        <w:rPr>
          <w:rFonts w:ascii="Arial" w:eastAsia="Arial" w:hAnsi="Arial" w:cs="Arial"/>
          <w:color w:val="000000" w:themeColor="text1"/>
          <w:sz w:val="22"/>
          <w:szCs w:val="22"/>
        </w:rPr>
        <w:t>. 2nd ed. Oxford: Oxford University Press.</w:t>
      </w:r>
    </w:p>
    <w:p w14:paraId="64CD91CA" w14:textId="5BDFDD3D" w:rsidR="729C825E" w:rsidRDefault="729C825E" w:rsidP="729C825E">
      <w:pPr>
        <w:rPr>
          <w:rFonts w:ascii="Arial" w:eastAsia="Arial" w:hAnsi="Arial" w:cs="Arial"/>
          <w:color w:val="000000" w:themeColor="text1"/>
          <w:sz w:val="22"/>
          <w:szCs w:val="22"/>
        </w:rPr>
      </w:pPr>
    </w:p>
    <w:sectPr w:rsidR="729C825E">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91DB3" w14:textId="77777777" w:rsidR="00016EF1" w:rsidRDefault="00016EF1">
      <w:pPr>
        <w:spacing w:after="0" w:line="240" w:lineRule="auto"/>
      </w:pPr>
      <w:r>
        <w:separator/>
      </w:r>
    </w:p>
  </w:endnote>
  <w:endnote w:type="continuationSeparator" w:id="0">
    <w:p w14:paraId="24158A35" w14:textId="77777777" w:rsidR="00016EF1" w:rsidRDefault="00016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29C825E" w14:paraId="7EAE7B91" w14:textId="77777777" w:rsidTr="729C825E">
      <w:trPr>
        <w:trHeight w:val="300"/>
      </w:trPr>
      <w:tc>
        <w:tcPr>
          <w:tcW w:w="3005" w:type="dxa"/>
        </w:tcPr>
        <w:p w14:paraId="1DFE75C0" w14:textId="10CEF6C6" w:rsidR="729C825E" w:rsidRDefault="729C825E" w:rsidP="729C825E">
          <w:pPr>
            <w:pStyle w:val="Header"/>
            <w:ind w:left="-115"/>
          </w:pPr>
        </w:p>
      </w:tc>
      <w:tc>
        <w:tcPr>
          <w:tcW w:w="3005" w:type="dxa"/>
        </w:tcPr>
        <w:p w14:paraId="60FE00BD" w14:textId="5CEB73EA" w:rsidR="729C825E" w:rsidRDefault="729C825E" w:rsidP="729C825E">
          <w:pPr>
            <w:pStyle w:val="Header"/>
            <w:jc w:val="center"/>
          </w:pPr>
        </w:p>
      </w:tc>
      <w:tc>
        <w:tcPr>
          <w:tcW w:w="3005" w:type="dxa"/>
        </w:tcPr>
        <w:p w14:paraId="311D4CC9" w14:textId="0C8B9AC3" w:rsidR="729C825E" w:rsidRDefault="729C825E" w:rsidP="729C825E">
          <w:pPr>
            <w:pStyle w:val="Header"/>
            <w:ind w:right="-115"/>
            <w:jc w:val="right"/>
          </w:pPr>
        </w:p>
      </w:tc>
    </w:tr>
  </w:tbl>
  <w:p w14:paraId="125EA0C0" w14:textId="5976F36D" w:rsidR="729C825E" w:rsidRDefault="729C825E" w:rsidP="729C8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BFB03" w14:textId="77777777" w:rsidR="00016EF1" w:rsidRDefault="00016EF1">
      <w:pPr>
        <w:spacing w:after="0" w:line="240" w:lineRule="auto"/>
      </w:pPr>
      <w:r>
        <w:separator/>
      </w:r>
    </w:p>
  </w:footnote>
  <w:footnote w:type="continuationSeparator" w:id="0">
    <w:p w14:paraId="2CF9FB6E" w14:textId="77777777" w:rsidR="00016EF1" w:rsidRDefault="00016E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29C825E" w14:paraId="3FB3490C" w14:textId="77777777" w:rsidTr="729C825E">
      <w:trPr>
        <w:trHeight w:val="300"/>
      </w:trPr>
      <w:tc>
        <w:tcPr>
          <w:tcW w:w="3005" w:type="dxa"/>
        </w:tcPr>
        <w:p w14:paraId="0EF62E60" w14:textId="11F7E2DE" w:rsidR="729C825E" w:rsidRDefault="729C825E" w:rsidP="729C825E">
          <w:pPr>
            <w:pStyle w:val="Header"/>
            <w:ind w:left="-115"/>
          </w:pPr>
        </w:p>
      </w:tc>
      <w:tc>
        <w:tcPr>
          <w:tcW w:w="3005" w:type="dxa"/>
        </w:tcPr>
        <w:p w14:paraId="671EE426" w14:textId="719969E2" w:rsidR="729C825E" w:rsidRDefault="729C825E" w:rsidP="729C825E">
          <w:pPr>
            <w:pStyle w:val="Header"/>
            <w:jc w:val="center"/>
          </w:pPr>
        </w:p>
      </w:tc>
      <w:tc>
        <w:tcPr>
          <w:tcW w:w="3005" w:type="dxa"/>
        </w:tcPr>
        <w:p w14:paraId="147405D4" w14:textId="12BED2CE" w:rsidR="729C825E" w:rsidRDefault="729C825E" w:rsidP="729C825E">
          <w:pPr>
            <w:pStyle w:val="Header"/>
            <w:ind w:right="-115"/>
            <w:jc w:val="right"/>
          </w:pPr>
        </w:p>
      </w:tc>
    </w:tr>
  </w:tbl>
  <w:p w14:paraId="443A2739" w14:textId="423BA968" w:rsidR="729C825E" w:rsidRDefault="729C825E" w:rsidP="729C82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5A66C"/>
    <w:multiLevelType w:val="hybridMultilevel"/>
    <w:tmpl w:val="FFFFFFFF"/>
    <w:lvl w:ilvl="0" w:tplc="8FE6F694">
      <w:start w:val="1"/>
      <w:numFmt w:val="bullet"/>
      <w:lvlText w:val=""/>
      <w:lvlJc w:val="left"/>
      <w:pPr>
        <w:ind w:left="720" w:hanging="360"/>
      </w:pPr>
      <w:rPr>
        <w:rFonts w:ascii="Symbol" w:hAnsi="Symbol" w:hint="default"/>
      </w:rPr>
    </w:lvl>
    <w:lvl w:ilvl="1" w:tplc="40A2EE06">
      <w:start w:val="1"/>
      <w:numFmt w:val="bullet"/>
      <w:lvlText w:val="o"/>
      <w:lvlJc w:val="left"/>
      <w:pPr>
        <w:ind w:left="1440" w:hanging="360"/>
      </w:pPr>
      <w:rPr>
        <w:rFonts w:ascii="Courier New" w:hAnsi="Courier New" w:hint="default"/>
      </w:rPr>
    </w:lvl>
    <w:lvl w:ilvl="2" w:tplc="DFB4771E">
      <w:start w:val="1"/>
      <w:numFmt w:val="bullet"/>
      <w:lvlText w:val=""/>
      <w:lvlJc w:val="left"/>
      <w:pPr>
        <w:ind w:left="2160" w:hanging="360"/>
      </w:pPr>
      <w:rPr>
        <w:rFonts w:ascii="Wingdings" w:hAnsi="Wingdings" w:hint="default"/>
      </w:rPr>
    </w:lvl>
    <w:lvl w:ilvl="3" w:tplc="42E47634">
      <w:start w:val="1"/>
      <w:numFmt w:val="bullet"/>
      <w:lvlText w:val=""/>
      <w:lvlJc w:val="left"/>
      <w:pPr>
        <w:ind w:left="2880" w:hanging="360"/>
      </w:pPr>
      <w:rPr>
        <w:rFonts w:ascii="Symbol" w:hAnsi="Symbol" w:hint="default"/>
      </w:rPr>
    </w:lvl>
    <w:lvl w:ilvl="4" w:tplc="4D620946">
      <w:start w:val="1"/>
      <w:numFmt w:val="bullet"/>
      <w:lvlText w:val="o"/>
      <w:lvlJc w:val="left"/>
      <w:pPr>
        <w:ind w:left="3600" w:hanging="360"/>
      </w:pPr>
      <w:rPr>
        <w:rFonts w:ascii="Courier New" w:hAnsi="Courier New" w:hint="default"/>
      </w:rPr>
    </w:lvl>
    <w:lvl w:ilvl="5" w:tplc="12B888AA">
      <w:start w:val="1"/>
      <w:numFmt w:val="bullet"/>
      <w:lvlText w:val=""/>
      <w:lvlJc w:val="left"/>
      <w:pPr>
        <w:ind w:left="4320" w:hanging="360"/>
      </w:pPr>
      <w:rPr>
        <w:rFonts w:ascii="Wingdings" w:hAnsi="Wingdings" w:hint="default"/>
      </w:rPr>
    </w:lvl>
    <w:lvl w:ilvl="6" w:tplc="4746C982">
      <w:start w:val="1"/>
      <w:numFmt w:val="bullet"/>
      <w:lvlText w:val=""/>
      <w:lvlJc w:val="left"/>
      <w:pPr>
        <w:ind w:left="5040" w:hanging="360"/>
      </w:pPr>
      <w:rPr>
        <w:rFonts w:ascii="Symbol" w:hAnsi="Symbol" w:hint="default"/>
      </w:rPr>
    </w:lvl>
    <w:lvl w:ilvl="7" w:tplc="1EB46330">
      <w:start w:val="1"/>
      <w:numFmt w:val="bullet"/>
      <w:lvlText w:val="o"/>
      <w:lvlJc w:val="left"/>
      <w:pPr>
        <w:ind w:left="5760" w:hanging="360"/>
      </w:pPr>
      <w:rPr>
        <w:rFonts w:ascii="Courier New" w:hAnsi="Courier New" w:hint="default"/>
      </w:rPr>
    </w:lvl>
    <w:lvl w:ilvl="8" w:tplc="9D4273E6">
      <w:start w:val="1"/>
      <w:numFmt w:val="bullet"/>
      <w:lvlText w:val=""/>
      <w:lvlJc w:val="left"/>
      <w:pPr>
        <w:ind w:left="6480" w:hanging="360"/>
      </w:pPr>
      <w:rPr>
        <w:rFonts w:ascii="Wingdings" w:hAnsi="Wingdings" w:hint="default"/>
      </w:rPr>
    </w:lvl>
  </w:abstractNum>
  <w:abstractNum w:abstractNumId="1" w15:restartNumberingAfterBreak="0">
    <w:nsid w:val="1529014C"/>
    <w:multiLevelType w:val="hybridMultilevel"/>
    <w:tmpl w:val="FFFFFFFF"/>
    <w:lvl w:ilvl="0" w:tplc="E0D268DC">
      <w:start w:val="1"/>
      <w:numFmt w:val="decimal"/>
      <w:lvlText w:val="%1."/>
      <w:lvlJc w:val="left"/>
      <w:pPr>
        <w:ind w:left="720" w:hanging="360"/>
      </w:pPr>
    </w:lvl>
    <w:lvl w:ilvl="1" w:tplc="5D8EA738">
      <w:start w:val="1"/>
      <w:numFmt w:val="lowerLetter"/>
      <w:lvlText w:val="%2."/>
      <w:lvlJc w:val="left"/>
      <w:pPr>
        <w:ind w:left="1440" w:hanging="360"/>
      </w:pPr>
    </w:lvl>
    <w:lvl w:ilvl="2" w:tplc="9618C1D8">
      <w:start w:val="1"/>
      <w:numFmt w:val="lowerRoman"/>
      <w:lvlText w:val="%3."/>
      <w:lvlJc w:val="right"/>
      <w:pPr>
        <w:ind w:left="2160" w:hanging="180"/>
      </w:pPr>
    </w:lvl>
    <w:lvl w:ilvl="3" w:tplc="ED742102">
      <w:start w:val="1"/>
      <w:numFmt w:val="decimal"/>
      <w:lvlText w:val="%4."/>
      <w:lvlJc w:val="left"/>
      <w:pPr>
        <w:ind w:left="2880" w:hanging="360"/>
      </w:pPr>
    </w:lvl>
    <w:lvl w:ilvl="4" w:tplc="9A40369A">
      <w:start w:val="1"/>
      <w:numFmt w:val="lowerLetter"/>
      <w:lvlText w:val="%5."/>
      <w:lvlJc w:val="left"/>
      <w:pPr>
        <w:ind w:left="3600" w:hanging="360"/>
      </w:pPr>
    </w:lvl>
    <w:lvl w:ilvl="5" w:tplc="03FAFEC2">
      <w:start w:val="1"/>
      <w:numFmt w:val="lowerRoman"/>
      <w:lvlText w:val="%6."/>
      <w:lvlJc w:val="right"/>
      <w:pPr>
        <w:ind w:left="4320" w:hanging="180"/>
      </w:pPr>
    </w:lvl>
    <w:lvl w:ilvl="6" w:tplc="F698EF28">
      <w:start w:val="1"/>
      <w:numFmt w:val="decimal"/>
      <w:lvlText w:val="%7."/>
      <w:lvlJc w:val="left"/>
      <w:pPr>
        <w:ind w:left="5040" w:hanging="360"/>
      </w:pPr>
    </w:lvl>
    <w:lvl w:ilvl="7" w:tplc="8BFE1BC6">
      <w:start w:val="1"/>
      <w:numFmt w:val="lowerLetter"/>
      <w:lvlText w:val="%8."/>
      <w:lvlJc w:val="left"/>
      <w:pPr>
        <w:ind w:left="5760" w:hanging="360"/>
      </w:pPr>
    </w:lvl>
    <w:lvl w:ilvl="8" w:tplc="F2C2C0A6">
      <w:start w:val="1"/>
      <w:numFmt w:val="lowerRoman"/>
      <w:lvlText w:val="%9."/>
      <w:lvlJc w:val="right"/>
      <w:pPr>
        <w:ind w:left="6480" w:hanging="180"/>
      </w:pPr>
    </w:lvl>
  </w:abstractNum>
  <w:abstractNum w:abstractNumId="2" w15:restartNumberingAfterBreak="0">
    <w:nsid w:val="1956A9A5"/>
    <w:multiLevelType w:val="hybridMultilevel"/>
    <w:tmpl w:val="FFFFFFFF"/>
    <w:lvl w:ilvl="0" w:tplc="F6583DCA">
      <w:start w:val="1"/>
      <w:numFmt w:val="bullet"/>
      <w:lvlText w:val=""/>
      <w:lvlJc w:val="left"/>
      <w:pPr>
        <w:ind w:left="720" w:hanging="360"/>
      </w:pPr>
      <w:rPr>
        <w:rFonts w:ascii="Symbol" w:hAnsi="Symbol" w:hint="default"/>
      </w:rPr>
    </w:lvl>
    <w:lvl w:ilvl="1" w:tplc="E1D4461A">
      <w:start w:val="1"/>
      <w:numFmt w:val="bullet"/>
      <w:lvlText w:val="o"/>
      <w:lvlJc w:val="left"/>
      <w:pPr>
        <w:ind w:left="1440" w:hanging="360"/>
      </w:pPr>
      <w:rPr>
        <w:rFonts w:ascii="Courier New" w:hAnsi="Courier New" w:hint="default"/>
      </w:rPr>
    </w:lvl>
    <w:lvl w:ilvl="2" w:tplc="BBAEB4AC">
      <w:start w:val="1"/>
      <w:numFmt w:val="bullet"/>
      <w:lvlText w:val=""/>
      <w:lvlJc w:val="left"/>
      <w:pPr>
        <w:ind w:left="2160" w:hanging="360"/>
      </w:pPr>
      <w:rPr>
        <w:rFonts w:ascii="Wingdings" w:hAnsi="Wingdings" w:hint="default"/>
      </w:rPr>
    </w:lvl>
    <w:lvl w:ilvl="3" w:tplc="DB946BE4">
      <w:start w:val="1"/>
      <w:numFmt w:val="bullet"/>
      <w:lvlText w:val=""/>
      <w:lvlJc w:val="left"/>
      <w:pPr>
        <w:ind w:left="2880" w:hanging="360"/>
      </w:pPr>
      <w:rPr>
        <w:rFonts w:ascii="Symbol" w:hAnsi="Symbol" w:hint="default"/>
      </w:rPr>
    </w:lvl>
    <w:lvl w:ilvl="4" w:tplc="7D00D660">
      <w:start w:val="1"/>
      <w:numFmt w:val="bullet"/>
      <w:lvlText w:val="o"/>
      <w:lvlJc w:val="left"/>
      <w:pPr>
        <w:ind w:left="3600" w:hanging="360"/>
      </w:pPr>
      <w:rPr>
        <w:rFonts w:ascii="Courier New" w:hAnsi="Courier New" w:hint="default"/>
      </w:rPr>
    </w:lvl>
    <w:lvl w:ilvl="5" w:tplc="B7F02616">
      <w:start w:val="1"/>
      <w:numFmt w:val="bullet"/>
      <w:lvlText w:val=""/>
      <w:lvlJc w:val="left"/>
      <w:pPr>
        <w:ind w:left="4320" w:hanging="360"/>
      </w:pPr>
      <w:rPr>
        <w:rFonts w:ascii="Wingdings" w:hAnsi="Wingdings" w:hint="default"/>
      </w:rPr>
    </w:lvl>
    <w:lvl w:ilvl="6" w:tplc="5FDA8D16">
      <w:start w:val="1"/>
      <w:numFmt w:val="bullet"/>
      <w:lvlText w:val=""/>
      <w:lvlJc w:val="left"/>
      <w:pPr>
        <w:ind w:left="5040" w:hanging="360"/>
      </w:pPr>
      <w:rPr>
        <w:rFonts w:ascii="Symbol" w:hAnsi="Symbol" w:hint="default"/>
      </w:rPr>
    </w:lvl>
    <w:lvl w:ilvl="7" w:tplc="1A0A78B2">
      <w:start w:val="1"/>
      <w:numFmt w:val="bullet"/>
      <w:lvlText w:val="o"/>
      <w:lvlJc w:val="left"/>
      <w:pPr>
        <w:ind w:left="5760" w:hanging="360"/>
      </w:pPr>
      <w:rPr>
        <w:rFonts w:ascii="Courier New" w:hAnsi="Courier New" w:hint="default"/>
      </w:rPr>
    </w:lvl>
    <w:lvl w:ilvl="8" w:tplc="E5D00312">
      <w:start w:val="1"/>
      <w:numFmt w:val="bullet"/>
      <w:lvlText w:val=""/>
      <w:lvlJc w:val="left"/>
      <w:pPr>
        <w:ind w:left="6480" w:hanging="360"/>
      </w:pPr>
      <w:rPr>
        <w:rFonts w:ascii="Wingdings" w:hAnsi="Wingdings" w:hint="default"/>
      </w:rPr>
    </w:lvl>
  </w:abstractNum>
  <w:abstractNum w:abstractNumId="3" w15:restartNumberingAfterBreak="0">
    <w:nsid w:val="375C80B3"/>
    <w:multiLevelType w:val="hybridMultilevel"/>
    <w:tmpl w:val="FFFFFFFF"/>
    <w:lvl w:ilvl="0" w:tplc="247E7720">
      <w:start w:val="1"/>
      <w:numFmt w:val="bullet"/>
      <w:lvlText w:val=""/>
      <w:lvlJc w:val="left"/>
      <w:pPr>
        <w:ind w:left="720" w:hanging="360"/>
      </w:pPr>
      <w:rPr>
        <w:rFonts w:ascii="Symbol" w:hAnsi="Symbol" w:hint="default"/>
      </w:rPr>
    </w:lvl>
    <w:lvl w:ilvl="1" w:tplc="8FD67A9E">
      <w:start w:val="1"/>
      <w:numFmt w:val="bullet"/>
      <w:lvlText w:val="o"/>
      <w:lvlJc w:val="left"/>
      <w:pPr>
        <w:ind w:left="1440" w:hanging="360"/>
      </w:pPr>
      <w:rPr>
        <w:rFonts w:ascii="Courier New" w:hAnsi="Courier New" w:hint="default"/>
      </w:rPr>
    </w:lvl>
    <w:lvl w:ilvl="2" w:tplc="8548A8F6">
      <w:start w:val="1"/>
      <w:numFmt w:val="bullet"/>
      <w:lvlText w:val=""/>
      <w:lvlJc w:val="left"/>
      <w:pPr>
        <w:ind w:left="2160" w:hanging="360"/>
      </w:pPr>
      <w:rPr>
        <w:rFonts w:ascii="Wingdings" w:hAnsi="Wingdings" w:hint="default"/>
      </w:rPr>
    </w:lvl>
    <w:lvl w:ilvl="3" w:tplc="9082677A">
      <w:start w:val="1"/>
      <w:numFmt w:val="bullet"/>
      <w:lvlText w:val=""/>
      <w:lvlJc w:val="left"/>
      <w:pPr>
        <w:ind w:left="2880" w:hanging="360"/>
      </w:pPr>
      <w:rPr>
        <w:rFonts w:ascii="Symbol" w:hAnsi="Symbol" w:hint="default"/>
      </w:rPr>
    </w:lvl>
    <w:lvl w:ilvl="4" w:tplc="1D86E15C">
      <w:start w:val="1"/>
      <w:numFmt w:val="bullet"/>
      <w:lvlText w:val="o"/>
      <w:lvlJc w:val="left"/>
      <w:pPr>
        <w:ind w:left="3600" w:hanging="360"/>
      </w:pPr>
      <w:rPr>
        <w:rFonts w:ascii="Courier New" w:hAnsi="Courier New" w:hint="default"/>
      </w:rPr>
    </w:lvl>
    <w:lvl w:ilvl="5" w:tplc="01289E36">
      <w:start w:val="1"/>
      <w:numFmt w:val="bullet"/>
      <w:lvlText w:val=""/>
      <w:lvlJc w:val="left"/>
      <w:pPr>
        <w:ind w:left="4320" w:hanging="360"/>
      </w:pPr>
      <w:rPr>
        <w:rFonts w:ascii="Wingdings" w:hAnsi="Wingdings" w:hint="default"/>
      </w:rPr>
    </w:lvl>
    <w:lvl w:ilvl="6" w:tplc="23D29E0C">
      <w:start w:val="1"/>
      <w:numFmt w:val="bullet"/>
      <w:lvlText w:val=""/>
      <w:lvlJc w:val="left"/>
      <w:pPr>
        <w:ind w:left="5040" w:hanging="360"/>
      </w:pPr>
      <w:rPr>
        <w:rFonts w:ascii="Symbol" w:hAnsi="Symbol" w:hint="default"/>
      </w:rPr>
    </w:lvl>
    <w:lvl w:ilvl="7" w:tplc="C49C50C8">
      <w:start w:val="1"/>
      <w:numFmt w:val="bullet"/>
      <w:lvlText w:val="o"/>
      <w:lvlJc w:val="left"/>
      <w:pPr>
        <w:ind w:left="5760" w:hanging="360"/>
      </w:pPr>
      <w:rPr>
        <w:rFonts w:ascii="Courier New" w:hAnsi="Courier New" w:hint="default"/>
      </w:rPr>
    </w:lvl>
    <w:lvl w:ilvl="8" w:tplc="7706B536">
      <w:start w:val="1"/>
      <w:numFmt w:val="bullet"/>
      <w:lvlText w:val=""/>
      <w:lvlJc w:val="left"/>
      <w:pPr>
        <w:ind w:left="6480" w:hanging="360"/>
      </w:pPr>
      <w:rPr>
        <w:rFonts w:ascii="Wingdings" w:hAnsi="Wingdings" w:hint="default"/>
      </w:rPr>
    </w:lvl>
  </w:abstractNum>
  <w:abstractNum w:abstractNumId="4" w15:restartNumberingAfterBreak="0">
    <w:nsid w:val="38402951"/>
    <w:multiLevelType w:val="hybridMultilevel"/>
    <w:tmpl w:val="FFFFFFFF"/>
    <w:lvl w:ilvl="0" w:tplc="C61A726E">
      <w:start w:val="1"/>
      <w:numFmt w:val="bullet"/>
      <w:lvlText w:val=""/>
      <w:lvlJc w:val="left"/>
      <w:pPr>
        <w:ind w:left="720" w:hanging="360"/>
      </w:pPr>
      <w:rPr>
        <w:rFonts w:ascii="Symbol" w:hAnsi="Symbol" w:hint="default"/>
      </w:rPr>
    </w:lvl>
    <w:lvl w:ilvl="1" w:tplc="42AC2BE4">
      <w:start w:val="1"/>
      <w:numFmt w:val="bullet"/>
      <w:lvlText w:val="o"/>
      <w:lvlJc w:val="left"/>
      <w:pPr>
        <w:ind w:left="1440" w:hanging="360"/>
      </w:pPr>
      <w:rPr>
        <w:rFonts w:ascii="Courier New" w:hAnsi="Courier New" w:hint="default"/>
      </w:rPr>
    </w:lvl>
    <w:lvl w:ilvl="2" w:tplc="168C7CAC">
      <w:start w:val="1"/>
      <w:numFmt w:val="bullet"/>
      <w:lvlText w:val=""/>
      <w:lvlJc w:val="left"/>
      <w:pPr>
        <w:ind w:left="2160" w:hanging="360"/>
      </w:pPr>
      <w:rPr>
        <w:rFonts w:ascii="Wingdings" w:hAnsi="Wingdings" w:hint="default"/>
      </w:rPr>
    </w:lvl>
    <w:lvl w:ilvl="3" w:tplc="373ED8AA">
      <w:start w:val="1"/>
      <w:numFmt w:val="bullet"/>
      <w:lvlText w:val=""/>
      <w:lvlJc w:val="left"/>
      <w:pPr>
        <w:ind w:left="2880" w:hanging="360"/>
      </w:pPr>
      <w:rPr>
        <w:rFonts w:ascii="Symbol" w:hAnsi="Symbol" w:hint="default"/>
      </w:rPr>
    </w:lvl>
    <w:lvl w:ilvl="4" w:tplc="7E3AE050">
      <w:start w:val="1"/>
      <w:numFmt w:val="bullet"/>
      <w:lvlText w:val="o"/>
      <w:lvlJc w:val="left"/>
      <w:pPr>
        <w:ind w:left="3600" w:hanging="360"/>
      </w:pPr>
      <w:rPr>
        <w:rFonts w:ascii="Courier New" w:hAnsi="Courier New" w:hint="default"/>
      </w:rPr>
    </w:lvl>
    <w:lvl w:ilvl="5" w:tplc="0CB625F2">
      <w:start w:val="1"/>
      <w:numFmt w:val="bullet"/>
      <w:lvlText w:val=""/>
      <w:lvlJc w:val="left"/>
      <w:pPr>
        <w:ind w:left="4320" w:hanging="360"/>
      </w:pPr>
      <w:rPr>
        <w:rFonts w:ascii="Wingdings" w:hAnsi="Wingdings" w:hint="default"/>
      </w:rPr>
    </w:lvl>
    <w:lvl w:ilvl="6" w:tplc="34389496">
      <w:start w:val="1"/>
      <w:numFmt w:val="bullet"/>
      <w:lvlText w:val=""/>
      <w:lvlJc w:val="left"/>
      <w:pPr>
        <w:ind w:left="5040" w:hanging="360"/>
      </w:pPr>
      <w:rPr>
        <w:rFonts w:ascii="Symbol" w:hAnsi="Symbol" w:hint="default"/>
      </w:rPr>
    </w:lvl>
    <w:lvl w:ilvl="7" w:tplc="E108A8A0">
      <w:start w:val="1"/>
      <w:numFmt w:val="bullet"/>
      <w:lvlText w:val="o"/>
      <w:lvlJc w:val="left"/>
      <w:pPr>
        <w:ind w:left="5760" w:hanging="360"/>
      </w:pPr>
      <w:rPr>
        <w:rFonts w:ascii="Courier New" w:hAnsi="Courier New" w:hint="default"/>
      </w:rPr>
    </w:lvl>
    <w:lvl w:ilvl="8" w:tplc="AA1C6E36">
      <w:start w:val="1"/>
      <w:numFmt w:val="bullet"/>
      <w:lvlText w:val=""/>
      <w:lvlJc w:val="left"/>
      <w:pPr>
        <w:ind w:left="6480" w:hanging="360"/>
      </w:pPr>
      <w:rPr>
        <w:rFonts w:ascii="Wingdings" w:hAnsi="Wingdings" w:hint="default"/>
      </w:rPr>
    </w:lvl>
  </w:abstractNum>
  <w:abstractNum w:abstractNumId="5" w15:restartNumberingAfterBreak="0">
    <w:nsid w:val="3DBE0A01"/>
    <w:multiLevelType w:val="hybridMultilevel"/>
    <w:tmpl w:val="FFFFFFFF"/>
    <w:lvl w:ilvl="0" w:tplc="E7EE4686">
      <w:start w:val="1"/>
      <w:numFmt w:val="bullet"/>
      <w:lvlText w:val=""/>
      <w:lvlJc w:val="left"/>
      <w:pPr>
        <w:ind w:left="720" w:hanging="360"/>
      </w:pPr>
      <w:rPr>
        <w:rFonts w:ascii="Symbol" w:hAnsi="Symbol" w:hint="default"/>
      </w:rPr>
    </w:lvl>
    <w:lvl w:ilvl="1" w:tplc="F190A5AC">
      <w:start w:val="1"/>
      <w:numFmt w:val="bullet"/>
      <w:lvlText w:val="o"/>
      <w:lvlJc w:val="left"/>
      <w:pPr>
        <w:ind w:left="1440" w:hanging="360"/>
      </w:pPr>
      <w:rPr>
        <w:rFonts w:ascii="Courier New" w:hAnsi="Courier New" w:hint="default"/>
      </w:rPr>
    </w:lvl>
    <w:lvl w:ilvl="2" w:tplc="65E8D0AA">
      <w:start w:val="1"/>
      <w:numFmt w:val="bullet"/>
      <w:lvlText w:val=""/>
      <w:lvlJc w:val="left"/>
      <w:pPr>
        <w:ind w:left="2160" w:hanging="360"/>
      </w:pPr>
      <w:rPr>
        <w:rFonts w:ascii="Wingdings" w:hAnsi="Wingdings" w:hint="default"/>
      </w:rPr>
    </w:lvl>
    <w:lvl w:ilvl="3" w:tplc="C3D410FC">
      <w:start w:val="1"/>
      <w:numFmt w:val="bullet"/>
      <w:lvlText w:val=""/>
      <w:lvlJc w:val="left"/>
      <w:pPr>
        <w:ind w:left="2880" w:hanging="360"/>
      </w:pPr>
      <w:rPr>
        <w:rFonts w:ascii="Symbol" w:hAnsi="Symbol" w:hint="default"/>
      </w:rPr>
    </w:lvl>
    <w:lvl w:ilvl="4" w:tplc="EB129FFC">
      <w:start w:val="1"/>
      <w:numFmt w:val="bullet"/>
      <w:lvlText w:val="o"/>
      <w:lvlJc w:val="left"/>
      <w:pPr>
        <w:ind w:left="3600" w:hanging="360"/>
      </w:pPr>
      <w:rPr>
        <w:rFonts w:ascii="Courier New" w:hAnsi="Courier New" w:hint="default"/>
      </w:rPr>
    </w:lvl>
    <w:lvl w:ilvl="5" w:tplc="21B80BB2">
      <w:start w:val="1"/>
      <w:numFmt w:val="bullet"/>
      <w:lvlText w:val=""/>
      <w:lvlJc w:val="left"/>
      <w:pPr>
        <w:ind w:left="4320" w:hanging="360"/>
      </w:pPr>
      <w:rPr>
        <w:rFonts w:ascii="Wingdings" w:hAnsi="Wingdings" w:hint="default"/>
      </w:rPr>
    </w:lvl>
    <w:lvl w:ilvl="6" w:tplc="E8D85A90">
      <w:start w:val="1"/>
      <w:numFmt w:val="bullet"/>
      <w:lvlText w:val=""/>
      <w:lvlJc w:val="left"/>
      <w:pPr>
        <w:ind w:left="5040" w:hanging="360"/>
      </w:pPr>
      <w:rPr>
        <w:rFonts w:ascii="Symbol" w:hAnsi="Symbol" w:hint="default"/>
      </w:rPr>
    </w:lvl>
    <w:lvl w:ilvl="7" w:tplc="CB2E4092">
      <w:start w:val="1"/>
      <w:numFmt w:val="bullet"/>
      <w:lvlText w:val="o"/>
      <w:lvlJc w:val="left"/>
      <w:pPr>
        <w:ind w:left="5760" w:hanging="360"/>
      </w:pPr>
      <w:rPr>
        <w:rFonts w:ascii="Courier New" w:hAnsi="Courier New" w:hint="default"/>
      </w:rPr>
    </w:lvl>
    <w:lvl w:ilvl="8" w:tplc="82988390">
      <w:start w:val="1"/>
      <w:numFmt w:val="bullet"/>
      <w:lvlText w:val=""/>
      <w:lvlJc w:val="left"/>
      <w:pPr>
        <w:ind w:left="6480" w:hanging="360"/>
      </w:pPr>
      <w:rPr>
        <w:rFonts w:ascii="Wingdings" w:hAnsi="Wingdings" w:hint="default"/>
      </w:rPr>
    </w:lvl>
  </w:abstractNum>
  <w:num w:numId="1" w16cid:durableId="1244686534">
    <w:abstractNumId w:val="3"/>
  </w:num>
  <w:num w:numId="2" w16cid:durableId="102305031">
    <w:abstractNumId w:val="5"/>
  </w:num>
  <w:num w:numId="3" w16cid:durableId="1613435692">
    <w:abstractNumId w:val="2"/>
  </w:num>
  <w:num w:numId="4" w16cid:durableId="1254171505">
    <w:abstractNumId w:val="4"/>
  </w:num>
  <w:num w:numId="5" w16cid:durableId="2087723719">
    <w:abstractNumId w:val="0"/>
  </w:num>
  <w:num w:numId="6" w16cid:durableId="2109347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C95175"/>
    <w:rsid w:val="00016EF1"/>
    <w:rsid w:val="00567300"/>
    <w:rsid w:val="006924D7"/>
    <w:rsid w:val="008A47FA"/>
    <w:rsid w:val="009D22A6"/>
    <w:rsid w:val="00E42C4F"/>
    <w:rsid w:val="00F01D90"/>
    <w:rsid w:val="00F06736"/>
    <w:rsid w:val="01093B77"/>
    <w:rsid w:val="01D0A332"/>
    <w:rsid w:val="0299B01C"/>
    <w:rsid w:val="02E4304F"/>
    <w:rsid w:val="02ED5C8E"/>
    <w:rsid w:val="030097D8"/>
    <w:rsid w:val="03C586BC"/>
    <w:rsid w:val="04414B8C"/>
    <w:rsid w:val="04C9F16E"/>
    <w:rsid w:val="05AE71F1"/>
    <w:rsid w:val="05C95175"/>
    <w:rsid w:val="0606345A"/>
    <w:rsid w:val="08FBC014"/>
    <w:rsid w:val="0A851BF3"/>
    <w:rsid w:val="0C413EE8"/>
    <w:rsid w:val="0C4532C5"/>
    <w:rsid w:val="0C46866B"/>
    <w:rsid w:val="0DFC1663"/>
    <w:rsid w:val="0F7AB193"/>
    <w:rsid w:val="0FDDCDE0"/>
    <w:rsid w:val="1019627A"/>
    <w:rsid w:val="104DAB92"/>
    <w:rsid w:val="10E61897"/>
    <w:rsid w:val="11ACE913"/>
    <w:rsid w:val="12415B13"/>
    <w:rsid w:val="12448FFD"/>
    <w:rsid w:val="132CB482"/>
    <w:rsid w:val="13C7E26C"/>
    <w:rsid w:val="16B8EF42"/>
    <w:rsid w:val="172C2294"/>
    <w:rsid w:val="1744B46E"/>
    <w:rsid w:val="17819566"/>
    <w:rsid w:val="1918BC1C"/>
    <w:rsid w:val="191EBED5"/>
    <w:rsid w:val="198ABAB5"/>
    <w:rsid w:val="19BC0177"/>
    <w:rsid w:val="1AE9BF57"/>
    <w:rsid w:val="1C567B14"/>
    <w:rsid w:val="1D262F31"/>
    <w:rsid w:val="1D5BF76D"/>
    <w:rsid w:val="1E4E6417"/>
    <w:rsid w:val="1E957A10"/>
    <w:rsid w:val="1EFD5C8A"/>
    <w:rsid w:val="20226483"/>
    <w:rsid w:val="20E16C10"/>
    <w:rsid w:val="212EC0AD"/>
    <w:rsid w:val="2183A1D3"/>
    <w:rsid w:val="21971D56"/>
    <w:rsid w:val="22F7C91D"/>
    <w:rsid w:val="23E20DC5"/>
    <w:rsid w:val="2535BC5A"/>
    <w:rsid w:val="2563BB8A"/>
    <w:rsid w:val="25BD5B72"/>
    <w:rsid w:val="25DE230A"/>
    <w:rsid w:val="26BACCA2"/>
    <w:rsid w:val="27989AF2"/>
    <w:rsid w:val="28885ECD"/>
    <w:rsid w:val="2A395BBA"/>
    <w:rsid w:val="2A6363DE"/>
    <w:rsid w:val="2B260296"/>
    <w:rsid w:val="2C9948C1"/>
    <w:rsid w:val="2CD87F44"/>
    <w:rsid w:val="2D17C776"/>
    <w:rsid w:val="2E961F76"/>
    <w:rsid w:val="2EE39896"/>
    <w:rsid w:val="2F0AB53A"/>
    <w:rsid w:val="2FC3326A"/>
    <w:rsid w:val="30D5DCBC"/>
    <w:rsid w:val="313AC080"/>
    <w:rsid w:val="32ADDF88"/>
    <w:rsid w:val="332F763F"/>
    <w:rsid w:val="34358282"/>
    <w:rsid w:val="36BCF86C"/>
    <w:rsid w:val="38EE30FF"/>
    <w:rsid w:val="3A1F07AC"/>
    <w:rsid w:val="3A3CFD80"/>
    <w:rsid w:val="3A956114"/>
    <w:rsid w:val="3B9A1985"/>
    <w:rsid w:val="3C01EED6"/>
    <w:rsid w:val="3D074B9D"/>
    <w:rsid w:val="3D26B42B"/>
    <w:rsid w:val="3F1BEE13"/>
    <w:rsid w:val="3FA095DB"/>
    <w:rsid w:val="418A3EF8"/>
    <w:rsid w:val="426BD549"/>
    <w:rsid w:val="426C2A44"/>
    <w:rsid w:val="4354EFC2"/>
    <w:rsid w:val="464AA092"/>
    <w:rsid w:val="470936F7"/>
    <w:rsid w:val="472C8AA5"/>
    <w:rsid w:val="47D9E176"/>
    <w:rsid w:val="47F72CA9"/>
    <w:rsid w:val="487C9953"/>
    <w:rsid w:val="4A771469"/>
    <w:rsid w:val="4B4EB29B"/>
    <w:rsid w:val="4BBDEEB6"/>
    <w:rsid w:val="4C8121AB"/>
    <w:rsid w:val="4F685DB5"/>
    <w:rsid w:val="4FDA3903"/>
    <w:rsid w:val="5025DF09"/>
    <w:rsid w:val="5055F1FC"/>
    <w:rsid w:val="52E816AC"/>
    <w:rsid w:val="5369119D"/>
    <w:rsid w:val="538AAB88"/>
    <w:rsid w:val="544AA1B2"/>
    <w:rsid w:val="55D649D7"/>
    <w:rsid w:val="55FC1D0B"/>
    <w:rsid w:val="56BE0882"/>
    <w:rsid w:val="576B83F4"/>
    <w:rsid w:val="585863D8"/>
    <w:rsid w:val="58F33939"/>
    <w:rsid w:val="59AEDC90"/>
    <w:rsid w:val="5A184202"/>
    <w:rsid w:val="5A9B272F"/>
    <w:rsid w:val="5B5881E9"/>
    <w:rsid w:val="5C1A4100"/>
    <w:rsid w:val="5D43409A"/>
    <w:rsid w:val="5D74A52A"/>
    <w:rsid w:val="5FB2B8E0"/>
    <w:rsid w:val="5FD040F7"/>
    <w:rsid w:val="60295347"/>
    <w:rsid w:val="6079EE85"/>
    <w:rsid w:val="618193FC"/>
    <w:rsid w:val="635D1477"/>
    <w:rsid w:val="649482DB"/>
    <w:rsid w:val="64A2417B"/>
    <w:rsid w:val="653EA3B5"/>
    <w:rsid w:val="66E1A388"/>
    <w:rsid w:val="6B82F1FD"/>
    <w:rsid w:val="6BD2A247"/>
    <w:rsid w:val="6C833D2F"/>
    <w:rsid w:val="6CADAF31"/>
    <w:rsid w:val="6CD39DE3"/>
    <w:rsid w:val="6CFA6691"/>
    <w:rsid w:val="6E0C0362"/>
    <w:rsid w:val="6E307222"/>
    <w:rsid w:val="6F8888DF"/>
    <w:rsid w:val="701425A7"/>
    <w:rsid w:val="70627659"/>
    <w:rsid w:val="70B128F8"/>
    <w:rsid w:val="729C825E"/>
    <w:rsid w:val="75686D0C"/>
    <w:rsid w:val="76A15017"/>
    <w:rsid w:val="7860C910"/>
    <w:rsid w:val="78E66CBF"/>
    <w:rsid w:val="7A7B6390"/>
    <w:rsid w:val="7B0A00E1"/>
    <w:rsid w:val="7B14E40E"/>
    <w:rsid w:val="7B29496D"/>
    <w:rsid w:val="7B4ED2F2"/>
    <w:rsid w:val="7C51D753"/>
    <w:rsid w:val="7D5CA154"/>
    <w:rsid w:val="7EAC79BD"/>
    <w:rsid w:val="7F645A87"/>
    <w:rsid w:val="7F7AB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95175"/>
  <w15:chartTrackingRefBased/>
  <w15:docId w15:val="{EB27F865-2F73-48FA-90CB-1756BDBA7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729C825E"/>
    <w:pPr>
      <w:tabs>
        <w:tab w:val="center" w:pos="4680"/>
        <w:tab w:val="right" w:pos="9360"/>
      </w:tabs>
      <w:spacing w:after="0" w:line="240" w:lineRule="auto"/>
    </w:pPr>
  </w:style>
  <w:style w:type="paragraph" w:styleId="Footer">
    <w:name w:val="footer"/>
    <w:basedOn w:val="Normal"/>
    <w:uiPriority w:val="99"/>
    <w:unhideWhenUsed/>
    <w:rsid w:val="729C825E"/>
    <w:pPr>
      <w:tabs>
        <w:tab w:val="center" w:pos="4680"/>
        <w:tab w:val="right" w:pos="9360"/>
      </w:tabs>
      <w:spacing w:after="0" w:line="240" w:lineRule="auto"/>
    </w:pPr>
  </w:style>
  <w:style w:type="paragraph" w:styleId="ListParagraph">
    <w:name w:val="List Paragraph"/>
    <w:basedOn w:val="Normal"/>
    <w:uiPriority w:val="34"/>
    <w:qFormat/>
    <w:rsid w:val="729C825E"/>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pharms.com/" TargetMode="External"/><Relationship Id="rId18" Type="http://schemas.openxmlformats.org/officeDocument/2006/relationships/hyperlink" Target="https://www.kingsfund.org.uk/projects/nhs-in-a-nutshell/nhs-budge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ngland.nhs.uk/about/" TargetMode="External"/><Relationship Id="rId2" Type="http://schemas.openxmlformats.org/officeDocument/2006/relationships/styles" Target="styles.xml"/><Relationship Id="rId16" Type="http://schemas.openxmlformats.org/officeDocument/2006/relationships/hyperlink" Target="https://www.pharmaceutical-journal.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nhs.uk/" TargetMode="External"/><Relationship Id="rId10" Type="http://schemas.openxmlformats.org/officeDocument/2006/relationships/image" Target="media/image4.jp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pharm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1611</Words>
  <Characters>9186</Characters>
  <Application>Microsoft Office Word</Application>
  <DocSecurity>0</DocSecurity>
  <Lines>76</Lines>
  <Paragraphs>21</Paragraphs>
  <ScaleCrop>false</ScaleCrop>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Dave Olano Galvan (2430423)</dc:creator>
  <cp:keywords/>
  <dc:description/>
  <cp:lastModifiedBy>Christian Dave Olano Galvan (2430423)</cp:lastModifiedBy>
  <cp:revision>2</cp:revision>
  <dcterms:created xsi:type="dcterms:W3CDTF">2025-11-16T18:51:00Z</dcterms:created>
  <dcterms:modified xsi:type="dcterms:W3CDTF">2025-11-16T18:51:00Z</dcterms:modified>
</cp:coreProperties>
</file>