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F11D0" w14:textId="77777777" w:rsidR="00B02B83" w:rsidRDefault="00B02B83" w:rsidP="00B02B83">
      <w:pPr>
        <w:pStyle w:val="Title"/>
      </w:pPr>
    </w:p>
    <w:p w14:paraId="205B0DA3" w14:textId="77777777" w:rsidR="00B02B83" w:rsidRDefault="00B02B83" w:rsidP="00B02B83">
      <w:pPr>
        <w:pStyle w:val="Title"/>
      </w:pPr>
    </w:p>
    <w:p w14:paraId="5253F51A" w14:textId="77777777" w:rsidR="00B02B83" w:rsidRDefault="00B02B83" w:rsidP="00B02B83">
      <w:pPr>
        <w:pStyle w:val="Title"/>
      </w:pPr>
    </w:p>
    <w:p w14:paraId="5AAC1BA7" w14:textId="77777777" w:rsidR="00B02B83" w:rsidRDefault="00B02B83" w:rsidP="00B02B83">
      <w:pPr>
        <w:pStyle w:val="Title"/>
      </w:pPr>
    </w:p>
    <w:p w14:paraId="7D106172" w14:textId="77777777" w:rsidR="00B02B83" w:rsidRDefault="00B02B83" w:rsidP="00B02B83">
      <w:pPr>
        <w:pStyle w:val="Title"/>
      </w:pPr>
    </w:p>
    <w:p w14:paraId="164176C9" w14:textId="77777777" w:rsidR="00B02B83" w:rsidRDefault="00B02B83" w:rsidP="00B02B83">
      <w:pPr>
        <w:pStyle w:val="Title"/>
      </w:pPr>
    </w:p>
    <w:p w14:paraId="2BE50F3E" w14:textId="77777777" w:rsidR="00B02B83" w:rsidRDefault="00B02B83" w:rsidP="00B02B83">
      <w:pPr>
        <w:pStyle w:val="Title"/>
      </w:pPr>
    </w:p>
    <w:p w14:paraId="7C89BD90" w14:textId="77777777" w:rsidR="00B02B83" w:rsidRDefault="00B02B83" w:rsidP="00B02B83">
      <w:pPr>
        <w:pStyle w:val="Title"/>
      </w:pPr>
    </w:p>
    <w:p w14:paraId="5139AA16" w14:textId="0D86842F" w:rsidR="00B02B83" w:rsidRDefault="00000000" w:rsidP="00B02B83">
      <w:pPr>
        <w:pStyle w:val="Title"/>
      </w:pPr>
      <w:r w:rsidRPr="00B02B83">
        <w:t>LCBB6004</w:t>
      </w:r>
      <w:r>
        <w:t xml:space="preserve"> </w:t>
      </w:r>
    </w:p>
    <w:p w14:paraId="7FF47849" w14:textId="552C199D" w:rsidR="00681EB5" w:rsidRDefault="00000000" w:rsidP="00B02B83">
      <w:pPr>
        <w:pStyle w:val="Title"/>
      </w:pPr>
      <w:r w:rsidRPr="00B02B83">
        <w:t>Strategic Management and Sustainability</w:t>
      </w:r>
    </w:p>
    <w:p w14:paraId="17DF7055" w14:textId="598EDE7C" w:rsidR="00B02B83" w:rsidRDefault="00000000" w:rsidP="00B02B83">
      <w:pPr>
        <w:jc w:val="center"/>
      </w:pPr>
      <w:r>
        <w:t>Component 1: Coursework: Written Report</w:t>
      </w:r>
    </w:p>
    <w:p w14:paraId="1E7624B0" w14:textId="5B2472CD" w:rsidR="00D52F5E" w:rsidRDefault="00D52F5E" w:rsidP="00B02B83">
      <w:pPr>
        <w:jc w:val="center"/>
      </w:pPr>
      <w:r>
        <w:t xml:space="preserve">Student </w:t>
      </w:r>
      <w:proofErr w:type="spellStart"/>
      <w:proofErr w:type="gramStart"/>
      <w:r>
        <w:t>name:Florina</w:t>
      </w:r>
      <w:proofErr w:type="spellEnd"/>
      <w:proofErr w:type="gramEnd"/>
      <w:r>
        <w:t xml:space="preserve"> Madalina </w:t>
      </w:r>
      <w:proofErr w:type="spellStart"/>
      <w:r>
        <w:t>Gugoi</w:t>
      </w:r>
      <w:proofErr w:type="spellEnd"/>
    </w:p>
    <w:p w14:paraId="7899ACA2" w14:textId="48489DB3" w:rsidR="00D52F5E" w:rsidRDefault="00D52F5E" w:rsidP="00B02B83">
      <w:pPr>
        <w:jc w:val="center"/>
      </w:pPr>
      <w:r>
        <w:t>Student ID:2111163</w:t>
      </w:r>
    </w:p>
    <w:p w14:paraId="5B2BA168" w14:textId="1F500DB2" w:rsidR="00D52F5E" w:rsidRDefault="00D52F5E" w:rsidP="00B02B83">
      <w:pPr>
        <w:jc w:val="center"/>
      </w:pPr>
      <w:r>
        <w:t xml:space="preserve">Lecturer </w:t>
      </w:r>
      <w:proofErr w:type="spellStart"/>
      <w:r>
        <w:t>name:Navid</w:t>
      </w:r>
      <w:proofErr w:type="spellEnd"/>
      <w:r>
        <w:t xml:space="preserve"> Nasrpourosgoei</w:t>
      </w:r>
    </w:p>
    <w:p w14:paraId="58FA2751" w14:textId="0FC33A53" w:rsidR="00B02B83" w:rsidRDefault="00000000">
      <w:pPr>
        <w:spacing w:before="0" w:after="160" w:line="259" w:lineRule="auto"/>
        <w:jc w:val="left"/>
      </w:pPr>
      <w:r>
        <w:br w:type="page"/>
      </w:r>
    </w:p>
    <w:p w14:paraId="516836EA" w14:textId="64528373" w:rsidR="00B02B83" w:rsidRPr="00B02B83" w:rsidRDefault="00000000" w:rsidP="007F4306">
      <w:pPr>
        <w:pStyle w:val="Heading1"/>
      </w:pPr>
      <w:bookmarkStart w:id="0" w:name="_Toc200830303"/>
      <w:r w:rsidRPr="00B02B83">
        <w:lastRenderedPageBreak/>
        <w:t>Executive Summary</w:t>
      </w:r>
      <w:bookmarkEnd w:id="0"/>
    </w:p>
    <w:p w14:paraId="06FD2D8B" w14:textId="5AA45001" w:rsidR="0090217B" w:rsidRDefault="00000000" w:rsidP="0090217B">
      <w:r>
        <w:t>This report involves a full strategic analysis of a renowned luxury motor vehicle manufacturing company based in the United Kingdom</w:t>
      </w:r>
      <w:r w:rsidR="00644D8F">
        <w:t>,</w:t>
      </w:r>
      <w:r w:rsidR="00A63A69">
        <w:t xml:space="preserve"> which is</w:t>
      </w:r>
      <w:r>
        <w:t xml:space="preserve"> Rolls-Royce Motor Cars. With the automotive industry in the UK undergoing fast changes due to environmental policies, electrification, and changing consumer </w:t>
      </w:r>
      <w:r w:rsidR="00644D8F">
        <w:t>behaviour</w:t>
      </w:r>
      <w:r>
        <w:t xml:space="preserve">, Rolls-Royce has to operate within complicated strategic issues to remain at the top of the elite segment. The audit of the external environment with the help of PESTLE and </w:t>
      </w:r>
      <w:r w:rsidR="00644D8F">
        <w:t>Porter's</w:t>
      </w:r>
      <w:r>
        <w:t xml:space="preserve"> Five Forces shows an increasing focus on sustainability, support of the government to electric vehicles (EVs), and an increase in rivalry with not only traditional automakers but also EV start-ups. On the internal side, Rolls-Royce has a good brand equity, engineering strengths and loyal customers. </w:t>
      </w:r>
      <w:r w:rsidR="00426DB9">
        <w:t>The</w:t>
      </w:r>
      <w:r>
        <w:t xml:space="preserve"> company has internal limitations</w:t>
      </w:r>
      <w:r w:rsidR="003217C5">
        <w:t xml:space="preserve"> such as</w:t>
      </w:r>
      <w:r>
        <w:t xml:space="preserve"> </w:t>
      </w:r>
      <w:r w:rsidR="00644D8F">
        <w:t xml:space="preserve">a </w:t>
      </w:r>
      <w:r>
        <w:t>narrow range of electric products and expensive production, which have been revealed with the help of Value Chain, RBV and VRIO analysis.</w:t>
      </w:r>
    </w:p>
    <w:p w14:paraId="6E6006A1" w14:textId="10CB4826" w:rsidR="0090217B" w:rsidRPr="00B02B83" w:rsidRDefault="00000000" w:rsidP="0090217B">
      <w:r>
        <w:t xml:space="preserve">These findings are </w:t>
      </w:r>
      <w:r w:rsidR="00644D8F">
        <w:t>conveyed</w:t>
      </w:r>
      <w:r>
        <w:t xml:space="preserve"> in the SWOT analysis that reveals the opportunities in the EV innovation and </w:t>
      </w:r>
      <w:r w:rsidR="00644D8F">
        <w:t>personalised</w:t>
      </w:r>
      <w:r>
        <w:t xml:space="preserve"> customer experience</w:t>
      </w:r>
      <w:r w:rsidR="00644D8F">
        <w:t>,</w:t>
      </w:r>
      <w:r>
        <w:t xml:space="preserve"> but also identifies threats such as regulatory pressure and economic uncertainty. On the basis of these insights, the strategic alternatives comprise </w:t>
      </w:r>
      <w:r w:rsidR="00644D8F">
        <w:t xml:space="preserve">a </w:t>
      </w:r>
      <w:r>
        <w:t xml:space="preserve">faster shift towards electric mobility, investment in digital technologies to strengthen customer interaction, and creation of strategic partnerships to take advantage of the technological opportunity. The report has ended with the practical recommendations that will help the company to achieve sustainable growth and strengthen </w:t>
      </w:r>
      <w:r w:rsidR="00644D8F">
        <w:t>its</w:t>
      </w:r>
      <w:r>
        <w:t xml:space="preserve"> leadership </w:t>
      </w:r>
      <w:r w:rsidR="00644D8F">
        <w:t>position</w:t>
      </w:r>
      <w:r>
        <w:t xml:space="preserve"> in the luxury automotive segment of Rolls-Royce.</w:t>
      </w:r>
    </w:p>
    <w:p w14:paraId="4FA14B35" w14:textId="5898C41A" w:rsidR="00B02B83" w:rsidRDefault="00000000">
      <w:pPr>
        <w:spacing w:before="0" w:after="160" w:line="259" w:lineRule="auto"/>
        <w:jc w:val="left"/>
      </w:pPr>
      <w:r>
        <w:br w:type="page"/>
      </w:r>
    </w:p>
    <w:sdt>
      <w:sdtPr>
        <w:rPr>
          <w:rFonts w:ascii="Times New Roman" w:eastAsiaTheme="minorHAnsi" w:hAnsi="Times New Roman" w:cs="Times New Roman"/>
          <w:color w:val="auto"/>
          <w:sz w:val="24"/>
          <w:szCs w:val="22"/>
          <w:lang w:val="en-GB" w:eastAsia="en-US"/>
        </w:rPr>
        <w:id w:val="-826677215"/>
        <w:docPartObj>
          <w:docPartGallery w:val="Table of Contents"/>
          <w:docPartUnique/>
        </w:docPartObj>
      </w:sdtPr>
      <w:sdtEndPr>
        <w:rPr>
          <w:b/>
          <w:bCs/>
          <w:noProof/>
        </w:rPr>
      </w:sdtEndPr>
      <w:sdtContent>
        <w:p w14:paraId="672916E4" w14:textId="12B29078" w:rsidR="00B02B83" w:rsidRDefault="00000000">
          <w:pPr>
            <w:pStyle w:val="TOCHeading"/>
          </w:pPr>
          <w:r>
            <w:t>Contents</w:t>
          </w:r>
        </w:p>
        <w:p w14:paraId="78789C76" w14:textId="0652CD5C" w:rsidR="00C15230" w:rsidRDefault="00000000">
          <w:pPr>
            <w:pStyle w:val="TOC1"/>
            <w:tabs>
              <w:tab w:val="right" w:leader="dot" w:pos="9016"/>
            </w:tabs>
            <w:rPr>
              <w:rFonts w:asciiTheme="minorHAnsi" w:eastAsiaTheme="minorEastAsia" w:hAnsiTheme="minorHAnsi" w:cstheme="minorBidi"/>
              <w:noProof/>
              <w:sz w:val="22"/>
              <w:lang w:eastAsia="en-GB"/>
            </w:rPr>
          </w:pPr>
          <w:r>
            <w:fldChar w:fldCharType="begin"/>
          </w:r>
          <w:r>
            <w:instrText xml:space="preserve"> TOC \o "1-3" \h \z \u </w:instrText>
          </w:r>
          <w:r>
            <w:fldChar w:fldCharType="separate"/>
          </w:r>
          <w:hyperlink w:anchor="_Toc200830303" w:history="1">
            <w:r w:rsidR="00C15230" w:rsidRPr="00582000">
              <w:rPr>
                <w:rStyle w:val="Hyperlink"/>
                <w:noProof/>
              </w:rPr>
              <w:t>Executive Summary</w:t>
            </w:r>
            <w:r w:rsidR="00C15230">
              <w:rPr>
                <w:noProof/>
                <w:webHidden/>
              </w:rPr>
              <w:tab/>
            </w:r>
            <w:r w:rsidR="00C15230">
              <w:rPr>
                <w:noProof/>
                <w:webHidden/>
              </w:rPr>
              <w:fldChar w:fldCharType="begin"/>
            </w:r>
            <w:r w:rsidR="00C15230">
              <w:rPr>
                <w:noProof/>
                <w:webHidden/>
              </w:rPr>
              <w:instrText xml:space="preserve"> PAGEREF _Toc200830303 \h </w:instrText>
            </w:r>
            <w:r w:rsidR="00C15230">
              <w:rPr>
                <w:noProof/>
                <w:webHidden/>
              </w:rPr>
            </w:r>
            <w:r w:rsidR="00C15230">
              <w:rPr>
                <w:noProof/>
                <w:webHidden/>
              </w:rPr>
              <w:fldChar w:fldCharType="separate"/>
            </w:r>
            <w:r w:rsidR="00C15230">
              <w:rPr>
                <w:noProof/>
                <w:webHidden/>
              </w:rPr>
              <w:t>2</w:t>
            </w:r>
            <w:r w:rsidR="00C15230">
              <w:rPr>
                <w:noProof/>
                <w:webHidden/>
              </w:rPr>
              <w:fldChar w:fldCharType="end"/>
            </w:r>
          </w:hyperlink>
        </w:p>
        <w:p w14:paraId="46175693" w14:textId="50C7E418" w:rsidR="00C15230" w:rsidRDefault="00C15230">
          <w:pPr>
            <w:pStyle w:val="TOC1"/>
            <w:tabs>
              <w:tab w:val="right" w:leader="dot" w:pos="9016"/>
            </w:tabs>
            <w:rPr>
              <w:rFonts w:asciiTheme="minorHAnsi" w:eastAsiaTheme="minorEastAsia" w:hAnsiTheme="minorHAnsi" w:cstheme="minorBidi"/>
              <w:noProof/>
              <w:sz w:val="22"/>
              <w:lang w:eastAsia="en-GB"/>
            </w:rPr>
          </w:pPr>
          <w:hyperlink w:anchor="_Toc200830304" w:history="1">
            <w:r w:rsidRPr="00582000">
              <w:rPr>
                <w:rStyle w:val="Hyperlink"/>
                <w:noProof/>
              </w:rPr>
              <w:t>Introduction</w:t>
            </w:r>
            <w:r>
              <w:rPr>
                <w:noProof/>
                <w:webHidden/>
              </w:rPr>
              <w:tab/>
            </w:r>
            <w:r>
              <w:rPr>
                <w:noProof/>
                <w:webHidden/>
              </w:rPr>
              <w:fldChar w:fldCharType="begin"/>
            </w:r>
            <w:r>
              <w:rPr>
                <w:noProof/>
                <w:webHidden/>
              </w:rPr>
              <w:instrText xml:space="preserve"> PAGEREF _Toc200830304 \h </w:instrText>
            </w:r>
            <w:r>
              <w:rPr>
                <w:noProof/>
                <w:webHidden/>
              </w:rPr>
            </w:r>
            <w:r>
              <w:rPr>
                <w:noProof/>
                <w:webHidden/>
              </w:rPr>
              <w:fldChar w:fldCharType="separate"/>
            </w:r>
            <w:r>
              <w:rPr>
                <w:noProof/>
                <w:webHidden/>
              </w:rPr>
              <w:t>4</w:t>
            </w:r>
            <w:r>
              <w:rPr>
                <w:noProof/>
                <w:webHidden/>
              </w:rPr>
              <w:fldChar w:fldCharType="end"/>
            </w:r>
          </w:hyperlink>
        </w:p>
        <w:p w14:paraId="08611B0D" w14:textId="43933D9A" w:rsidR="00C15230" w:rsidRDefault="00C15230">
          <w:pPr>
            <w:pStyle w:val="TOC1"/>
            <w:tabs>
              <w:tab w:val="right" w:leader="dot" w:pos="9016"/>
            </w:tabs>
            <w:rPr>
              <w:rFonts w:asciiTheme="minorHAnsi" w:eastAsiaTheme="minorEastAsia" w:hAnsiTheme="minorHAnsi" w:cstheme="minorBidi"/>
              <w:noProof/>
              <w:sz w:val="22"/>
              <w:lang w:eastAsia="en-GB"/>
            </w:rPr>
          </w:pPr>
          <w:hyperlink w:anchor="_Toc200830305" w:history="1">
            <w:r w:rsidRPr="00582000">
              <w:rPr>
                <w:rStyle w:val="Hyperlink"/>
                <w:noProof/>
              </w:rPr>
              <w:t>Strategy Analysis</w:t>
            </w:r>
            <w:r>
              <w:rPr>
                <w:noProof/>
                <w:webHidden/>
              </w:rPr>
              <w:tab/>
            </w:r>
            <w:r>
              <w:rPr>
                <w:noProof/>
                <w:webHidden/>
              </w:rPr>
              <w:fldChar w:fldCharType="begin"/>
            </w:r>
            <w:r>
              <w:rPr>
                <w:noProof/>
                <w:webHidden/>
              </w:rPr>
              <w:instrText xml:space="preserve"> PAGEREF _Toc200830305 \h </w:instrText>
            </w:r>
            <w:r>
              <w:rPr>
                <w:noProof/>
                <w:webHidden/>
              </w:rPr>
            </w:r>
            <w:r>
              <w:rPr>
                <w:noProof/>
                <w:webHidden/>
              </w:rPr>
              <w:fldChar w:fldCharType="separate"/>
            </w:r>
            <w:r>
              <w:rPr>
                <w:noProof/>
                <w:webHidden/>
              </w:rPr>
              <w:t>5</w:t>
            </w:r>
            <w:r>
              <w:rPr>
                <w:noProof/>
                <w:webHidden/>
              </w:rPr>
              <w:fldChar w:fldCharType="end"/>
            </w:r>
          </w:hyperlink>
        </w:p>
        <w:p w14:paraId="10576671" w14:textId="223775AA" w:rsidR="00C15230" w:rsidRDefault="00C15230">
          <w:pPr>
            <w:pStyle w:val="TOC2"/>
            <w:tabs>
              <w:tab w:val="right" w:leader="dot" w:pos="9016"/>
            </w:tabs>
            <w:rPr>
              <w:rFonts w:asciiTheme="minorHAnsi" w:eastAsiaTheme="minorEastAsia" w:hAnsiTheme="minorHAnsi" w:cstheme="minorBidi"/>
              <w:noProof/>
              <w:sz w:val="22"/>
              <w:lang w:eastAsia="en-GB"/>
            </w:rPr>
          </w:pPr>
          <w:hyperlink w:anchor="_Toc200830306" w:history="1">
            <w:r w:rsidRPr="00582000">
              <w:rPr>
                <w:rStyle w:val="Hyperlink"/>
                <w:noProof/>
              </w:rPr>
              <w:t>External Environment Audit (PESTLE &amp; Porter’s Five Forces)</w:t>
            </w:r>
            <w:r>
              <w:rPr>
                <w:noProof/>
                <w:webHidden/>
              </w:rPr>
              <w:tab/>
            </w:r>
            <w:r>
              <w:rPr>
                <w:noProof/>
                <w:webHidden/>
              </w:rPr>
              <w:fldChar w:fldCharType="begin"/>
            </w:r>
            <w:r>
              <w:rPr>
                <w:noProof/>
                <w:webHidden/>
              </w:rPr>
              <w:instrText xml:space="preserve"> PAGEREF _Toc200830306 \h </w:instrText>
            </w:r>
            <w:r>
              <w:rPr>
                <w:noProof/>
                <w:webHidden/>
              </w:rPr>
            </w:r>
            <w:r>
              <w:rPr>
                <w:noProof/>
                <w:webHidden/>
              </w:rPr>
              <w:fldChar w:fldCharType="separate"/>
            </w:r>
            <w:r>
              <w:rPr>
                <w:noProof/>
                <w:webHidden/>
              </w:rPr>
              <w:t>5</w:t>
            </w:r>
            <w:r>
              <w:rPr>
                <w:noProof/>
                <w:webHidden/>
              </w:rPr>
              <w:fldChar w:fldCharType="end"/>
            </w:r>
          </w:hyperlink>
        </w:p>
        <w:p w14:paraId="0401B0AE" w14:textId="34D06D9F" w:rsidR="00C15230" w:rsidRDefault="00C15230">
          <w:pPr>
            <w:pStyle w:val="TOC2"/>
            <w:tabs>
              <w:tab w:val="right" w:leader="dot" w:pos="9016"/>
            </w:tabs>
            <w:rPr>
              <w:rFonts w:asciiTheme="minorHAnsi" w:eastAsiaTheme="minorEastAsia" w:hAnsiTheme="minorHAnsi" w:cstheme="minorBidi"/>
              <w:noProof/>
              <w:sz w:val="22"/>
              <w:lang w:eastAsia="en-GB"/>
            </w:rPr>
          </w:pPr>
          <w:hyperlink w:anchor="_Toc200830307" w:history="1">
            <w:r w:rsidRPr="00582000">
              <w:rPr>
                <w:rStyle w:val="Hyperlink"/>
                <w:noProof/>
              </w:rPr>
              <w:t>Internal Environment Audit</w:t>
            </w:r>
            <w:r>
              <w:rPr>
                <w:noProof/>
                <w:webHidden/>
              </w:rPr>
              <w:tab/>
            </w:r>
            <w:r>
              <w:rPr>
                <w:noProof/>
                <w:webHidden/>
              </w:rPr>
              <w:fldChar w:fldCharType="begin"/>
            </w:r>
            <w:r>
              <w:rPr>
                <w:noProof/>
                <w:webHidden/>
              </w:rPr>
              <w:instrText xml:space="preserve"> PAGEREF _Toc200830307 \h </w:instrText>
            </w:r>
            <w:r>
              <w:rPr>
                <w:noProof/>
                <w:webHidden/>
              </w:rPr>
            </w:r>
            <w:r>
              <w:rPr>
                <w:noProof/>
                <w:webHidden/>
              </w:rPr>
              <w:fldChar w:fldCharType="separate"/>
            </w:r>
            <w:r>
              <w:rPr>
                <w:noProof/>
                <w:webHidden/>
              </w:rPr>
              <w:t>7</w:t>
            </w:r>
            <w:r>
              <w:rPr>
                <w:noProof/>
                <w:webHidden/>
              </w:rPr>
              <w:fldChar w:fldCharType="end"/>
            </w:r>
          </w:hyperlink>
        </w:p>
        <w:p w14:paraId="4FE3BC75" w14:textId="59BFE1D4" w:rsidR="00C15230" w:rsidRDefault="00C15230">
          <w:pPr>
            <w:pStyle w:val="TOC2"/>
            <w:tabs>
              <w:tab w:val="right" w:leader="dot" w:pos="9016"/>
            </w:tabs>
            <w:rPr>
              <w:rFonts w:asciiTheme="minorHAnsi" w:eastAsiaTheme="minorEastAsia" w:hAnsiTheme="minorHAnsi" w:cstheme="minorBidi"/>
              <w:noProof/>
              <w:sz w:val="22"/>
              <w:lang w:eastAsia="en-GB"/>
            </w:rPr>
          </w:pPr>
          <w:hyperlink w:anchor="_Toc200830308" w:history="1">
            <w:r w:rsidRPr="00582000">
              <w:rPr>
                <w:rStyle w:val="Hyperlink"/>
                <w:noProof/>
              </w:rPr>
              <w:t>SWOT Analysis</w:t>
            </w:r>
            <w:r>
              <w:rPr>
                <w:noProof/>
                <w:webHidden/>
              </w:rPr>
              <w:tab/>
            </w:r>
            <w:r>
              <w:rPr>
                <w:noProof/>
                <w:webHidden/>
              </w:rPr>
              <w:fldChar w:fldCharType="begin"/>
            </w:r>
            <w:r>
              <w:rPr>
                <w:noProof/>
                <w:webHidden/>
              </w:rPr>
              <w:instrText xml:space="preserve"> PAGEREF _Toc200830308 \h </w:instrText>
            </w:r>
            <w:r>
              <w:rPr>
                <w:noProof/>
                <w:webHidden/>
              </w:rPr>
            </w:r>
            <w:r>
              <w:rPr>
                <w:noProof/>
                <w:webHidden/>
              </w:rPr>
              <w:fldChar w:fldCharType="separate"/>
            </w:r>
            <w:r>
              <w:rPr>
                <w:noProof/>
                <w:webHidden/>
              </w:rPr>
              <w:t>9</w:t>
            </w:r>
            <w:r>
              <w:rPr>
                <w:noProof/>
                <w:webHidden/>
              </w:rPr>
              <w:fldChar w:fldCharType="end"/>
            </w:r>
          </w:hyperlink>
        </w:p>
        <w:p w14:paraId="6EC1A5A6" w14:textId="6648D380" w:rsidR="00C15230" w:rsidRDefault="00C15230">
          <w:pPr>
            <w:pStyle w:val="TOC1"/>
            <w:tabs>
              <w:tab w:val="right" w:leader="dot" w:pos="9016"/>
            </w:tabs>
            <w:rPr>
              <w:rFonts w:asciiTheme="minorHAnsi" w:eastAsiaTheme="minorEastAsia" w:hAnsiTheme="minorHAnsi" w:cstheme="minorBidi"/>
              <w:noProof/>
              <w:sz w:val="22"/>
              <w:lang w:eastAsia="en-GB"/>
            </w:rPr>
          </w:pPr>
          <w:hyperlink w:anchor="_Toc200830309" w:history="1">
            <w:r w:rsidRPr="00582000">
              <w:rPr>
                <w:rStyle w:val="Hyperlink"/>
                <w:noProof/>
              </w:rPr>
              <w:t>Strategy Formulation</w:t>
            </w:r>
            <w:r>
              <w:rPr>
                <w:noProof/>
                <w:webHidden/>
              </w:rPr>
              <w:tab/>
            </w:r>
            <w:r>
              <w:rPr>
                <w:noProof/>
                <w:webHidden/>
              </w:rPr>
              <w:fldChar w:fldCharType="begin"/>
            </w:r>
            <w:r>
              <w:rPr>
                <w:noProof/>
                <w:webHidden/>
              </w:rPr>
              <w:instrText xml:space="preserve"> PAGEREF _Toc200830309 \h </w:instrText>
            </w:r>
            <w:r>
              <w:rPr>
                <w:noProof/>
                <w:webHidden/>
              </w:rPr>
            </w:r>
            <w:r>
              <w:rPr>
                <w:noProof/>
                <w:webHidden/>
              </w:rPr>
              <w:fldChar w:fldCharType="separate"/>
            </w:r>
            <w:r>
              <w:rPr>
                <w:noProof/>
                <w:webHidden/>
              </w:rPr>
              <w:t>10</w:t>
            </w:r>
            <w:r>
              <w:rPr>
                <w:noProof/>
                <w:webHidden/>
              </w:rPr>
              <w:fldChar w:fldCharType="end"/>
            </w:r>
          </w:hyperlink>
        </w:p>
        <w:p w14:paraId="15FCC6A5" w14:textId="3EDD9F97" w:rsidR="00C15230" w:rsidRDefault="00C15230">
          <w:pPr>
            <w:pStyle w:val="TOC1"/>
            <w:tabs>
              <w:tab w:val="right" w:leader="dot" w:pos="9016"/>
            </w:tabs>
            <w:rPr>
              <w:rFonts w:asciiTheme="minorHAnsi" w:eastAsiaTheme="minorEastAsia" w:hAnsiTheme="minorHAnsi" w:cstheme="minorBidi"/>
              <w:noProof/>
              <w:sz w:val="22"/>
              <w:lang w:eastAsia="en-GB"/>
            </w:rPr>
          </w:pPr>
          <w:hyperlink w:anchor="_Toc200830310" w:history="1">
            <w:r w:rsidRPr="00582000">
              <w:rPr>
                <w:rStyle w:val="Hyperlink"/>
                <w:noProof/>
              </w:rPr>
              <w:t>Conclusion and Recommendations</w:t>
            </w:r>
            <w:r>
              <w:rPr>
                <w:noProof/>
                <w:webHidden/>
              </w:rPr>
              <w:tab/>
            </w:r>
            <w:r>
              <w:rPr>
                <w:noProof/>
                <w:webHidden/>
              </w:rPr>
              <w:fldChar w:fldCharType="begin"/>
            </w:r>
            <w:r>
              <w:rPr>
                <w:noProof/>
                <w:webHidden/>
              </w:rPr>
              <w:instrText xml:space="preserve"> PAGEREF _Toc200830310 \h </w:instrText>
            </w:r>
            <w:r>
              <w:rPr>
                <w:noProof/>
                <w:webHidden/>
              </w:rPr>
            </w:r>
            <w:r>
              <w:rPr>
                <w:noProof/>
                <w:webHidden/>
              </w:rPr>
              <w:fldChar w:fldCharType="separate"/>
            </w:r>
            <w:r>
              <w:rPr>
                <w:noProof/>
                <w:webHidden/>
              </w:rPr>
              <w:t>12</w:t>
            </w:r>
            <w:r>
              <w:rPr>
                <w:noProof/>
                <w:webHidden/>
              </w:rPr>
              <w:fldChar w:fldCharType="end"/>
            </w:r>
          </w:hyperlink>
        </w:p>
        <w:p w14:paraId="2E601AF2" w14:textId="1D5D6CCE" w:rsidR="00B02B83" w:rsidRDefault="00000000">
          <w:r>
            <w:rPr>
              <w:b/>
              <w:bCs/>
              <w:noProof/>
              <w:lang w:val="en-US"/>
            </w:rPr>
            <w:fldChar w:fldCharType="end"/>
          </w:r>
        </w:p>
      </w:sdtContent>
    </w:sdt>
    <w:p w14:paraId="77A7F681" w14:textId="5A6E5E0C" w:rsidR="00B02B83" w:rsidRDefault="00000000">
      <w:pPr>
        <w:spacing w:before="0" w:after="160" w:line="259" w:lineRule="auto"/>
        <w:jc w:val="left"/>
      </w:pPr>
      <w:r>
        <w:br w:type="page"/>
      </w:r>
    </w:p>
    <w:p w14:paraId="44656E56" w14:textId="057668E8" w:rsidR="007C7DBA" w:rsidRPr="007C7DBA" w:rsidRDefault="00000000" w:rsidP="00CF2A1B">
      <w:pPr>
        <w:pStyle w:val="Heading1"/>
      </w:pPr>
      <w:bookmarkStart w:id="1" w:name="_Toc200830304"/>
      <w:r w:rsidRPr="007C7DBA">
        <w:lastRenderedPageBreak/>
        <w:t>Introduction</w:t>
      </w:r>
      <w:bookmarkEnd w:id="1"/>
    </w:p>
    <w:p w14:paraId="3856DAFD" w14:textId="1CCB3911" w:rsidR="00CE59B4" w:rsidRDefault="00000000" w:rsidP="00CE59B4">
      <w:r>
        <w:t xml:space="preserve"> </w:t>
      </w:r>
      <w:r w:rsidR="00BF52AF">
        <w:t>T</w:t>
      </w:r>
      <w:r>
        <w:t xml:space="preserve">he modern automotive industry is </w:t>
      </w:r>
      <w:r w:rsidR="00BF52AF">
        <w:t xml:space="preserve">witnessing a </w:t>
      </w:r>
      <w:r>
        <w:t>rapid pace of change due to technological discontinuity, governmental regulations, and changes in consumer demands</w:t>
      </w:r>
      <w:r w:rsidR="00BF52AF">
        <w:t>.</w:t>
      </w:r>
      <w:r>
        <w:t xml:space="preserve"> </w:t>
      </w:r>
      <w:r w:rsidR="00BF52AF">
        <w:t>S</w:t>
      </w:r>
      <w:r>
        <w:t>trategic management plays a critical role in redefining the established business models. With such a shifting environment, businesses have to take dynamic and flexible approaches to stay competitive and sustainable in the long run. The Rolls-Royce Motor Cars Ltd is a subsidiary company</w:t>
      </w:r>
      <w:r w:rsidR="00BF52AF">
        <w:t>,</w:t>
      </w:r>
      <w:r>
        <w:t xml:space="preserve"> fully owned by the BMW Group but represents the British luxury and engineering prowess</w:t>
      </w:r>
      <w:r w:rsidR="002D1068">
        <w:t xml:space="preserve"> </w:t>
      </w:r>
      <w:r w:rsidR="002D1068" w:rsidRPr="002D1068">
        <w:t>(Reese, 2022)</w:t>
      </w:r>
      <w:r>
        <w:t xml:space="preserve">. Rolls-Royce is a manufacturer of bespoke automobiles based in Goodwood, England, and </w:t>
      </w:r>
      <w:r w:rsidR="002D1068">
        <w:t>serving</w:t>
      </w:r>
      <w:r>
        <w:t xml:space="preserve"> an exclusive global clientele, which </w:t>
      </w:r>
      <w:r w:rsidR="00644D8F">
        <w:t>incorporates</w:t>
      </w:r>
      <w:r>
        <w:t xml:space="preserve"> traditions of craftsmanship with the most advanced technologies</w:t>
      </w:r>
      <w:r w:rsidR="00EF436B">
        <w:t xml:space="preserve"> </w:t>
      </w:r>
      <w:r w:rsidR="00EF436B" w:rsidRPr="00EF436B">
        <w:t>(Booy and Briggs, 2021)</w:t>
      </w:r>
      <w:r>
        <w:t>.</w:t>
      </w:r>
    </w:p>
    <w:p w14:paraId="6AA3CD79" w14:textId="120A2707" w:rsidR="00E83771" w:rsidRDefault="00000000" w:rsidP="00E83771">
      <w:r>
        <w:t>The company has a mission of making available the best car in the world that provides unrivalled luxury and performance. Its vision focuses on innovation and sustainability</w:t>
      </w:r>
      <w:r w:rsidR="00644D8F">
        <w:t>,</w:t>
      </w:r>
      <w:r>
        <w:t xml:space="preserve"> </w:t>
      </w:r>
      <w:r w:rsidR="00644D8F">
        <w:t>which</w:t>
      </w:r>
      <w:r>
        <w:t xml:space="preserve"> aims </w:t>
      </w:r>
      <w:r w:rsidR="00644D8F">
        <w:t>to redefine</w:t>
      </w:r>
      <w:r>
        <w:t xml:space="preserve"> the future of luxury mobility. The major aimed goals are to dominate the luxury EV market, improve client experience, and preserve international status. The report seeks to carry out an analysis of the external and internal strategic environment of Rolls-Royce and make recommendations </w:t>
      </w:r>
      <w:r w:rsidR="00644D8F">
        <w:t>for</w:t>
      </w:r>
      <w:r>
        <w:t xml:space="preserve"> future strategies to secure sustainable growth and market leadership.</w:t>
      </w:r>
    </w:p>
    <w:p w14:paraId="571AC7B4" w14:textId="3EA5686C" w:rsidR="00CF2A1B" w:rsidRDefault="00000000" w:rsidP="00E83771">
      <w:r>
        <w:br w:type="page"/>
      </w:r>
    </w:p>
    <w:p w14:paraId="5621EC82" w14:textId="64C3508A" w:rsidR="00B02B83" w:rsidRDefault="00000000" w:rsidP="002E424B">
      <w:pPr>
        <w:pStyle w:val="Heading1"/>
      </w:pPr>
      <w:bookmarkStart w:id="2" w:name="_Toc200830305"/>
      <w:r w:rsidRPr="002E424B">
        <w:lastRenderedPageBreak/>
        <w:t>Strategy Analysis</w:t>
      </w:r>
      <w:bookmarkEnd w:id="2"/>
    </w:p>
    <w:p w14:paraId="33F59966" w14:textId="066A2F1E" w:rsidR="002E424B" w:rsidRDefault="00000000" w:rsidP="00DF6119">
      <w:pPr>
        <w:pStyle w:val="Heading2"/>
      </w:pPr>
      <w:bookmarkStart w:id="3" w:name="_Toc200830306"/>
      <w:r w:rsidRPr="00DF6119">
        <w:t>External Environment Audit (PESTLE &amp; Porter’s Five Forces)</w:t>
      </w:r>
      <w:bookmarkEnd w:id="3"/>
      <w:r w:rsidRPr="00DF6119">
        <w:t xml:space="preserve"> </w:t>
      </w:r>
    </w:p>
    <w:p w14:paraId="5FFDA930" w14:textId="58478599" w:rsidR="00DF6119" w:rsidRPr="00DF6119" w:rsidRDefault="00000000" w:rsidP="00DF6119">
      <w:pPr>
        <w:rPr>
          <w:lang w:eastAsia="en-GB"/>
        </w:rPr>
      </w:pPr>
      <w:r w:rsidRPr="00DF6119">
        <w:rPr>
          <w:b/>
          <w:bCs/>
          <w:lang w:eastAsia="en-GB"/>
        </w:rPr>
        <w:t>PESTLE Analysis</w:t>
      </w:r>
    </w:p>
    <w:p w14:paraId="368EEB73" w14:textId="6D4E833A" w:rsidR="00644D8F" w:rsidRDefault="00000000" w:rsidP="00721E56">
      <w:pPr>
        <w:rPr>
          <w:lang w:eastAsia="en-GB"/>
        </w:rPr>
      </w:pPr>
      <w:r>
        <w:rPr>
          <w:lang w:eastAsia="en-GB"/>
        </w:rPr>
        <w:t xml:space="preserve">The macro-environment in which Rolls-Royce Motor Cars functions is rather dynamic, and such forces as political, economic, social, technological, legal, and environmental have a strong effect on the strategic orientation of the company. </w:t>
      </w:r>
    </w:p>
    <w:p w14:paraId="68E80F47" w14:textId="2DBDE3CA" w:rsidR="00721E56" w:rsidRDefault="00000000" w:rsidP="00721E56">
      <w:pPr>
        <w:rPr>
          <w:lang w:eastAsia="en-GB"/>
        </w:rPr>
      </w:pPr>
      <w:r>
        <w:rPr>
          <w:lang w:eastAsia="en-GB"/>
        </w:rPr>
        <w:t xml:space="preserve">Political: </w:t>
      </w:r>
      <w:r w:rsidR="00144381">
        <w:rPr>
          <w:lang w:eastAsia="en-GB"/>
        </w:rPr>
        <w:t>The</w:t>
      </w:r>
      <w:r>
        <w:rPr>
          <w:lang w:eastAsia="en-GB"/>
        </w:rPr>
        <w:t xml:space="preserve"> announcement by the UK government to end the use of internal combustion engines by 2035 creates both a threat and an opening for Rolls-Royce to hasten its move to electric vehicles (EVs)</w:t>
      </w:r>
      <w:r w:rsidR="003D5029">
        <w:rPr>
          <w:lang w:eastAsia="en-GB"/>
        </w:rPr>
        <w:t xml:space="preserve"> </w:t>
      </w:r>
      <w:r w:rsidR="003D5029" w:rsidRPr="003D5029">
        <w:rPr>
          <w:lang w:eastAsia="en-GB"/>
        </w:rPr>
        <w:t>(BBC News, 2020)</w:t>
      </w:r>
      <w:r>
        <w:rPr>
          <w:lang w:eastAsia="en-GB"/>
        </w:rPr>
        <w:t xml:space="preserve">. Also, Brexit has resulted in new trade complexities that include customs and regulation issues, particularly in the sourcing and export of luxury cars within the EU. </w:t>
      </w:r>
    </w:p>
    <w:p w14:paraId="299EF50E" w14:textId="6F57AE01" w:rsidR="00721E56" w:rsidRDefault="00000000" w:rsidP="00721E56">
      <w:pPr>
        <w:rPr>
          <w:lang w:eastAsia="en-GB"/>
        </w:rPr>
      </w:pPr>
      <w:r>
        <w:rPr>
          <w:lang w:eastAsia="en-GB"/>
        </w:rPr>
        <w:t>Economic</w:t>
      </w:r>
      <w:r w:rsidR="00644D8F">
        <w:rPr>
          <w:lang w:eastAsia="en-GB"/>
        </w:rPr>
        <w:t xml:space="preserve">: </w:t>
      </w:r>
      <w:r>
        <w:rPr>
          <w:lang w:eastAsia="en-GB"/>
        </w:rPr>
        <w:t>Being economically rather resistant to economic crises, the ultra-luxury segment is</w:t>
      </w:r>
      <w:r w:rsidR="00BD0676">
        <w:rPr>
          <w:lang w:eastAsia="en-GB"/>
        </w:rPr>
        <w:t xml:space="preserve"> </w:t>
      </w:r>
      <w:r>
        <w:rPr>
          <w:lang w:eastAsia="en-GB"/>
        </w:rPr>
        <w:t>subject to the influence of inflation, unstable interest rates, and currency fluctuations</w:t>
      </w:r>
      <w:r w:rsidR="005F1110">
        <w:rPr>
          <w:lang w:eastAsia="en-GB"/>
        </w:rPr>
        <w:t>,</w:t>
      </w:r>
      <w:r>
        <w:rPr>
          <w:lang w:eastAsia="en-GB"/>
        </w:rPr>
        <w:t xml:space="preserve"> which may impact investment processes and international transactions. The elasticity of demand is not very high since the products of Rolls-Royce are rather exclusive</w:t>
      </w:r>
      <w:r w:rsidR="00E83771">
        <w:rPr>
          <w:lang w:eastAsia="en-GB"/>
        </w:rPr>
        <w:t>.</w:t>
      </w:r>
    </w:p>
    <w:p w14:paraId="522BE0E4" w14:textId="2034D693" w:rsidR="00721E56" w:rsidRDefault="00000000" w:rsidP="00721E56">
      <w:pPr>
        <w:rPr>
          <w:lang w:eastAsia="en-GB"/>
        </w:rPr>
      </w:pPr>
      <w:r>
        <w:rPr>
          <w:lang w:eastAsia="en-GB"/>
        </w:rPr>
        <w:t>Social: The societal trends indicate that high-income consumers and purchasers are increasingly shifting towards sustainable luxury, customisation, and experiences that demonstrate an understanding of and care about the environment, along with a desire to show their status</w:t>
      </w:r>
      <w:r w:rsidR="005D5CA8">
        <w:rPr>
          <w:lang w:eastAsia="en-GB"/>
        </w:rPr>
        <w:t xml:space="preserve"> </w:t>
      </w:r>
      <w:r w:rsidR="007568E9" w:rsidRPr="007568E9">
        <w:rPr>
          <w:lang w:eastAsia="en-GB"/>
        </w:rPr>
        <w:t>(Dutta and Mandal, 2021)</w:t>
      </w:r>
      <w:r w:rsidR="00E83771">
        <w:rPr>
          <w:lang w:eastAsia="en-GB"/>
        </w:rPr>
        <w:t>.</w:t>
      </w:r>
    </w:p>
    <w:p w14:paraId="785F7D9D" w14:textId="7D7AFABC" w:rsidR="00721E56" w:rsidRDefault="00000000" w:rsidP="00721E56">
      <w:pPr>
        <w:rPr>
          <w:lang w:eastAsia="en-GB"/>
        </w:rPr>
      </w:pPr>
      <w:r>
        <w:rPr>
          <w:lang w:eastAsia="en-GB"/>
        </w:rPr>
        <w:t xml:space="preserve">Technological: The fast development of EVs and battery systems is rewriting the future of automotive engineering. To stay on the cutting edge of digital luxury, AI-powered personalisation and beyond autonomous driving, Rolls-Royce will have to continue investing in R&amp;D. </w:t>
      </w:r>
    </w:p>
    <w:p w14:paraId="0262FABB" w14:textId="3EF141CA" w:rsidR="00721E56" w:rsidRDefault="00000000" w:rsidP="00721E56">
      <w:pPr>
        <w:rPr>
          <w:lang w:eastAsia="en-GB"/>
        </w:rPr>
      </w:pPr>
      <w:r>
        <w:rPr>
          <w:lang w:eastAsia="en-GB"/>
        </w:rPr>
        <w:t>Legal: Rolls-Royce should comply with changing international emission regulations, data protection such as GDPR, and safety legislation. The issue of Brexit has also meant that labour and compliance frameworks have to be adjusted.</w:t>
      </w:r>
    </w:p>
    <w:p w14:paraId="6C8BDEB0" w14:textId="6904F167" w:rsidR="00721E56" w:rsidRDefault="00000000" w:rsidP="00721E56">
      <w:pPr>
        <w:rPr>
          <w:lang w:eastAsia="en-GB"/>
        </w:rPr>
      </w:pPr>
      <w:r>
        <w:rPr>
          <w:lang w:eastAsia="en-GB"/>
        </w:rPr>
        <w:t xml:space="preserve">Environmental: The brand is under more pressure to become carbon-neutral in production and use responsible materials. The EV regulatory support and increasing investor demand </w:t>
      </w:r>
      <w:r>
        <w:rPr>
          <w:lang w:eastAsia="en-GB"/>
        </w:rPr>
        <w:lastRenderedPageBreak/>
        <w:t>regarding ESG performance also demonstrate the exigency of environment-friendly innovations and sustainability in operations.</w:t>
      </w:r>
    </w:p>
    <w:p w14:paraId="6201C25E" w14:textId="21CD5894" w:rsidR="00DF6119" w:rsidRPr="007E6BAA" w:rsidRDefault="00000000" w:rsidP="00721E56">
      <w:pPr>
        <w:rPr>
          <w:b/>
          <w:bCs/>
        </w:rPr>
      </w:pPr>
      <w:r w:rsidRPr="007E6BAA">
        <w:rPr>
          <w:b/>
          <w:bCs/>
        </w:rPr>
        <w:t xml:space="preserve">Porter’s Five Forces Analysis </w:t>
      </w:r>
    </w:p>
    <w:p w14:paraId="7BCEC44E" w14:textId="34B10CA7" w:rsidR="00721E56" w:rsidRDefault="00000000" w:rsidP="00721E56">
      <w:pPr>
        <w:rPr>
          <w:lang w:eastAsia="en-GB"/>
        </w:rPr>
      </w:pPr>
      <w:r>
        <w:rPr>
          <w:lang w:eastAsia="en-GB"/>
        </w:rPr>
        <w:t>Rolls-Royce competes in the luxury automotive industry</w:t>
      </w:r>
      <w:r w:rsidR="00644D8F">
        <w:rPr>
          <w:lang w:eastAsia="en-GB"/>
        </w:rPr>
        <w:t>,</w:t>
      </w:r>
      <w:r>
        <w:rPr>
          <w:lang w:eastAsia="en-GB"/>
        </w:rPr>
        <w:t xml:space="preserve"> </w:t>
      </w:r>
      <w:r w:rsidR="00644D8F">
        <w:rPr>
          <w:lang w:eastAsia="en-GB"/>
        </w:rPr>
        <w:t>which</w:t>
      </w:r>
      <w:r>
        <w:rPr>
          <w:lang w:eastAsia="en-GB"/>
        </w:rPr>
        <w:t xml:space="preserve"> is in the ultra-luxury segment, and competitive forces influence its strategy. The level of rivalry in the sector is high, and its key competitors, including Bentley, Mercedes-Maybach, Aston Martin, and Ferrari, are fighting over a comparable luxurious client base. Even though the brands </w:t>
      </w:r>
      <w:r w:rsidR="00644D8F">
        <w:rPr>
          <w:lang w:eastAsia="en-GB"/>
        </w:rPr>
        <w:t>create</w:t>
      </w:r>
      <w:r>
        <w:rPr>
          <w:lang w:eastAsia="en-GB"/>
        </w:rPr>
        <w:t xml:space="preserve"> different experiences</w:t>
      </w:r>
      <w:r w:rsidR="005D5CA8">
        <w:rPr>
          <w:lang w:eastAsia="en-GB"/>
        </w:rPr>
        <w:t xml:space="preserve"> </w:t>
      </w:r>
      <w:r w:rsidR="00146ACD" w:rsidRPr="00146ACD">
        <w:rPr>
          <w:lang w:eastAsia="en-GB"/>
        </w:rPr>
        <w:t>(Wadman, 2016)</w:t>
      </w:r>
      <w:r>
        <w:rPr>
          <w:lang w:eastAsia="en-GB"/>
        </w:rPr>
        <w:t xml:space="preserve">. </w:t>
      </w:r>
    </w:p>
    <w:p w14:paraId="464DD361" w14:textId="01E5DE2A" w:rsidR="00721E56" w:rsidRDefault="00000000" w:rsidP="00721E56">
      <w:pPr>
        <w:rPr>
          <w:lang w:eastAsia="en-GB"/>
        </w:rPr>
      </w:pPr>
      <w:r>
        <w:rPr>
          <w:lang w:eastAsia="en-GB"/>
        </w:rPr>
        <w:t xml:space="preserve">The threat of new entry is somewhat low, owing to the existence of great barriers such as high capital </w:t>
      </w:r>
      <w:r w:rsidR="00144381">
        <w:rPr>
          <w:lang w:eastAsia="en-GB"/>
        </w:rPr>
        <w:t>requirements</w:t>
      </w:r>
      <w:r>
        <w:rPr>
          <w:lang w:eastAsia="en-GB"/>
        </w:rPr>
        <w:t xml:space="preserve">, sophisticated engineering skills, brand name and economies of scale. </w:t>
      </w:r>
      <w:r w:rsidR="000825AF">
        <w:rPr>
          <w:lang w:eastAsia="en-GB"/>
        </w:rPr>
        <w:t>The</w:t>
      </w:r>
      <w:r>
        <w:rPr>
          <w:lang w:eastAsia="en-GB"/>
        </w:rPr>
        <w:t xml:space="preserve"> up-and-coming luxury startups that </w:t>
      </w:r>
      <w:r w:rsidR="00644D8F">
        <w:rPr>
          <w:lang w:eastAsia="en-GB"/>
        </w:rPr>
        <w:t>specialise</w:t>
      </w:r>
      <w:r>
        <w:rPr>
          <w:lang w:eastAsia="en-GB"/>
        </w:rPr>
        <w:t xml:space="preserve"> in EVs</w:t>
      </w:r>
      <w:r w:rsidR="00644D8F">
        <w:rPr>
          <w:lang w:eastAsia="en-GB"/>
        </w:rPr>
        <w:t>,</w:t>
      </w:r>
      <w:r>
        <w:rPr>
          <w:lang w:eastAsia="en-GB"/>
        </w:rPr>
        <w:t xml:space="preserve"> such as Lucid Motors and Rimac</w:t>
      </w:r>
      <w:r w:rsidR="00144381">
        <w:rPr>
          <w:lang w:eastAsia="en-GB"/>
        </w:rPr>
        <w:t>,</w:t>
      </w:r>
      <w:r>
        <w:rPr>
          <w:lang w:eastAsia="en-GB"/>
        </w:rPr>
        <w:t xml:space="preserve"> pose a minor but significant threat</w:t>
      </w:r>
      <w:r w:rsidR="00644D8F">
        <w:rPr>
          <w:lang w:eastAsia="en-GB"/>
        </w:rPr>
        <w:t>,</w:t>
      </w:r>
      <w:r>
        <w:rPr>
          <w:lang w:eastAsia="en-GB"/>
        </w:rPr>
        <w:t xml:space="preserve"> given </w:t>
      </w:r>
      <w:r w:rsidR="00144381">
        <w:rPr>
          <w:lang w:eastAsia="en-GB"/>
        </w:rPr>
        <w:t xml:space="preserve">that </w:t>
      </w:r>
      <w:r>
        <w:rPr>
          <w:lang w:eastAsia="en-GB"/>
        </w:rPr>
        <w:t>younger buyers are increasingly interested in high-performance electric mobility.</w:t>
      </w:r>
    </w:p>
    <w:p w14:paraId="32B31CF6" w14:textId="1C402AF0" w:rsidR="00721E56" w:rsidRDefault="00000000" w:rsidP="00721E56">
      <w:pPr>
        <w:rPr>
          <w:lang w:eastAsia="en-GB"/>
        </w:rPr>
      </w:pPr>
      <w:r>
        <w:rPr>
          <w:lang w:eastAsia="en-GB"/>
        </w:rPr>
        <w:t xml:space="preserve">Regarding supplier power, Rolls-Royce has a tier system of </w:t>
      </w:r>
      <w:r w:rsidR="00BF52AF">
        <w:rPr>
          <w:lang w:eastAsia="en-GB"/>
        </w:rPr>
        <w:t>speciality</w:t>
      </w:r>
      <w:r>
        <w:rPr>
          <w:lang w:eastAsia="en-GB"/>
        </w:rPr>
        <w:t xml:space="preserve"> suppliers of high-quality materials and precision parts. The subsidiary status of the BMW Group offers strong procurement </w:t>
      </w:r>
      <w:r w:rsidR="00644D8F">
        <w:rPr>
          <w:lang w:eastAsia="en-GB"/>
        </w:rPr>
        <w:t>leverage</w:t>
      </w:r>
      <w:r>
        <w:rPr>
          <w:lang w:eastAsia="en-GB"/>
        </w:rPr>
        <w:t xml:space="preserve"> and integrated supply chain economies. However, reliance on high-tech and long-term material suppliers may cause bottlenecks or rising </w:t>
      </w:r>
      <w:r w:rsidR="00644D8F">
        <w:rPr>
          <w:lang w:eastAsia="en-GB"/>
        </w:rPr>
        <w:t>costs</w:t>
      </w:r>
      <w:r w:rsidR="003D5029">
        <w:rPr>
          <w:lang w:eastAsia="en-GB"/>
        </w:rPr>
        <w:t>.</w:t>
      </w:r>
    </w:p>
    <w:p w14:paraId="1C6AD25A" w14:textId="08DF76D8" w:rsidR="00721E56" w:rsidRDefault="00000000" w:rsidP="00721E56">
      <w:pPr>
        <w:rPr>
          <w:lang w:eastAsia="en-GB"/>
        </w:rPr>
      </w:pPr>
      <w:r>
        <w:rPr>
          <w:lang w:eastAsia="en-GB"/>
        </w:rPr>
        <w:t>Buyers' bargaining power is average. Rolls-Royce serves the needs of a niche comprising high-net-worth individuals, whose needs require customisation, exclusivity, and high excellence. The buyers have less control over the product features and the service quality as the price sensitivity is low</w:t>
      </w:r>
      <w:r w:rsidR="0011273F">
        <w:rPr>
          <w:lang w:eastAsia="en-GB"/>
        </w:rPr>
        <w:t xml:space="preserve"> </w:t>
      </w:r>
      <w:r w:rsidR="00661D3B" w:rsidRPr="00661D3B">
        <w:rPr>
          <w:lang w:eastAsia="en-GB"/>
        </w:rPr>
        <w:t>(Grosse and Meyer, 2019)</w:t>
      </w:r>
      <w:r w:rsidR="003D5029">
        <w:rPr>
          <w:lang w:eastAsia="en-GB"/>
        </w:rPr>
        <w:t>.</w:t>
      </w:r>
    </w:p>
    <w:p w14:paraId="711D6866" w14:textId="1C0EDD83" w:rsidR="00721E56" w:rsidRDefault="00000000" w:rsidP="00721E56">
      <w:pPr>
        <w:rPr>
          <w:lang w:eastAsia="en-GB"/>
        </w:rPr>
      </w:pPr>
      <w:r>
        <w:rPr>
          <w:lang w:eastAsia="en-GB"/>
        </w:rPr>
        <w:t>Finally, there is the threat of substitutes, which comes in the shape of other luxury assets such as yachts and private jets</w:t>
      </w:r>
      <w:r w:rsidR="00644D8F">
        <w:rPr>
          <w:lang w:eastAsia="en-GB"/>
        </w:rPr>
        <w:t>,</w:t>
      </w:r>
      <w:r>
        <w:rPr>
          <w:lang w:eastAsia="en-GB"/>
        </w:rPr>
        <w:t xml:space="preserve"> as well as experiential purchases. Nonetheless, the legendary brand name of Rolls-Royce, the custom artisan, and the emotional value positioning provide good protection against conventional and unconventional substitutes.</w:t>
      </w:r>
    </w:p>
    <w:p w14:paraId="5625082C" w14:textId="055D2798" w:rsidR="00DF6119" w:rsidRPr="00DF6119" w:rsidRDefault="00000000" w:rsidP="00DF6119">
      <w:pPr>
        <w:pStyle w:val="Heading2"/>
        <w:rPr>
          <w:lang w:val="en-GB"/>
        </w:rPr>
      </w:pPr>
      <w:bookmarkStart w:id="4" w:name="_Toc200830307"/>
      <w:r w:rsidRPr="00DF6119">
        <w:t>Internal Environment Audit</w:t>
      </w:r>
      <w:bookmarkEnd w:id="4"/>
    </w:p>
    <w:p w14:paraId="1B9B646B" w14:textId="77777777" w:rsidR="00721E56" w:rsidRDefault="00000000" w:rsidP="00DF6119">
      <w:pPr>
        <w:rPr>
          <w:b/>
          <w:bCs/>
        </w:rPr>
      </w:pPr>
      <w:r w:rsidRPr="00721E56">
        <w:rPr>
          <w:b/>
          <w:bCs/>
        </w:rPr>
        <w:t xml:space="preserve">Value Chain Analysis </w:t>
      </w:r>
    </w:p>
    <w:p w14:paraId="3F04B3DA" w14:textId="2EBD4AEA" w:rsidR="00721E56" w:rsidRDefault="00000000" w:rsidP="00721E56">
      <w:pPr>
        <w:rPr>
          <w:lang w:eastAsia="en-GB"/>
        </w:rPr>
      </w:pPr>
      <w:r>
        <w:rPr>
          <w:lang w:eastAsia="en-GB"/>
        </w:rPr>
        <w:lastRenderedPageBreak/>
        <w:t xml:space="preserve">The internal processes of Rolls-Royce are </w:t>
      </w:r>
      <w:r w:rsidR="00644D8F">
        <w:rPr>
          <w:lang w:eastAsia="en-GB"/>
        </w:rPr>
        <w:t>centred</w:t>
      </w:r>
      <w:r>
        <w:rPr>
          <w:lang w:eastAsia="en-GB"/>
        </w:rPr>
        <w:t xml:space="preserve"> on the provision of ultra-premium</w:t>
      </w:r>
      <w:r w:rsidR="00644D8F">
        <w:rPr>
          <w:lang w:eastAsia="en-GB"/>
        </w:rPr>
        <w:t>,</w:t>
      </w:r>
      <w:r>
        <w:rPr>
          <w:lang w:eastAsia="en-GB"/>
        </w:rPr>
        <w:t xml:space="preserve"> highly </w:t>
      </w:r>
      <w:r w:rsidR="00644D8F">
        <w:rPr>
          <w:lang w:eastAsia="en-GB"/>
        </w:rPr>
        <w:t>personalised</w:t>
      </w:r>
      <w:r>
        <w:rPr>
          <w:lang w:eastAsia="en-GB"/>
        </w:rPr>
        <w:t xml:space="preserve"> cars. Using </w:t>
      </w:r>
      <w:r w:rsidR="00644D8F">
        <w:rPr>
          <w:lang w:eastAsia="en-GB"/>
        </w:rPr>
        <w:t>Porter's</w:t>
      </w:r>
      <w:r>
        <w:rPr>
          <w:lang w:eastAsia="en-GB"/>
        </w:rPr>
        <w:t xml:space="preserve"> Value Chain analysis, we would be able to recognise how its primary and support activities enable it to create sustained value.</w:t>
      </w:r>
    </w:p>
    <w:p w14:paraId="327493E7" w14:textId="18A7173D" w:rsidR="00721E56" w:rsidRDefault="00000000" w:rsidP="00721E56">
      <w:pPr>
        <w:rPr>
          <w:lang w:eastAsia="en-GB"/>
        </w:rPr>
      </w:pPr>
      <w:r>
        <w:rPr>
          <w:lang w:eastAsia="en-GB"/>
        </w:rPr>
        <w:t>Regarding the inbound logistics, Rolls-Royce counts on the suppliers of high-quality materials such as hand-picked leathers, exotic woods, and high-quality metals. Being a subsidiary of BMW Group, the company has the advantage of integrated supplier networks, procurement efficiencies</w:t>
      </w:r>
      <w:r w:rsidR="00144381">
        <w:rPr>
          <w:lang w:eastAsia="en-GB"/>
        </w:rPr>
        <w:t>,</w:t>
      </w:r>
      <w:r>
        <w:rPr>
          <w:lang w:eastAsia="en-GB"/>
        </w:rPr>
        <w:t xml:space="preserve"> as well as shared logistics infrastructure. Its operations are based in </w:t>
      </w:r>
      <w:r w:rsidR="00144381">
        <w:rPr>
          <w:lang w:eastAsia="en-GB"/>
        </w:rPr>
        <w:t xml:space="preserve">the </w:t>
      </w:r>
      <w:r>
        <w:rPr>
          <w:lang w:eastAsia="en-GB"/>
        </w:rPr>
        <w:t xml:space="preserve">Goodwood plant, West Sussex, in the United Kingdom, where the cars are hand-crafted. The operations of the Rolls-Royce brand are based on careful attention to </w:t>
      </w:r>
      <w:r w:rsidR="00144381">
        <w:rPr>
          <w:lang w:eastAsia="en-GB"/>
        </w:rPr>
        <w:t>detail,</w:t>
      </w:r>
      <w:r>
        <w:rPr>
          <w:lang w:eastAsia="en-GB"/>
        </w:rPr>
        <w:t xml:space="preserve"> unlike the mass production-based models</w:t>
      </w:r>
      <w:r w:rsidR="00ED67ED">
        <w:rPr>
          <w:lang w:eastAsia="en-GB"/>
        </w:rPr>
        <w:t xml:space="preserve"> </w:t>
      </w:r>
      <w:r w:rsidR="007260CA" w:rsidRPr="007260CA">
        <w:rPr>
          <w:lang w:eastAsia="en-GB"/>
        </w:rPr>
        <w:t>(Pearce, 2016)</w:t>
      </w:r>
      <w:r w:rsidR="003D5029">
        <w:rPr>
          <w:lang w:eastAsia="en-GB"/>
        </w:rPr>
        <w:t>.</w:t>
      </w:r>
    </w:p>
    <w:p w14:paraId="4B6A96CA" w14:textId="77DB3F16" w:rsidR="00721E56" w:rsidRPr="00DF6119" w:rsidRDefault="00000000" w:rsidP="00721E56">
      <w:pPr>
        <w:rPr>
          <w:lang w:eastAsia="en-GB"/>
        </w:rPr>
      </w:pPr>
      <w:r>
        <w:rPr>
          <w:lang w:eastAsia="en-GB"/>
        </w:rPr>
        <w:t xml:space="preserve">Outbound logistics encompass small, high-touch delivery channels via a worldwide dealership network in key luxury markets. The cars are usually shipped in specially made containers and sometimes delivered with </w:t>
      </w:r>
      <w:r w:rsidR="00144381">
        <w:rPr>
          <w:lang w:eastAsia="en-GB"/>
        </w:rPr>
        <w:t>custom-made</w:t>
      </w:r>
      <w:r>
        <w:rPr>
          <w:lang w:eastAsia="en-GB"/>
        </w:rPr>
        <w:t xml:space="preserve"> ceremonies, which further enhance brand exclusivity. Rolls-Royce emphasises brand history, client </w:t>
      </w:r>
      <w:r w:rsidR="00144381">
        <w:rPr>
          <w:lang w:eastAsia="en-GB"/>
        </w:rPr>
        <w:t>dreams</w:t>
      </w:r>
      <w:r>
        <w:rPr>
          <w:lang w:eastAsia="en-GB"/>
        </w:rPr>
        <w:t xml:space="preserve"> and customised design in marketing and sales. The campaigns are based on the story and experience, which is backed up with digital configurators and limited-edition collections to create an aura of exclusivity</w:t>
      </w:r>
      <w:r w:rsidR="00E604C5">
        <w:rPr>
          <w:lang w:eastAsia="en-GB"/>
        </w:rPr>
        <w:t xml:space="preserve"> </w:t>
      </w:r>
      <w:r w:rsidR="00E90B60" w:rsidRPr="00E90B60">
        <w:rPr>
          <w:lang w:eastAsia="en-GB"/>
        </w:rPr>
        <w:t xml:space="preserve">(Naqvi </w:t>
      </w:r>
      <w:r w:rsidR="00E90B60" w:rsidRPr="00BF52AF">
        <w:rPr>
          <w:i/>
          <w:iCs/>
          <w:lang w:eastAsia="en-GB"/>
        </w:rPr>
        <w:t>et al.,</w:t>
      </w:r>
      <w:r w:rsidR="00E90B60" w:rsidRPr="00E90B60">
        <w:rPr>
          <w:lang w:eastAsia="en-GB"/>
        </w:rPr>
        <w:t xml:space="preserve"> 2025)</w:t>
      </w:r>
      <w:r>
        <w:rPr>
          <w:lang w:eastAsia="en-GB"/>
        </w:rPr>
        <w:t>.</w:t>
      </w:r>
      <w:r w:rsidR="005D5CA8">
        <w:rPr>
          <w:lang w:eastAsia="en-GB"/>
        </w:rPr>
        <w:t xml:space="preserve"> </w:t>
      </w:r>
      <w:r w:rsidR="00144381">
        <w:rPr>
          <w:lang w:eastAsia="en-GB"/>
        </w:rPr>
        <w:t>After-sales</w:t>
      </w:r>
      <w:r>
        <w:rPr>
          <w:lang w:eastAsia="en-GB"/>
        </w:rPr>
        <w:t xml:space="preserve"> services will embrace complete maintenance, performance package and </w:t>
      </w:r>
      <w:r w:rsidR="00144381">
        <w:rPr>
          <w:lang w:eastAsia="en-GB"/>
        </w:rPr>
        <w:t>personalisation</w:t>
      </w:r>
      <w:r>
        <w:rPr>
          <w:lang w:eastAsia="en-GB"/>
        </w:rPr>
        <w:t xml:space="preserve"> package. Services like home servicing and personal contact with the designers </w:t>
      </w:r>
      <w:r w:rsidR="00144381">
        <w:rPr>
          <w:lang w:eastAsia="en-GB"/>
        </w:rPr>
        <w:t>at</w:t>
      </w:r>
      <w:r>
        <w:rPr>
          <w:lang w:eastAsia="en-GB"/>
        </w:rPr>
        <w:t xml:space="preserve"> </w:t>
      </w:r>
      <w:r w:rsidR="00144381">
        <w:rPr>
          <w:lang w:eastAsia="en-GB"/>
        </w:rPr>
        <w:t xml:space="preserve">the </w:t>
      </w:r>
      <w:r>
        <w:rPr>
          <w:lang w:eastAsia="en-GB"/>
        </w:rPr>
        <w:t>concierge level take customer satisfaction and loyalty to the next level. Support functions are also very essential. Under the strategic and financial management of the BMW Group, firm infrastructure contributes to the fact that Rolls-Royce remains in line with all worldwide compliance and innovation efforts.</w:t>
      </w:r>
    </w:p>
    <w:p w14:paraId="35368D11" w14:textId="016B7024" w:rsidR="00DF6119" w:rsidRPr="00DF6119" w:rsidRDefault="00000000" w:rsidP="00DF6119">
      <w:pPr>
        <w:rPr>
          <w:b/>
          <w:bCs/>
        </w:rPr>
      </w:pPr>
      <w:r w:rsidRPr="00DF6119">
        <w:rPr>
          <w:b/>
          <w:bCs/>
        </w:rPr>
        <w:t>Resource-Based View (RBV) &amp; VRIO Framework</w:t>
      </w:r>
    </w:p>
    <w:p w14:paraId="61BB8F58" w14:textId="7CF34AC4" w:rsidR="00721E56" w:rsidRDefault="00000000" w:rsidP="00721E56">
      <w:pPr>
        <w:rPr>
          <w:lang w:eastAsia="en-GB"/>
        </w:rPr>
      </w:pPr>
      <w:r>
        <w:rPr>
          <w:lang w:eastAsia="en-GB"/>
        </w:rPr>
        <w:t xml:space="preserve">Resource-Based View (RBV) </w:t>
      </w:r>
      <w:r w:rsidR="00144381">
        <w:rPr>
          <w:lang w:eastAsia="en-GB"/>
        </w:rPr>
        <w:t>emphasises</w:t>
      </w:r>
      <w:r>
        <w:rPr>
          <w:lang w:eastAsia="en-GB"/>
        </w:rPr>
        <w:t xml:space="preserve"> the importance of distinctive resources and capabilities as a basis of sustainable competitive advantage of a firm. When the Rolls-Royce is assessed using the VRIO framework, or Valuable, Rare, Inimitable, and </w:t>
      </w:r>
      <w:r w:rsidR="00144381">
        <w:rPr>
          <w:lang w:eastAsia="en-GB"/>
        </w:rPr>
        <w:t>Organised</w:t>
      </w:r>
      <w:r>
        <w:rPr>
          <w:lang w:eastAsia="en-GB"/>
        </w:rPr>
        <w:t xml:space="preserve">, </w:t>
      </w:r>
      <w:r w:rsidR="00144381">
        <w:rPr>
          <w:lang w:eastAsia="en-GB"/>
        </w:rPr>
        <w:t>several</w:t>
      </w:r>
      <w:r>
        <w:rPr>
          <w:lang w:eastAsia="en-GB"/>
        </w:rPr>
        <w:t xml:space="preserve"> resources can be identified that are strategically powerful. The brand Rolls-Royce is valuable, as it is a universal symbol of prestige and exclusivity in the world. The engineering prowess and custom craftsmanship of the firm </w:t>
      </w:r>
      <w:r w:rsidR="00144381">
        <w:rPr>
          <w:lang w:eastAsia="en-GB"/>
        </w:rPr>
        <w:t>provide</w:t>
      </w:r>
      <w:r>
        <w:rPr>
          <w:lang w:eastAsia="en-GB"/>
        </w:rPr>
        <w:t xml:space="preserve"> the best in performance and design, and access to the BMW Group R&amp;D ecosystem provides an added boost to its technological advantage</w:t>
      </w:r>
      <w:r w:rsidR="00144381">
        <w:rPr>
          <w:lang w:eastAsia="en-GB"/>
        </w:rPr>
        <w:t>,</w:t>
      </w:r>
      <w:r>
        <w:rPr>
          <w:lang w:eastAsia="en-GB"/>
        </w:rPr>
        <w:t xml:space="preserve"> especially in areas of electrification and digital luxury.</w:t>
      </w:r>
    </w:p>
    <w:p w14:paraId="3A87B7EF" w14:textId="5160D751" w:rsidR="00721E56" w:rsidRDefault="00000000" w:rsidP="00721E56">
      <w:pPr>
        <w:rPr>
          <w:lang w:eastAsia="en-GB"/>
        </w:rPr>
      </w:pPr>
      <w:r>
        <w:rPr>
          <w:lang w:eastAsia="en-GB"/>
        </w:rPr>
        <w:lastRenderedPageBreak/>
        <w:t xml:space="preserve">Its resources are </w:t>
      </w:r>
      <w:r w:rsidR="00144381">
        <w:rPr>
          <w:lang w:eastAsia="en-GB"/>
        </w:rPr>
        <w:t>also</w:t>
      </w:r>
      <w:r>
        <w:rPr>
          <w:lang w:eastAsia="en-GB"/>
        </w:rPr>
        <w:t xml:space="preserve"> scarce. The century-old history of the brand, premium positioning, and international customer base of Rolls-Royce allow the company to stand out among the majority of its competitors. Their flagship models, including the Phantom, Ghost, and Cullinan, inspire loyalty and maintain high resale value because of their exclusivity </w:t>
      </w:r>
      <w:r w:rsidR="004455D2" w:rsidRPr="004455D2">
        <w:rPr>
          <w:lang w:eastAsia="en-GB"/>
        </w:rPr>
        <w:t>(Wuori, 2023)</w:t>
      </w:r>
      <w:r>
        <w:rPr>
          <w:lang w:eastAsia="en-GB"/>
        </w:rPr>
        <w:t xml:space="preserve">. </w:t>
      </w:r>
      <w:r w:rsidR="005D5CA8">
        <w:rPr>
          <w:lang w:eastAsia="en-GB"/>
        </w:rPr>
        <w:t xml:space="preserve"> </w:t>
      </w:r>
      <w:r>
        <w:rPr>
          <w:lang w:eastAsia="en-GB"/>
        </w:rPr>
        <w:t xml:space="preserve">Lastly, Rolls-Royce is in a good position to grasp the value of these resources. The company enjoys the advantages of the BMW worldwide size, effective innovation systems, </w:t>
      </w:r>
      <w:r w:rsidR="00144381">
        <w:rPr>
          <w:lang w:eastAsia="en-GB"/>
        </w:rPr>
        <w:t xml:space="preserve">a </w:t>
      </w:r>
      <w:r>
        <w:rPr>
          <w:lang w:eastAsia="en-GB"/>
        </w:rPr>
        <w:t>compliance support structure, and funding. Internally</w:t>
      </w:r>
      <w:r w:rsidR="00144381">
        <w:rPr>
          <w:lang w:eastAsia="en-GB"/>
        </w:rPr>
        <w:t>,</w:t>
      </w:r>
      <w:r>
        <w:rPr>
          <w:lang w:eastAsia="en-GB"/>
        </w:rPr>
        <w:t xml:space="preserve"> it is very well aligned among the operations, brand values and customer experience.</w:t>
      </w:r>
    </w:p>
    <w:p w14:paraId="2B567DD2" w14:textId="17EE7DCB" w:rsidR="00721E56" w:rsidRPr="00C8389D" w:rsidRDefault="00000000" w:rsidP="00721E56">
      <w:pPr>
        <w:rPr>
          <w:lang w:eastAsia="en-GB"/>
        </w:rPr>
      </w:pPr>
      <w:r>
        <w:rPr>
          <w:lang w:eastAsia="en-GB"/>
        </w:rPr>
        <w:t xml:space="preserve">Outcome: Rolls-Royce has a set of VRIO-compatible capabilities, which </w:t>
      </w:r>
      <w:r w:rsidR="00144381">
        <w:rPr>
          <w:lang w:eastAsia="en-GB"/>
        </w:rPr>
        <w:t>provide</w:t>
      </w:r>
      <w:r>
        <w:rPr>
          <w:lang w:eastAsia="en-GB"/>
        </w:rPr>
        <w:t xml:space="preserve"> it with a sustainable niche in the ultra-luxury car segment. The sustainable competitive advantage in a quickly changing industry is guaranteed by its unique mix of legacy, innovation, and execution</w:t>
      </w:r>
      <w:r w:rsidR="00172835">
        <w:rPr>
          <w:lang w:eastAsia="en-GB"/>
        </w:rPr>
        <w:t xml:space="preserve"> </w:t>
      </w:r>
      <w:r w:rsidR="007A7FF0" w:rsidRPr="007A7FF0">
        <w:rPr>
          <w:lang w:eastAsia="en-GB"/>
        </w:rPr>
        <w:t>(Armitage and Roberts, 2019)</w:t>
      </w:r>
      <w:r>
        <w:rPr>
          <w:lang w:eastAsia="en-GB"/>
        </w:rPr>
        <w:t>.</w:t>
      </w:r>
    </w:p>
    <w:p w14:paraId="6511DBF9" w14:textId="002479E8" w:rsidR="00DF6119" w:rsidRDefault="00000000" w:rsidP="00C8389D">
      <w:pPr>
        <w:pStyle w:val="Heading2"/>
      </w:pPr>
      <w:bookmarkStart w:id="5" w:name="_Toc200830308"/>
      <w:r w:rsidRPr="00A3113B">
        <w:t>SWOT Analysis</w:t>
      </w:r>
      <w:bookmarkEnd w:id="5"/>
    </w:p>
    <w:p w14:paraId="048957BE" w14:textId="2C14145F" w:rsidR="004C09D8" w:rsidRDefault="00000000" w:rsidP="00C8389D">
      <w:pPr>
        <w:rPr>
          <w:lang w:val="en" w:eastAsia="en-GB"/>
        </w:rPr>
      </w:pPr>
      <w:r w:rsidRPr="004C09D8">
        <w:rPr>
          <w:lang w:val="en" w:eastAsia="en-GB"/>
        </w:rPr>
        <w:t xml:space="preserve">The SWOT analysis combines </w:t>
      </w:r>
      <w:r w:rsidR="005F1110" w:rsidRPr="004C09D8">
        <w:rPr>
          <w:lang w:val="en" w:eastAsia="en-GB"/>
        </w:rPr>
        <w:t>the findings</w:t>
      </w:r>
      <w:r w:rsidRPr="004C09D8">
        <w:rPr>
          <w:lang w:val="en" w:eastAsia="en-GB"/>
        </w:rPr>
        <w:t xml:space="preserve"> of the external and internal audit to ensure a perfect knowledge of the current strategic position of Rolls-Royce Motor Cars. Each quadrant echoes important factors that will affect the performance and future direction of the company.</w:t>
      </w:r>
    </w:p>
    <w:p w14:paraId="3195AD91" w14:textId="4DA1167D" w:rsidR="00C8389D" w:rsidRPr="00C8389D" w:rsidRDefault="00000000" w:rsidP="00C8389D">
      <w:pPr>
        <w:rPr>
          <w:lang w:eastAsia="en-GB"/>
        </w:rPr>
      </w:pPr>
      <w:r w:rsidRPr="00C8389D">
        <w:rPr>
          <w:b/>
          <w:bCs/>
          <w:lang w:eastAsia="en-GB"/>
        </w:rPr>
        <w:t>Strengths:</w:t>
      </w:r>
      <w:r>
        <w:rPr>
          <w:lang w:eastAsia="en-GB"/>
        </w:rPr>
        <w:t xml:space="preserve"> </w:t>
      </w:r>
      <w:r w:rsidR="004C09D8" w:rsidRPr="004C09D8">
        <w:rPr>
          <w:lang w:eastAsia="en-GB"/>
        </w:rPr>
        <w:t>The main strength of Rolls-Royce is its iconic brand status in the world</w:t>
      </w:r>
      <w:r w:rsidR="00144381">
        <w:rPr>
          <w:lang w:eastAsia="en-GB"/>
        </w:rPr>
        <w:t>,</w:t>
      </w:r>
      <w:r w:rsidR="004C09D8" w:rsidRPr="004C09D8">
        <w:rPr>
          <w:lang w:eastAsia="en-GB"/>
        </w:rPr>
        <w:t xml:space="preserve"> </w:t>
      </w:r>
      <w:r w:rsidR="00144381">
        <w:rPr>
          <w:lang w:eastAsia="en-GB"/>
        </w:rPr>
        <w:t>which</w:t>
      </w:r>
      <w:r w:rsidR="004C09D8" w:rsidRPr="004C09D8">
        <w:rPr>
          <w:lang w:eastAsia="en-GB"/>
        </w:rPr>
        <w:t xml:space="preserve"> is associated with the images of ultimate luxury, craftsmanship, and exclusivity. This image has been painstakingly built over the last 100 years and </w:t>
      </w:r>
      <w:r w:rsidR="005F1110" w:rsidRPr="004C09D8">
        <w:rPr>
          <w:lang w:eastAsia="en-GB"/>
        </w:rPr>
        <w:t>more and</w:t>
      </w:r>
      <w:r w:rsidR="004C09D8" w:rsidRPr="004C09D8">
        <w:rPr>
          <w:lang w:eastAsia="en-GB"/>
        </w:rPr>
        <w:t xml:space="preserve"> has won the faith and esteem of ultra-wealthy people globally. The hand-built production line of the company</w:t>
      </w:r>
      <w:r w:rsidR="00144381">
        <w:rPr>
          <w:lang w:eastAsia="en-GB"/>
        </w:rPr>
        <w:t>,</w:t>
      </w:r>
      <w:r w:rsidR="004C09D8" w:rsidRPr="004C09D8">
        <w:rPr>
          <w:lang w:eastAsia="en-GB"/>
        </w:rPr>
        <w:t xml:space="preserve"> located in </w:t>
      </w:r>
      <w:r w:rsidR="00144381">
        <w:rPr>
          <w:lang w:eastAsia="en-GB"/>
        </w:rPr>
        <w:t xml:space="preserve">the </w:t>
      </w:r>
      <w:r w:rsidR="004C09D8" w:rsidRPr="004C09D8">
        <w:rPr>
          <w:lang w:eastAsia="en-GB"/>
        </w:rPr>
        <w:t>Goodwood facility</w:t>
      </w:r>
      <w:r w:rsidR="00144381">
        <w:rPr>
          <w:lang w:eastAsia="en-GB"/>
        </w:rPr>
        <w:t>,</w:t>
      </w:r>
      <w:r w:rsidR="004C09D8" w:rsidRPr="004C09D8">
        <w:rPr>
          <w:lang w:eastAsia="en-GB"/>
        </w:rPr>
        <w:t xml:space="preserve"> enables </w:t>
      </w:r>
      <w:r w:rsidR="00144381">
        <w:rPr>
          <w:lang w:eastAsia="en-GB"/>
        </w:rPr>
        <w:t>unrivalled</w:t>
      </w:r>
      <w:r w:rsidR="004C09D8" w:rsidRPr="004C09D8">
        <w:rPr>
          <w:lang w:eastAsia="en-GB"/>
        </w:rPr>
        <w:t xml:space="preserve"> degrees of </w:t>
      </w:r>
      <w:r w:rsidR="00144381">
        <w:rPr>
          <w:lang w:eastAsia="en-GB"/>
        </w:rPr>
        <w:t>personalisation</w:t>
      </w:r>
      <w:r w:rsidR="004C09D8" w:rsidRPr="004C09D8">
        <w:rPr>
          <w:lang w:eastAsia="en-GB"/>
        </w:rPr>
        <w:t xml:space="preserve"> of each car that is considered to be a unique piece of art</w:t>
      </w:r>
      <w:r w:rsidR="00144381">
        <w:rPr>
          <w:lang w:eastAsia="en-GB"/>
        </w:rPr>
        <w:t>,</w:t>
      </w:r>
      <w:r w:rsidR="004C09D8" w:rsidRPr="004C09D8">
        <w:rPr>
          <w:lang w:eastAsia="en-GB"/>
        </w:rPr>
        <w:t xml:space="preserve"> fitting the individual preferences of a client. In addition, Rolls-Royce has access to </w:t>
      </w:r>
      <w:r w:rsidR="00144381">
        <w:rPr>
          <w:lang w:eastAsia="en-GB"/>
        </w:rPr>
        <w:t xml:space="preserve">the </w:t>
      </w:r>
      <w:r w:rsidR="004C09D8" w:rsidRPr="004C09D8">
        <w:rPr>
          <w:lang w:eastAsia="en-GB"/>
        </w:rPr>
        <w:t xml:space="preserve">technological and financial support of the parent company, BMW Group. Advanced R&amp;D capabilities, supply chain economies and worldwide infrastructure are made available through this integration. </w:t>
      </w:r>
    </w:p>
    <w:p w14:paraId="56305F0D" w14:textId="2154E63E" w:rsidR="00C8389D" w:rsidRPr="00C8389D" w:rsidRDefault="00000000" w:rsidP="00C8389D">
      <w:pPr>
        <w:rPr>
          <w:lang w:eastAsia="en-GB"/>
        </w:rPr>
      </w:pPr>
      <w:r w:rsidRPr="00C8389D">
        <w:rPr>
          <w:b/>
          <w:bCs/>
          <w:lang w:eastAsia="en-GB"/>
        </w:rPr>
        <w:t>Weaknesses:</w:t>
      </w:r>
      <w:r>
        <w:rPr>
          <w:lang w:eastAsia="en-GB"/>
        </w:rPr>
        <w:t xml:space="preserve"> </w:t>
      </w:r>
      <w:r w:rsidR="005F1110">
        <w:rPr>
          <w:lang w:eastAsia="en-GB"/>
        </w:rPr>
        <w:t>Despite</w:t>
      </w:r>
      <w:r w:rsidR="004C09D8" w:rsidRPr="004C09D8">
        <w:rPr>
          <w:lang w:eastAsia="en-GB"/>
        </w:rPr>
        <w:t xml:space="preserve"> all its strengths, Rolls-Royce has significant weaknesses within the company. It has a high-cost basis bespoke production, high-quality materials, </w:t>
      </w:r>
      <w:r w:rsidR="00144381">
        <w:rPr>
          <w:lang w:eastAsia="en-GB"/>
        </w:rPr>
        <w:t xml:space="preserve">and </w:t>
      </w:r>
      <w:r w:rsidR="004C09D8" w:rsidRPr="004C09D8">
        <w:rPr>
          <w:lang w:eastAsia="en-GB"/>
        </w:rPr>
        <w:t>low volume</w:t>
      </w:r>
      <w:r w:rsidR="00144381">
        <w:rPr>
          <w:lang w:eastAsia="en-GB"/>
        </w:rPr>
        <w:t>,</w:t>
      </w:r>
      <w:r w:rsidR="004C09D8" w:rsidRPr="004C09D8">
        <w:rPr>
          <w:lang w:eastAsia="en-GB"/>
        </w:rPr>
        <w:t xml:space="preserve"> </w:t>
      </w:r>
      <w:r w:rsidR="00144381">
        <w:rPr>
          <w:lang w:eastAsia="en-GB"/>
        </w:rPr>
        <w:t>which</w:t>
      </w:r>
      <w:r w:rsidR="004C09D8" w:rsidRPr="004C09D8">
        <w:rPr>
          <w:lang w:eastAsia="en-GB"/>
        </w:rPr>
        <w:t xml:space="preserve"> causes it to be less nimble than mass-market EV producers. Exclusivity is an asset, but </w:t>
      </w:r>
      <w:r w:rsidR="00144381">
        <w:rPr>
          <w:lang w:eastAsia="en-GB"/>
        </w:rPr>
        <w:t xml:space="preserve">it </w:t>
      </w:r>
      <w:r w:rsidR="004C09D8" w:rsidRPr="004C09D8">
        <w:rPr>
          <w:lang w:eastAsia="en-GB"/>
        </w:rPr>
        <w:t xml:space="preserve">limits scalability. The second weakness is that the brand entered the electric vehicle space relatively slowly. </w:t>
      </w:r>
      <w:r w:rsidR="00144381">
        <w:rPr>
          <w:lang w:eastAsia="en-GB"/>
        </w:rPr>
        <w:t>Even though</w:t>
      </w:r>
      <w:r w:rsidR="004C09D8" w:rsidRPr="004C09D8">
        <w:rPr>
          <w:lang w:eastAsia="en-GB"/>
        </w:rPr>
        <w:t xml:space="preserve"> the debut of the Spectre marks a step in the right direction, the </w:t>
      </w:r>
      <w:r w:rsidR="004C09D8" w:rsidRPr="004C09D8">
        <w:rPr>
          <w:lang w:eastAsia="en-GB"/>
        </w:rPr>
        <w:lastRenderedPageBreak/>
        <w:t xml:space="preserve">rivals, including Tesla and Lucid Motors, have already established the standards in the luxury electric mobility. Also, the narrow target demographic of the company </w:t>
      </w:r>
      <w:r w:rsidR="00BF52AF">
        <w:rPr>
          <w:lang w:eastAsia="en-GB"/>
        </w:rPr>
        <w:t>consists</w:t>
      </w:r>
      <w:r w:rsidR="004C09D8" w:rsidRPr="004C09D8">
        <w:rPr>
          <w:lang w:eastAsia="en-GB"/>
        </w:rPr>
        <w:t xml:space="preserve"> of older individuals in the ultra-wealthy category</w:t>
      </w:r>
      <w:r w:rsidR="005C6D57">
        <w:rPr>
          <w:lang w:eastAsia="en-GB"/>
        </w:rPr>
        <w:t xml:space="preserve"> </w:t>
      </w:r>
      <w:r w:rsidR="00CF00B6" w:rsidRPr="00CF00B6">
        <w:rPr>
          <w:lang w:eastAsia="en-GB"/>
        </w:rPr>
        <w:t>(Hill, 2019)</w:t>
      </w:r>
      <w:r w:rsidR="004C09D8" w:rsidRPr="004C09D8">
        <w:rPr>
          <w:lang w:eastAsia="en-GB"/>
        </w:rPr>
        <w:t>.</w:t>
      </w:r>
    </w:p>
    <w:p w14:paraId="18BB6B96" w14:textId="3A2453A5" w:rsidR="00C8389D" w:rsidRPr="00C8389D" w:rsidRDefault="00000000" w:rsidP="00C8389D">
      <w:pPr>
        <w:rPr>
          <w:lang w:eastAsia="en-GB"/>
        </w:rPr>
      </w:pPr>
      <w:r w:rsidRPr="00C8389D">
        <w:rPr>
          <w:b/>
          <w:bCs/>
          <w:lang w:eastAsia="en-GB"/>
        </w:rPr>
        <w:t>Opportunities:</w:t>
      </w:r>
      <w:r>
        <w:rPr>
          <w:lang w:eastAsia="en-GB"/>
        </w:rPr>
        <w:t xml:space="preserve"> </w:t>
      </w:r>
      <w:r w:rsidR="004C09D8" w:rsidRPr="004C09D8">
        <w:rPr>
          <w:lang w:eastAsia="en-GB"/>
        </w:rPr>
        <w:t xml:space="preserve">The move to sustainability and clean mobility is one of the freshest opportunities </w:t>
      </w:r>
      <w:r w:rsidR="00144381">
        <w:rPr>
          <w:lang w:eastAsia="en-GB"/>
        </w:rPr>
        <w:t>for</w:t>
      </w:r>
      <w:r w:rsidR="004C09D8" w:rsidRPr="004C09D8">
        <w:rPr>
          <w:lang w:eastAsia="en-GB"/>
        </w:rPr>
        <w:t xml:space="preserve"> Rolls-Royce. As the world pays more attention to electric vehicles, government subsidies, and tightening emission norms, it may be a good time to look at growth in its EV product line. High-net-worth individuals in emerging economies such as China, India, and </w:t>
      </w:r>
      <w:r w:rsidR="00144381">
        <w:rPr>
          <w:lang w:eastAsia="en-GB"/>
        </w:rPr>
        <w:t xml:space="preserve">the </w:t>
      </w:r>
      <w:r w:rsidR="004C09D8" w:rsidRPr="004C09D8">
        <w:rPr>
          <w:lang w:eastAsia="en-GB"/>
        </w:rPr>
        <w:t xml:space="preserve">Middle East countries are growing at a rapid pace, which presents a good opportunity </w:t>
      </w:r>
      <w:r w:rsidR="00144381">
        <w:rPr>
          <w:lang w:eastAsia="en-GB"/>
        </w:rPr>
        <w:t>for</w:t>
      </w:r>
      <w:r w:rsidR="004C09D8" w:rsidRPr="004C09D8">
        <w:rPr>
          <w:lang w:eastAsia="en-GB"/>
        </w:rPr>
        <w:t xml:space="preserve"> the development of the market. Moreover, recent digital technology developments enable Rolls-Royce to transform customer interactions by using AI configurators and virtual showrooms, or predictive maintenance. The co-branding with high-end fashion, technology, or hotel companies would also facilitate the lifestyles merge and cross-industry appeal</w:t>
      </w:r>
      <w:r w:rsidR="001C191C">
        <w:rPr>
          <w:lang w:eastAsia="en-GB"/>
        </w:rPr>
        <w:t xml:space="preserve"> </w:t>
      </w:r>
      <w:r w:rsidR="00921DAD" w:rsidRPr="00921DAD">
        <w:rPr>
          <w:lang w:eastAsia="en-GB"/>
        </w:rPr>
        <w:t>(Hull, 2017)</w:t>
      </w:r>
      <w:r w:rsidR="004C09D8" w:rsidRPr="004C09D8">
        <w:rPr>
          <w:lang w:eastAsia="en-GB"/>
        </w:rPr>
        <w:t>.</w:t>
      </w:r>
    </w:p>
    <w:p w14:paraId="31BCCB87" w14:textId="3B1A1B9C" w:rsidR="004C09D8" w:rsidRPr="00C8389D" w:rsidRDefault="00000000" w:rsidP="0019240C">
      <w:pPr>
        <w:rPr>
          <w:lang w:eastAsia="en-GB"/>
        </w:rPr>
      </w:pPr>
      <w:r w:rsidRPr="00C8389D">
        <w:rPr>
          <w:b/>
          <w:bCs/>
          <w:lang w:eastAsia="en-GB"/>
        </w:rPr>
        <w:t>Threats:</w:t>
      </w:r>
      <w:r>
        <w:rPr>
          <w:lang w:eastAsia="en-GB"/>
        </w:rPr>
        <w:t xml:space="preserve"> </w:t>
      </w:r>
      <w:r w:rsidRPr="004C09D8">
        <w:rPr>
          <w:lang w:eastAsia="en-GB"/>
        </w:rPr>
        <w:t xml:space="preserve">Rolls-Royce functions within the framework of the volatile environment and increasing competition. The world economic crises, inflation, and geopolitical turmoil may decrease the discretionary income on luxurious items. Brexit has created </w:t>
      </w:r>
      <w:r w:rsidR="00144381">
        <w:rPr>
          <w:lang w:eastAsia="en-GB"/>
        </w:rPr>
        <w:t>labour</w:t>
      </w:r>
      <w:r w:rsidRPr="004C09D8">
        <w:rPr>
          <w:lang w:eastAsia="en-GB"/>
        </w:rPr>
        <w:t xml:space="preserve">, trade and regulatory uncertainties which could affect the continuity and costs of supply chains. Furthermore, emerging EV companies that are technologically advanced are also a major threat, especially when they manage to establish credibility and reputation with the luxury customers. The inability to innovate at a fast enough pace in the areas of electrification, connectivity, and sustainability may serve to undermine the market relevance of Rolls-Royce in the </w:t>
      </w:r>
      <w:r w:rsidR="00144381">
        <w:rPr>
          <w:lang w:eastAsia="en-GB"/>
        </w:rPr>
        <w:t>long term</w:t>
      </w:r>
      <w:r w:rsidRPr="004C09D8">
        <w:rPr>
          <w:lang w:eastAsia="en-GB"/>
        </w:rPr>
        <w:t>.</w:t>
      </w:r>
    </w:p>
    <w:p w14:paraId="637F54F6" w14:textId="7E07401E" w:rsidR="00424C66" w:rsidRPr="00424C66" w:rsidRDefault="00000000" w:rsidP="00424C66">
      <w:pPr>
        <w:pStyle w:val="Heading1"/>
      </w:pPr>
      <w:bookmarkStart w:id="6" w:name="_Toc200830309"/>
      <w:r w:rsidRPr="00424C66">
        <w:t>Strategy Formulation</w:t>
      </w:r>
      <w:bookmarkEnd w:id="6"/>
    </w:p>
    <w:p w14:paraId="1EF1BA12" w14:textId="16B45562" w:rsidR="00296F6B" w:rsidRDefault="00000000" w:rsidP="00296F6B">
      <w:pPr>
        <w:rPr>
          <w:lang w:eastAsia="en-GB"/>
        </w:rPr>
      </w:pPr>
      <w:r>
        <w:rPr>
          <w:lang w:eastAsia="en-GB"/>
        </w:rPr>
        <w:t xml:space="preserve">In order to remain elite and have sustainability in the long run, Rolls-Royce has to adopt the concept of strategic alternatives that respond to the emerging environmental, technological, and consumer trends. Various innovative alternatives can be presented using </w:t>
      </w:r>
      <w:r w:rsidR="00144381">
        <w:rPr>
          <w:lang w:eastAsia="en-GB"/>
        </w:rPr>
        <w:t xml:space="preserve">the </w:t>
      </w:r>
      <w:r>
        <w:rPr>
          <w:lang w:eastAsia="en-GB"/>
        </w:rPr>
        <w:t xml:space="preserve">Ansoff Matrix, </w:t>
      </w:r>
      <w:r w:rsidR="00144381">
        <w:rPr>
          <w:lang w:eastAsia="en-GB"/>
        </w:rPr>
        <w:t>Porter's</w:t>
      </w:r>
      <w:r>
        <w:rPr>
          <w:lang w:eastAsia="en-GB"/>
        </w:rPr>
        <w:t xml:space="preserve"> Generic Strategies and other frameworks to strengthen the competitive positioning of the company.</w:t>
      </w:r>
    </w:p>
    <w:p w14:paraId="3A7BF671" w14:textId="4DD4213A" w:rsidR="00296F6B" w:rsidRDefault="00000000" w:rsidP="00296F6B">
      <w:pPr>
        <w:rPr>
          <w:lang w:eastAsia="en-GB"/>
        </w:rPr>
      </w:pPr>
      <w:r>
        <w:rPr>
          <w:lang w:eastAsia="en-GB"/>
        </w:rPr>
        <w:t>The Ansoff Matrix suggests that the main area of action that Rolls-Royce should focus on is product development</w:t>
      </w:r>
      <w:r w:rsidR="00144381">
        <w:rPr>
          <w:lang w:eastAsia="en-GB"/>
        </w:rPr>
        <w:t>, such as</w:t>
      </w:r>
      <w:r>
        <w:rPr>
          <w:lang w:eastAsia="en-GB"/>
        </w:rPr>
        <w:t xml:space="preserve"> investing </w:t>
      </w:r>
      <w:r w:rsidR="00144381">
        <w:rPr>
          <w:lang w:eastAsia="en-GB"/>
        </w:rPr>
        <w:t>in</w:t>
      </w:r>
      <w:r>
        <w:rPr>
          <w:lang w:eastAsia="en-GB"/>
        </w:rPr>
        <w:t xml:space="preserve"> electric vehicle (EV) innovation. The all-electric </w:t>
      </w:r>
      <w:r>
        <w:rPr>
          <w:lang w:eastAsia="en-GB"/>
        </w:rPr>
        <w:lastRenderedPageBreak/>
        <w:t>Spectre is an important first movement</w:t>
      </w:r>
      <w:r w:rsidR="00144381">
        <w:rPr>
          <w:lang w:eastAsia="en-GB"/>
        </w:rPr>
        <w:t xml:space="preserve"> </w:t>
      </w:r>
      <w:r>
        <w:rPr>
          <w:lang w:eastAsia="en-GB"/>
        </w:rPr>
        <w:t xml:space="preserve">more diversification with hybrid and completely electric cars throughout its model line is needed. The move is in line with regulatory trends globally, especially the UK </w:t>
      </w:r>
      <w:r w:rsidR="00144381">
        <w:rPr>
          <w:lang w:eastAsia="en-GB"/>
        </w:rPr>
        <w:t>government's</w:t>
      </w:r>
      <w:r>
        <w:rPr>
          <w:lang w:eastAsia="en-GB"/>
        </w:rPr>
        <w:t xml:space="preserve"> prohibition on new internal combustion engine cars by 2035, and the rise in demand </w:t>
      </w:r>
      <w:r w:rsidR="00144381">
        <w:rPr>
          <w:lang w:eastAsia="en-GB"/>
        </w:rPr>
        <w:t>for</w:t>
      </w:r>
      <w:r>
        <w:rPr>
          <w:lang w:eastAsia="en-GB"/>
        </w:rPr>
        <w:t xml:space="preserve"> eco-luxury</w:t>
      </w:r>
      <w:r w:rsidR="005F522A">
        <w:rPr>
          <w:lang w:eastAsia="en-GB"/>
        </w:rPr>
        <w:t xml:space="preserve"> </w:t>
      </w:r>
      <w:r w:rsidR="005F522A" w:rsidRPr="005F522A">
        <w:rPr>
          <w:lang w:eastAsia="en-GB"/>
        </w:rPr>
        <w:t>(GOV.UK, 2025)</w:t>
      </w:r>
      <w:r>
        <w:rPr>
          <w:lang w:eastAsia="en-GB"/>
        </w:rPr>
        <w:t xml:space="preserve">. The cooperation with the EV development departments at BMW or the establishment of strategic partnerships with battery technology companies such as CATL or QuantumScape will allow </w:t>
      </w:r>
      <w:r w:rsidR="00144381">
        <w:rPr>
          <w:lang w:eastAsia="en-GB"/>
        </w:rPr>
        <w:t xml:space="preserve">for </w:t>
      </w:r>
      <w:r>
        <w:rPr>
          <w:lang w:eastAsia="en-GB"/>
        </w:rPr>
        <w:t>accelerating the pace and intensity of innovation and controlling the risks of the development.</w:t>
      </w:r>
    </w:p>
    <w:p w14:paraId="5A7A8C4F" w14:textId="6E4BF197" w:rsidR="00296F6B" w:rsidRDefault="00000000" w:rsidP="00296F6B">
      <w:pPr>
        <w:rPr>
          <w:lang w:eastAsia="en-GB"/>
        </w:rPr>
      </w:pPr>
      <w:r>
        <w:rPr>
          <w:lang w:eastAsia="en-GB"/>
        </w:rPr>
        <w:t xml:space="preserve">Consistent with the Differentiation Strategy proposed by Porter, Rolls-Royce will also need to broaden its sustainability agenda </w:t>
      </w:r>
      <w:r w:rsidR="005F1110">
        <w:rPr>
          <w:lang w:eastAsia="en-GB"/>
        </w:rPr>
        <w:t>to</w:t>
      </w:r>
      <w:r>
        <w:rPr>
          <w:lang w:eastAsia="en-GB"/>
        </w:rPr>
        <w:t xml:space="preserve"> comply with the regulatory requirements as well as the expectations of customers. Zero-waste initiatives, carbon-neutral production plants, and sustainable sourcing can make the brand a leader in sustainable luxury. Also, investor and stakeholder confidence can be improved through Transparent Environmental, Social, and Governance (ESG) reporting and green certifications</w:t>
      </w:r>
      <w:r w:rsidR="0087537F">
        <w:rPr>
          <w:lang w:eastAsia="en-GB"/>
        </w:rPr>
        <w:t xml:space="preserve"> </w:t>
      </w:r>
      <w:r w:rsidR="007A22FE" w:rsidRPr="007A22FE">
        <w:rPr>
          <w:lang w:eastAsia="en-GB"/>
        </w:rPr>
        <w:t>(Bhatnagar, 2019)</w:t>
      </w:r>
      <w:r>
        <w:rPr>
          <w:lang w:eastAsia="en-GB"/>
        </w:rPr>
        <w:t>.</w:t>
      </w:r>
      <w:r w:rsidR="00697B41">
        <w:rPr>
          <w:lang w:eastAsia="en-GB"/>
        </w:rPr>
        <w:t xml:space="preserve"> </w:t>
      </w:r>
      <w:r>
        <w:rPr>
          <w:lang w:eastAsia="en-GB"/>
        </w:rPr>
        <w:t xml:space="preserve">Digital transformation is </w:t>
      </w:r>
      <w:r w:rsidR="005F1110">
        <w:rPr>
          <w:lang w:eastAsia="en-GB"/>
        </w:rPr>
        <w:t>another vital pillar</w:t>
      </w:r>
      <w:r>
        <w:rPr>
          <w:lang w:eastAsia="en-GB"/>
        </w:rPr>
        <w:t xml:space="preserve">, and it will be able to differentiate the value of Rolls-Royce. The customer journey can be brought up to date by investing in AI-enhanced virtual configurators, augmented reality (AR) experiences to view a showroom remotely, and applications to monitor a vehicle. These technological advances attract digitally native millennials and Gen Z luxury consumers in the most important growth markets, including China, the Middle East, and Southeast Asia. Moreover, the analytics of big data can facilitate </w:t>
      </w:r>
      <w:r w:rsidR="00144381">
        <w:rPr>
          <w:lang w:eastAsia="en-GB"/>
        </w:rPr>
        <w:t>hyper-personalisation,</w:t>
      </w:r>
      <w:r>
        <w:rPr>
          <w:lang w:eastAsia="en-GB"/>
        </w:rPr>
        <w:t xml:space="preserve"> providing individual recommendations and after-sales services depending on the lifestyle of the respective client.</w:t>
      </w:r>
    </w:p>
    <w:p w14:paraId="0DF147C9" w14:textId="79412287" w:rsidR="00296F6B" w:rsidRPr="00424C66" w:rsidRDefault="00000000" w:rsidP="00296F6B">
      <w:pPr>
        <w:rPr>
          <w:lang w:eastAsia="en-GB"/>
        </w:rPr>
      </w:pPr>
      <w:r>
        <w:rPr>
          <w:lang w:eastAsia="en-GB"/>
        </w:rPr>
        <w:t xml:space="preserve">Another area that Rolls-Royce should consider is strategic alliances beyond the conventional auto </w:t>
      </w:r>
      <w:r w:rsidR="00144381">
        <w:rPr>
          <w:lang w:eastAsia="en-GB"/>
        </w:rPr>
        <w:t>realm</w:t>
      </w:r>
      <w:r>
        <w:rPr>
          <w:lang w:eastAsia="en-GB"/>
        </w:rPr>
        <w:t xml:space="preserve">. Co-branded experiences and limited editions with high-end technology, fashion, or hospitality brands can be produced, which </w:t>
      </w:r>
      <w:r w:rsidR="00144381">
        <w:rPr>
          <w:lang w:eastAsia="en-GB"/>
        </w:rPr>
        <w:t>enhances</w:t>
      </w:r>
      <w:r>
        <w:rPr>
          <w:lang w:eastAsia="en-GB"/>
        </w:rPr>
        <w:t xml:space="preserve"> exclusivity and cultural relevance. Such cross-sectoral partnerships also enable Rolls-Royce to make its lifestyle-based image stronger</w:t>
      </w:r>
      <w:r w:rsidR="00697B41">
        <w:rPr>
          <w:lang w:eastAsia="en-GB"/>
        </w:rPr>
        <w:t>.</w:t>
      </w:r>
      <w:r>
        <w:rPr>
          <w:lang w:eastAsia="en-GB"/>
        </w:rPr>
        <w:t xml:space="preserve"> </w:t>
      </w:r>
      <w:r w:rsidR="00697B41">
        <w:rPr>
          <w:lang w:eastAsia="en-GB"/>
        </w:rPr>
        <w:t>T</w:t>
      </w:r>
      <w:r>
        <w:rPr>
          <w:lang w:eastAsia="en-GB"/>
        </w:rPr>
        <w:t xml:space="preserve">he market development strategies must </w:t>
      </w:r>
      <w:r w:rsidR="00144381">
        <w:rPr>
          <w:lang w:eastAsia="en-GB"/>
        </w:rPr>
        <w:t>emphasise</w:t>
      </w:r>
      <w:r>
        <w:rPr>
          <w:lang w:eastAsia="en-GB"/>
        </w:rPr>
        <w:t xml:space="preserve"> increased penetration into the emerging economies by facilitating production at a </w:t>
      </w:r>
      <w:r w:rsidR="00144381">
        <w:rPr>
          <w:lang w:eastAsia="en-GB"/>
        </w:rPr>
        <w:t>localised</w:t>
      </w:r>
      <w:r>
        <w:rPr>
          <w:lang w:eastAsia="en-GB"/>
        </w:rPr>
        <w:t xml:space="preserve"> level, enhanced marketing, and culturally </w:t>
      </w:r>
      <w:r w:rsidR="00144381">
        <w:rPr>
          <w:lang w:eastAsia="en-GB"/>
        </w:rPr>
        <w:t>customised</w:t>
      </w:r>
      <w:r>
        <w:rPr>
          <w:lang w:eastAsia="en-GB"/>
        </w:rPr>
        <w:t xml:space="preserve"> experiences. Together, these strategic efforts</w:t>
      </w:r>
      <w:r w:rsidR="00144381">
        <w:rPr>
          <w:lang w:eastAsia="en-GB"/>
        </w:rPr>
        <w:t>,</w:t>
      </w:r>
      <w:r>
        <w:rPr>
          <w:lang w:eastAsia="en-GB"/>
        </w:rPr>
        <w:t xml:space="preserve"> which are hinged on innovation, sustainability, and customer-centricity</w:t>
      </w:r>
      <w:r w:rsidR="00144381">
        <w:rPr>
          <w:lang w:eastAsia="en-GB"/>
        </w:rPr>
        <w:t>,</w:t>
      </w:r>
      <w:r>
        <w:rPr>
          <w:lang w:eastAsia="en-GB"/>
        </w:rPr>
        <w:t xml:space="preserve"> will allow Rolls-Royce to carry on its tradition, evolving with the changing future of luxury mobility</w:t>
      </w:r>
      <w:r w:rsidR="00B33401">
        <w:rPr>
          <w:lang w:eastAsia="en-GB"/>
        </w:rPr>
        <w:t xml:space="preserve"> </w:t>
      </w:r>
      <w:r w:rsidR="001C5564" w:rsidRPr="001C5564">
        <w:rPr>
          <w:lang w:eastAsia="en-GB"/>
        </w:rPr>
        <w:t>(Psaila, 2024)</w:t>
      </w:r>
      <w:r>
        <w:rPr>
          <w:lang w:eastAsia="en-GB"/>
        </w:rPr>
        <w:t>.</w:t>
      </w:r>
    </w:p>
    <w:p w14:paraId="5C78AF7C" w14:textId="77777777" w:rsidR="007F4306" w:rsidRDefault="00000000">
      <w:pPr>
        <w:spacing w:before="0" w:after="160" w:line="259" w:lineRule="auto"/>
        <w:jc w:val="left"/>
        <w:rPr>
          <w:rFonts w:eastAsia="Times New Roman" w:cstheme="majorBidi"/>
          <w:b/>
          <w:color w:val="2F5496" w:themeColor="accent1" w:themeShade="BF"/>
          <w:sz w:val="32"/>
          <w:szCs w:val="32"/>
          <w:lang w:val="en" w:eastAsia="en-GB"/>
        </w:rPr>
      </w:pPr>
      <w:r>
        <w:br w:type="page"/>
      </w:r>
    </w:p>
    <w:p w14:paraId="3179029C" w14:textId="1C6EE8B0" w:rsidR="00424C66" w:rsidRPr="00424C66" w:rsidRDefault="00000000" w:rsidP="00424C66">
      <w:pPr>
        <w:pStyle w:val="Heading1"/>
      </w:pPr>
      <w:bookmarkStart w:id="7" w:name="_Toc200830310"/>
      <w:r w:rsidRPr="00424C66">
        <w:lastRenderedPageBreak/>
        <w:t>Conclusion and Recommendations</w:t>
      </w:r>
      <w:bookmarkEnd w:id="7"/>
    </w:p>
    <w:p w14:paraId="7F77FA87" w14:textId="3B2E88D7" w:rsidR="00296F6B" w:rsidRDefault="00000000" w:rsidP="00424C66">
      <w:pPr>
        <w:rPr>
          <w:lang w:eastAsia="en-GB"/>
        </w:rPr>
      </w:pPr>
      <w:r w:rsidRPr="00296F6B">
        <w:rPr>
          <w:lang w:eastAsia="en-GB"/>
        </w:rPr>
        <w:t xml:space="preserve">Strategic analysis of the Rolls-Royce Motor Cars identifies the prestigious brand of the firm, excellent craftsmanship, and access to </w:t>
      </w:r>
      <w:r w:rsidR="00144381">
        <w:rPr>
          <w:lang w:eastAsia="en-GB"/>
        </w:rPr>
        <w:t xml:space="preserve">the </w:t>
      </w:r>
      <w:r w:rsidRPr="00296F6B">
        <w:rPr>
          <w:lang w:eastAsia="en-GB"/>
        </w:rPr>
        <w:t xml:space="preserve">global innovation capability of BMW Group as the main strengths of the firm. </w:t>
      </w:r>
      <w:r w:rsidR="00144381">
        <w:rPr>
          <w:lang w:eastAsia="en-GB"/>
        </w:rPr>
        <w:t>The</w:t>
      </w:r>
      <w:r w:rsidRPr="00296F6B">
        <w:rPr>
          <w:lang w:eastAsia="en-GB"/>
        </w:rPr>
        <w:t xml:space="preserve"> issues of high-cost structure, late EV entry, and the tendency toward greater environmental and technological consumer demand require changing the strategy. The external environment is as pressuring as it is full of opportunities, whether it is </w:t>
      </w:r>
      <w:r w:rsidR="00144381">
        <w:rPr>
          <w:lang w:eastAsia="en-GB"/>
        </w:rPr>
        <w:t xml:space="preserve">the </w:t>
      </w:r>
      <w:r w:rsidRPr="00296F6B">
        <w:rPr>
          <w:lang w:eastAsia="en-GB"/>
        </w:rPr>
        <w:t xml:space="preserve">increasing demand </w:t>
      </w:r>
      <w:r w:rsidR="00144381">
        <w:rPr>
          <w:lang w:eastAsia="en-GB"/>
        </w:rPr>
        <w:t>for</w:t>
      </w:r>
      <w:r w:rsidRPr="00296F6B">
        <w:rPr>
          <w:lang w:eastAsia="en-GB"/>
        </w:rPr>
        <w:t xml:space="preserve"> sustainable luxury mobility or the emergence of younger tech-savvy high-net-worth individuals in emerging markets. Internally, Rolls-Royce has done well in its bespoke operations and customer intimacy, but it is time to ensure that its value creation activities are now aligned with future-oriented trends.</w:t>
      </w:r>
    </w:p>
    <w:p w14:paraId="4A12348F" w14:textId="43ADD959" w:rsidR="00424C66" w:rsidRPr="00424C66" w:rsidRDefault="00000000" w:rsidP="00296F6B">
      <w:pPr>
        <w:rPr>
          <w:lang w:eastAsia="en-GB"/>
        </w:rPr>
      </w:pPr>
      <w:r w:rsidRPr="00424C66">
        <w:rPr>
          <w:lang w:eastAsia="en-GB"/>
        </w:rPr>
        <w:t>Based on the findings, the following strategic recommendations are proposed:</w:t>
      </w:r>
    </w:p>
    <w:p w14:paraId="37773262" w14:textId="77777777" w:rsidR="00424C66" w:rsidRPr="00424C66" w:rsidRDefault="00000000" w:rsidP="00296F6B">
      <w:pPr>
        <w:pStyle w:val="ListParagraph"/>
        <w:numPr>
          <w:ilvl w:val="0"/>
          <w:numId w:val="3"/>
        </w:numPr>
        <w:rPr>
          <w:lang w:eastAsia="en-GB"/>
        </w:rPr>
      </w:pPr>
      <w:r w:rsidRPr="00296F6B">
        <w:rPr>
          <w:b/>
          <w:bCs/>
          <w:lang w:eastAsia="en-GB"/>
        </w:rPr>
        <w:t>Accelerate EV Development</w:t>
      </w:r>
      <w:r w:rsidRPr="00424C66">
        <w:rPr>
          <w:lang w:eastAsia="en-GB"/>
        </w:rPr>
        <w:t>: Fast-track the launch and diversification of electric models like the Spectre and invest in proprietary EV technologies or partnerships.</w:t>
      </w:r>
    </w:p>
    <w:p w14:paraId="72D4AAAC" w14:textId="77777777" w:rsidR="00424C66" w:rsidRPr="00424C66" w:rsidRDefault="00000000" w:rsidP="00296F6B">
      <w:pPr>
        <w:pStyle w:val="ListParagraph"/>
        <w:numPr>
          <w:ilvl w:val="0"/>
          <w:numId w:val="3"/>
        </w:numPr>
        <w:rPr>
          <w:lang w:eastAsia="en-GB"/>
        </w:rPr>
      </w:pPr>
      <w:r w:rsidRPr="00296F6B">
        <w:rPr>
          <w:b/>
          <w:bCs/>
          <w:lang w:eastAsia="en-GB"/>
        </w:rPr>
        <w:t>Enhance Sustainability</w:t>
      </w:r>
      <w:r w:rsidRPr="00424C66">
        <w:rPr>
          <w:lang w:eastAsia="en-GB"/>
        </w:rPr>
        <w:t>: Commit to carbon-neutral manufacturing by adopting renewable energy, sustainable sourcing, and transparent ESG reporting.</w:t>
      </w:r>
    </w:p>
    <w:p w14:paraId="63A476DA" w14:textId="77777777" w:rsidR="00424C66" w:rsidRPr="00424C66" w:rsidRDefault="00000000" w:rsidP="00296F6B">
      <w:pPr>
        <w:pStyle w:val="ListParagraph"/>
        <w:numPr>
          <w:ilvl w:val="0"/>
          <w:numId w:val="3"/>
        </w:numPr>
        <w:rPr>
          <w:lang w:eastAsia="en-GB"/>
        </w:rPr>
      </w:pPr>
      <w:r w:rsidRPr="00296F6B">
        <w:rPr>
          <w:b/>
          <w:bCs/>
          <w:lang w:eastAsia="en-GB"/>
        </w:rPr>
        <w:t>Strengthen Strategic Alliances</w:t>
      </w:r>
      <w:r w:rsidRPr="00424C66">
        <w:rPr>
          <w:lang w:eastAsia="en-GB"/>
        </w:rPr>
        <w:t>: Collaborate with cutting-edge tech firms and luxury lifestyle brands to co-create innovation and exclusivity.</w:t>
      </w:r>
    </w:p>
    <w:p w14:paraId="37707877" w14:textId="5BB6AE49" w:rsidR="00424C66" w:rsidRPr="00424C66" w:rsidRDefault="00000000" w:rsidP="00296F6B">
      <w:pPr>
        <w:pStyle w:val="ListParagraph"/>
        <w:numPr>
          <w:ilvl w:val="0"/>
          <w:numId w:val="3"/>
        </w:numPr>
        <w:rPr>
          <w:lang w:eastAsia="en-GB"/>
        </w:rPr>
      </w:pPr>
      <w:r w:rsidRPr="00296F6B">
        <w:rPr>
          <w:b/>
          <w:bCs/>
          <w:lang w:eastAsia="en-GB"/>
        </w:rPr>
        <w:t>Drive Digital Transformation</w:t>
      </w:r>
      <w:r w:rsidRPr="00424C66">
        <w:rPr>
          <w:lang w:eastAsia="en-GB"/>
        </w:rPr>
        <w:t xml:space="preserve">: Invest in AI-powered configurators, virtual showrooms, and data-driven </w:t>
      </w:r>
      <w:r w:rsidR="00144381">
        <w:rPr>
          <w:lang w:eastAsia="en-GB"/>
        </w:rPr>
        <w:t>personalisation</w:t>
      </w:r>
      <w:r w:rsidRPr="00424C66">
        <w:rPr>
          <w:lang w:eastAsia="en-GB"/>
        </w:rPr>
        <w:t xml:space="preserve"> to </w:t>
      </w:r>
      <w:r w:rsidR="00144381">
        <w:rPr>
          <w:lang w:eastAsia="en-GB"/>
        </w:rPr>
        <w:t>modernise</w:t>
      </w:r>
      <w:r w:rsidRPr="00424C66">
        <w:rPr>
          <w:lang w:eastAsia="en-GB"/>
        </w:rPr>
        <w:t xml:space="preserve"> the customer journey.</w:t>
      </w:r>
    </w:p>
    <w:p w14:paraId="70CA3CF4" w14:textId="39B8987C" w:rsidR="00424C66" w:rsidRPr="00424C66" w:rsidRDefault="00000000" w:rsidP="00296F6B">
      <w:pPr>
        <w:pStyle w:val="ListParagraph"/>
        <w:numPr>
          <w:ilvl w:val="0"/>
          <w:numId w:val="3"/>
        </w:numPr>
        <w:rPr>
          <w:lang w:eastAsia="en-GB"/>
        </w:rPr>
      </w:pPr>
      <w:r w:rsidRPr="00296F6B">
        <w:rPr>
          <w:b/>
          <w:bCs/>
          <w:lang w:eastAsia="en-GB"/>
        </w:rPr>
        <w:t>Target Emerging Markets</w:t>
      </w:r>
      <w:r w:rsidRPr="00424C66">
        <w:rPr>
          <w:lang w:eastAsia="en-GB"/>
        </w:rPr>
        <w:t xml:space="preserve">: Expand brand reach in Asia, the Middle East, and other high-growth regions with </w:t>
      </w:r>
      <w:r w:rsidR="00144381">
        <w:rPr>
          <w:lang w:eastAsia="en-GB"/>
        </w:rPr>
        <w:t>localised</w:t>
      </w:r>
      <w:r w:rsidRPr="00424C66">
        <w:rPr>
          <w:lang w:eastAsia="en-GB"/>
        </w:rPr>
        <w:t xml:space="preserve"> strategies and digital engagement.</w:t>
      </w:r>
    </w:p>
    <w:p w14:paraId="126556CE" w14:textId="6E44A037" w:rsidR="0019240C" w:rsidRDefault="00000000" w:rsidP="00296F6B">
      <w:pPr>
        <w:rPr>
          <w:lang w:eastAsia="en-GB"/>
        </w:rPr>
      </w:pPr>
      <w:r w:rsidRPr="00424C66">
        <w:rPr>
          <w:lang w:eastAsia="en-GB"/>
        </w:rPr>
        <w:t xml:space="preserve">Ultimately, </w:t>
      </w:r>
      <w:r w:rsidR="00296F6B" w:rsidRPr="00296F6B">
        <w:rPr>
          <w:lang w:eastAsia="en-GB"/>
        </w:rPr>
        <w:t>future success lies with innovation, sustainability and strategic agility. Rolls-Royce needs to transform a brand of the past into a brand of the future without causing harm to its traditional values of elegance, excellence, and exclusivity.</w:t>
      </w:r>
    </w:p>
    <w:p w14:paraId="59C35CD5" w14:textId="403890C2" w:rsidR="00E83771" w:rsidRDefault="00000000">
      <w:pPr>
        <w:spacing w:before="0" w:after="160" w:line="259" w:lineRule="auto"/>
        <w:jc w:val="left"/>
        <w:rPr>
          <w:lang w:eastAsia="en-GB"/>
        </w:rPr>
      </w:pPr>
      <w:r>
        <w:rPr>
          <w:lang w:eastAsia="en-GB"/>
        </w:rPr>
        <w:br w:type="page"/>
      </w:r>
    </w:p>
    <w:p w14:paraId="551647B4" w14:textId="26BAA297" w:rsidR="00E83771" w:rsidRDefault="00000000" w:rsidP="00E83771">
      <w:pPr>
        <w:pStyle w:val="Heading1"/>
      </w:pPr>
      <w:r>
        <w:lastRenderedPageBreak/>
        <w:t>References</w:t>
      </w:r>
    </w:p>
    <w:p w14:paraId="37C5C083" w14:textId="77777777" w:rsidR="009168FD" w:rsidRPr="009168FD" w:rsidRDefault="00000000" w:rsidP="009168FD">
      <w:pPr>
        <w:rPr>
          <w:lang w:eastAsia="en-GB"/>
        </w:rPr>
      </w:pPr>
      <w:r w:rsidRPr="009168FD">
        <w:rPr>
          <w:lang w:eastAsia="en-GB"/>
        </w:rPr>
        <w:t>Armitage, J. and Roberts, J. (2019) ‘The third realm of luxury’, pp. 1–224. Available at: https://www.torrossa.com/en/resources/an/5215454 (Accessed: 14 June 2025).</w:t>
      </w:r>
    </w:p>
    <w:p w14:paraId="74F321BA" w14:textId="77777777" w:rsidR="009168FD" w:rsidRPr="00172911" w:rsidRDefault="00000000" w:rsidP="009168FD">
      <w:pPr>
        <w:rPr>
          <w:lang w:eastAsia="en-GB"/>
        </w:rPr>
      </w:pPr>
      <w:r w:rsidRPr="00172911">
        <w:rPr>
          <w:lang w:eastAsia="en-GB"/>
        </w:rPr>
        <w:t xml:space="preserve">BBC News (2020) </w:t>
      </w:r>
      <w:r w:rsidRPr="00172911">
        <w:rPr>
          <w:i/>
          <w:iCs/>
          <w:lang w:eastAsia="en-GB"/>
        </w:rPr>
        <w:t>Petrol and diesel car sales ban brought forward to 2035</w:t>
      </w:r>
      <w:r w:rsidRPr="00172911">
        <w:rPr>
          <w:lang w:eastAsia="en-GB"/>
        </w:rPr>
        <w:t>. Available at: https://www.bbc.com/news/science-environment-51366123.</w:t>
      </w:r>
    </w:p>
    <w:p w14:paraId="38773D01" w14:textId="77777777" w:rsidR="009168FD" w:rsidRPr="009168FD" w:rsidRDefault="00000000" w:rsidP="009168FD">
      <w:pPr>
        <w:rPr>
          <w:lang w:eastAsia="en-GB"/>
        </w:rPr>
      </w:pPr>
      <w:r w:rsidRPr="009168FD">
        <w:rPr>
          <w:lang w:eastAsia="en-GB"/>
        </w:rPr>
        <w:t xml:space="preserve">Bhatnagar, N. (2019) </w:t>
      </w:r>
      <w:r w:rsidRPr="009168FD">
        <w:rPr>
          <w:i/>
          <w:iCs/>
          <w:lang w:eastAsia="en-GB"/>
        </w:rPr>
        <w:t>Zero waste engineering</w:t>
      </w:r>
      <w:r w:rsidRPr="009168FD">
        <w:rPr>
          <w:lang w:eastAsia="en-GB"/>
        </w:rPr>
        <w:t>. Arcler Education Incorporated.</w:t>
      </w:r>
    </w:p>
    <w:p w14:paraId="516C19EB" w14:textId="77777777" w:rsidR="009168FD" w:rsidRPr="009168FD" w:rsidRDefault="00000000" w:rsidP="009168FD">
      <w:pPr>
        <w:rPr>
          <w:lang w:eastAsia="en-GB"/>
        </w:rPr>
      </w:pPr>
      <w:r w:rsidRPr="009168FD">
        <w:rPr>
          <w:lang w:eastAsia="en-GB"/>
        </w:rPr>
        <w:t xml:space="preserve">Booy, S.V. and Briggs, H. (2021) </w:t>
      </w:r>
      <w:r w:rsidRPr="009168FD">
        <w:rPr>
          <w:i/>
          <w:iCs/>
          <w:lang w:eastAsia="en-GB"/>
        </w:rPr>
        <w:t>Rolls-royce motor cars: making a legend</w:t>
      </w:r>
      <w:r w:rsidRPr="009168FD">
        <w:rPr>
          <w:lang w:eastAsia="en-GB"/>
        </w:rPr>
        <w:t>. ACC Children’s Classics.</w:t>
      </w:r>
    </w:p>
    <w:p w14:paraId="3B2B1BF2" w14:textId="77777777" w:rsidR="009168FD" w:rsidRPr="009168FD" w:rsidRDefault="00000000" w:rsidP="009168FD">
      <w:pPr>
        <w:rPr>
          <w:lang w:eastAsia="en-GB"/>
        </w:rPr>
      </w:pPr>
      <w:r w:rsidRPr="009168FD">
        <w:rPr>
          <w:lang w:eastAsia="en-GB"/>
        </w:rPr>
        <w:t xml:space="preserve">Dutta, T. and Mandal, M.K. (2021) </w:t>
      </w:r>
      <w:r w:rsidRPr="009168FD">
        <w:rPr>
          <w:i/>
          <w:iCs/>
          <w:lang w:eastAsia="en-GB"/>
        </w:rPr>
        <w:t>Consumer happiness: multiple perspectives</w:t>
      </w:r>
      <w:r w:rsidRPr="009168FD">
        <w:rPr>
          <w:lang w:eastAsia="en-GB"/>
        </w:rPr>
        <w:t>. Springer Nature.</w:t>
      </w:r>
    </w:p>
    <w:p w14:paraId="3ADD4864" w14:textId="77777777" w:rsidR="009168FD" w:rsidRPr="00860A89" w:rsidRDefault="00000000" w:rsidP="009168FD">
      <w:pPr>
        <w:rPr>
          <w:lang w:eastAsia="en-GB"/>
        </w:rPr>
      </w:pPr>
      <w:r w:rsidRPr="00860A89">
        <w:rPr>
          <w:lang w:eastAsia="en-GB"/>
        </w:rPr>
        <w:t xml:space="preserve">GOV.UK (2025) </w:t>
      </w:r>
      <w:r w:rsidRPr="00860A89">
        <w:rPr>
          <w:i/>
          <w:iCs/>
          <w:lang w:eastAsia="en-GB"/>
        </w:rPr>
        <w:t>Phasing out sales of new petrol and diesel cars from 2030 and supporting the ZEV transition: summary of responses and joint government response</w:t>
      </w:r>
      <w:r w:rsidRPr="00860A89">
        <w:rPr>
          <w:lang w:eastAsia="en-GB"/>
        </w:rPr>
        <w:t xml:space="preserve">, </w:t>
      </w:r>
      <w:r w:rsidRPr="00860A89">
        <w:rPr>
          <w:i/>
          <w:iCs/>
          <w:lang w:eastAsia="en-GB"/>
        </w:rPr>
        <w:t>GOV.UK</w:t>
      </w:r>
      <w:r w:rsidRPr="00860A89">
        <w:rPr>
          <w:lang w:eastAsia="en-GB"/>
        </w:rPr>
        <w:t>. Available at: https://www.gov.uk/government/consultations/phasing-out-sales-of-new-petrol-and-diesel-cars-from-2030-and-supporting-the-zev-transition/outcome/phasing-out-sales-of-new-petrol-and-diesel-cars-from-2030-and-supporting-the-zev-transition-summary-of-responses-and-joint-government-response.</w:t>
      </w:r>
    </w:p>
    <w:p w14:paraId="7FDBE901" w14:textId="77777777" w:rsidR="009168FD" w:rsidRPr="009168FD" w:rsidRDefault="00000000" w:rsidP="009168FD">
      <w:pPr>
        <w:rPr>
          <w:lang w:eastAsia="en-GB"/>
        </w:rPr>
      </w:pPr>
      <w:r w:rsidRPr="009168FD">
        <w:rPr>
          <w:lang w:eastAsia="en-GB"/>
        </w:rPr>
        <w:t xml:space="preserve">Grosse, R.E. and Meyer, K. (2019) </w:t>
      </w:r>
      <w:r w:rsidRPr="009168FD">
        <w:rPr>
          <w:i/>
          <w:iCs/>
          <w:lang w:eastAsia="en-GB"/>
        </w:rPr>
        <w:t>The oxford handbook of management in emerging markets</w:t>
      </w:r>
      <w:r w:rsidRPr="009168FD">
        <w:rPr>
          <w:lang w:eastAsia="en-GB"/>
        </w:rPr>
        <w:t>. Oxford University Press.</w:t>
      </w:r>
    </w:p>
    <w:p w14:paraId="3286C041" w14:textId="77777777" w:rsidR="009168FD" w:rsidRPr="009168FD" w:rsidRDefault="00000000" w:rsidP="009168FD">
      <w:pPr>
        <w:rPr>
          <w:lang w:eastAsia="en-GB"/>
        </w:rPr>
      </w:pPr>
      <w:r w:rsidRPr="009168FD">
        <w:rPr>
          <w:lang w:eastAsia="en-GB"/>
        </w:rPr>
        <w:t xml:space="preserve">Hill, P. (2019) </w:t>
      </w:r>
      <w:r w:rsidRPr="009168FD">
        <w:rPr>
          <w:i/>
          <w:iCs/>
          <w:lang w:eastAsia="en-GB"/>
        </w:rPr>
        <w:t>Rolls-royce and bentley motor car engineer: noble company, humble apprentice</w:t>
      </w:r>
      <w:r w:rsidRPr="009168FD">
        <w:rPr>
          <w:lang w:eastAsia="en-GB"/>
        </w:rPr>
        <w:t>. Peter R Hill.</w:t>
      </w:r>
    </w:p>
    <w:p w14:paraId="768A3EDF" w14:textId="77777777" w:rsidR="009168FD" w:rsidRPr="009168FD" w:rsidRDefault="00000000" w:rsidP="009168FD">
      <w:pPr>
        <w:rPr>
          <w:lang w:eastAsia="en-GB"/>
        </w:rPr>
      </w:pPr>
      <w:r w:rsidRPr="009168FD">
        <w:rPr>
          <w:lang w:eastAsia="en-GB"/>
        </w:rPr>
        <w:t xml:space="preserve">Hull, G. (2017) </w:t>
      </w:r>
      <w:r w:rsidRPr="009168FD">
        <w:rPr>
          <w:i/>
          <w:iCs/>
          <w:lang w:eastAsia="en-GB"/>
        </w:rPr>
        <w:t>To boldly go: twenty six vehicle designs that dared to be different</w:t>
      </w:r>
      <w:r w:rsidRPr="009168FD">
        <w:rPr>
          <w:lang w:eastAsia="en-GB"/>
        </w:rPr>
        <w:t>. David and Charles.</w:t>
      </w:r>
    </w:p>
    <w:p w14:paraId="309AF93C" w14:textId="77777777" w:rsidR="009168FD" w:rsidRPr="009168FD" w:rsidRDefault="00000000" w:rsidP="009168FD">
      <w:pPr>
        <w:rPr>
          <w:lang w:eastAsia="en-GB"/>
        </w:rPr>
      </w:pPr>
      <w:r w:rsidRPr="009168FD">
        <w:rPr>
          <w:lang w:eastAsia="en-GB"/>
        </w:rPr>
        <w:t xml:space="preserve">Naqvi, S.R., Sareen, P., Sharma, T. and Naqvi, A. (2025) ‘Humane approach of e-learning utilization: case study of rolls-royce &lt;sup/&gt;’, </w:t>
      </w:r>
      <w:r w:rsidRPr="009168FD">
        <w:rPr>
          <w:i/>
          <w:iCs/>
          <w:lang w:eastAsia="en-GB"/>
        </w:rPr>
        <w:t>Emerging Economies Cases Journal</w:t>
      </w:r>
      <w:r w:rsidRPr="009168FD">
        <w:rPr>
          <w:lang w:eastAsia="en-GB"/>
        </w:rPr>
        <w:t>, 7(1), pp. 14–18. Available at: https://doi.org/10.1177/25166042241249529.</w:t>
      </w:r>
    </w:p>
    <w:p w14:paraId="44582EF7" w14:textId="77777777" w:rsidR="009168FD" w:rsidRPr="009168FD" w:rsidRDefault="00000000" w:rsidP="009168FD">
      <w:pPr>
        <w:rPr>
          <w:lang w:eastAsia="en-GB"/>
        </w:rPr>
      </w:pPr>
      <w:r w:rsidRPr="009168FD">
        <w:rPr>
          <w:lang w:eastAsia="en-GB"/>
        </w:rPr>
        <w:lastRenderedPageBreak/>
        <w:t xml:space="preserve">Pearce, B. (2016) ‘Gatsby’s rolls-royce: reflections on the automobile and literature’, </w:t>
      </w:r>
      <w:r w:rsidRPr="009168FD">
        <w:rPr>
          <w:i/>
          <w:iCs/>
          <w:lang w:eastAsia="en-GB"/>
        </w:rPr>
        <w:t>English Academy Review</w:t>
      </w:r>
      <w:r w:rsidRPr="009168FD">
        <w:rPr>
          <w:lang w:eastAsia="en-GB"/>
        </w:rPr>
        <w:t>, 33(2), pp. 52–67. Available at: https://doi.org/10.1080/10131752.2016.1249686.</w:t>
      </w:r>
    </w:p>
    <w:p w14:paraId="060E8E1B" w14:textId="77777777" w:rsidR="009168FD" w:rsidRPr="009168FD" w:rsidRDefault="00000000" w:rsidP="009168FD">
      <w:pPr>
        <w:rPr>
          <w:lang w:eastAsia="en-GB"/>
        </w:rPr>
      </w:pPr>
      <w:r w:rsidRPr="009168FD">
        <w:rPr>
          <w:lang w:eastAsia="en-GB"/>
        </w:rPr>
        <w:t xml:space="preserve">Psaila, E. (2024) </w:t>
      </w:r>
      <w:r w:rsidRPr="009168FD">
        <w:rPr>
          <w:i/>
          <w:iCs/>
          <w:lang w:eastAsia="en-GB"/>
        </w:rPr>
        <w:t>Rover’s realm - the journey of luxury and innovation in the world of range rover</w:t>
      </w:r>
      <w:r w:rsidRPr="009168FD">
        <w:rPr>
          <w:lang w:eastAsia="en-GB"/>
        </w:rPr>
        <w:t>. Independently Published.</w:t>
      </w:r>
    </w:p>
    <w:p w14:paraId="776E4326" w14:textId="77777777" w:rsidR="009168FD" w:rsidRPr="009168FD" w:rsidRDefault="00000000" w:rsidP="009168FD">
      <w:pPr>
        <w:rPr>
          <w:lang w:eastAsia="en-GB"/>
        </w:rPr>
      </w:pPr>
      <w:r w:rsidRPr="009168FD">
        <w:rPr>
          <w:lang w:eastAsia="en-GB"/>
        </w:rPr>
        <w:t xml:space="preserve">Reese, P. (2022) </w:t>
      </w:r>
      <w:r w:rsidRPr="009168FD">
        <w:rPr>
          <w:i/>
          <w:iCs/>
          <w:lang w:eastAsia="en-GB"/>
        </w:rPr>
        <w:t>Sir henry royce: establishing rolls-royce, from motor cars to aero engines</w:t>
      </w:r>
      <w:r w:rsidRPr="009168FD">
        <w:rPr>
          <w:lang w:eastAsia="en-GB"/>
        </w:rPr>
        <w:t>. History Press Limited.</w:t>
      </w:r>
    </w:p>
    <w:p w14:paraId="5C13027D" w14:textId="77777777" w:rsidR="009168FD" w:rsidRPr="009168FD" w:rsidRDefault="00000000" w:rsidP="009168FD">
      <w:pPr>
        <w:rPr>
          <w:lang w:eastAsia="en-GB"/>
        </w:rPr>
      </w:pPr>
      <w:r w:rsidRPr="009168FD">
        <w:rPr>
          <w:lang w:eastAsia="en-GB"/>
        </w:rPr>
        <w:t xml:space="preserve">Wadman, W.M. (2016) </w:t>
      </w:r>
      <w:r w:rsidRPr="009168FD">
        <w:rPr>
          <w:i/>
          <w:iCs/>
          <w:lang w:eastAsia="en-GB"/>
        </w:rPr>
        <w:t>Variable quality in consumer theory: towards a dynamic microeconomic theory of the consumer</w:t>
      </w:r>
      <w:r w:rsidRPr="009168FD">
        <w:rPr>
          <w:lang w:eastAsia="en-GB"/>
        </w:rPr>
        <w:t>. Routledge.</w:t>
      </w:r>
    </w:p>
    <w:p w14:paraId="60534EA6" w14:textId="77777777" w:rsidR="009168FD" w:rsidRPr="009168FD" w:rsidRDefault="00000000" w:rsidP="009168FD">
      <w:pPr>
        <w:rPr>
          <w:lang w:eastAsia="en-GB"/>
        </w:rPr>
      </w:pPr>
      <w:r w:rsidRPr="009168FD">
        <w:rPr>
          <w:lang w:eastAsia="en-GB"/>
        </w:rPr>
        <w:t xml:space="preserve">Wuori, P.E.M. (2023) </w:t>
      </w:r>
      <w:r w:rsidRPr="009168FD">
        <w:rPr>
          <w:i/>
          <w:iCs/>
          <w:lang w:eastAsia="en-GB"/>
        </w:rPr>
        <w:t>Analysing the differences between luxury and premium in marketing – case study: bmw and rolls-royce</w:t>
      </w:r>
      <w:r w:rsidRPr="009168FD">
        <w:rPr>
          <w:lang w:eastAsia="en-GB"/>
        </w:rPr>
        <w:t>. Available at: http://www.theseus.fi/handle/10024/802349 (Accessed: 14 June 2025).</w:t>
      </w:r>
    </w:p>
    <w:p w14:paraId="60FC366C" w14:textId="77777777" w:rsidR="00E83771" w:rsidRPr="00E83771" w:rsidRDefault="00E83771" w:rsidP="00E83771">
      <w:pPr>
        <w:rPr>
          <w:lang w:val="en" w:eastAsia="en-GB"/>
        </w:rPr>
      </w:pPr>
    </w:p>
    <w:sectPr w:rsidR="00E83771" w:rsidRPr="00E83771" w:rsidSect="005F1110">
      <w:footerReference w:type="default" r:id="rId8"/>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E15FC" w14:textId="77777777" w:rsidR="00270933" w:rsidRDefault="00270933" w:rsidP="00B02B83">
      <w:pPr>
        <w:spacing w:before="0" w:after="0" w:line="240" w:lineRule="auto"/>
      </w:pPr>
      <w:r>
        <w:separator/>
      </w:r>
    </w:p>
  </w:endnote>
  <w:endnote w:type="continuationSeparator" w:id="0">
    <w:p w14:paraId="2A1513B7" w14:textId="77777777" w:rsidR="00270933" w:rsidRDefault="00270933" w:rsidP="00B02B8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8302145"/>
      <w:docPartObj>
        <w:docPartGallery w:val="Page Numbers (Bottom of Page)"/>
        <w:docPartUnique/>
      </w:docPartObj>
    </w:sdtPr>
    <w:sdtEndPr>
      <w:rPr>
        <w:noProof/>
      </w:rPr>
    </w:sdtEndPr>
    <w:sdtContent>
      <w:p w14:paraId="2C812050" w14:textId="09E39944" w:rsidR="007C7DBA" w:rsidRDefault="00000000" w:rsidP="005F111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0A776" w14:textId="77777777" w:rsidR="00270933" w:rsidRDefault="00270933" w:rsidP="00B02B83">
      <w:pPr>
        <w:spacing w:before="0" w:after="0" w:line="240" w:lineRule="auto"/>
      </w:pPr>
      <w:r>
        <w:separator/>
      </w:r>
    </w:p>
  </w:footnote>
  <w:footnote w:type="continuationSeparator" w:id="0">
    <w:p w14:paraId="033A32E3" w14:textId="77777777" w:rsidR="00270933" w:rsidRDefault="00270933" w:rsidP="00B02B8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660F1"/>
    <w:multiLevelType w:val="multilevel"/>
    <w:tmpl w:val="770EF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2943DA8"/>
    <w:multiLevelType w:val="multilevel"/>
    <w:tmpl w:val="4CB06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9655CCC"/>
    <w:multiLevelType w:val="hybridMultilevel"/>
    <w:tmpl w:val="AA7CF446"/>
    <w:lvl w:ilvl="0" w:tplc="6DAAB35A">
      <w:start w:val="1"/>
      <w:numFmt w:val="bullet"/>
      <w:lvlText w:val=""/>
      <w:lvlJc w:val="left"/>
      <w:pPr>
        <w:ind w:left="360" w:hanging="360"/>
      </w:pPr>
      <w:rPr>
        <w:rFonts w:ascii="Symbol" w:hAnsi="Symbol" w:hint="default"/>
      </w:rPr>
    </w:lvl>
    <w:lvl w:ilvl="1" w:tplc="0C3810A6" w:tentative="1">
      <w:start w:val="1"/>
      <w:numFmt w:val="bullet"/>
      <w:lvlText w:val="o"/>
      <w:lvlJc w:val="left"/>
      <w:pPr>
        <w:ind w:left="1080" w:hanging="360"/>
      </w:pPr>
      <w:rPr>
        <w:rFonts w:ascii="Courier New" w:hAnsi="Courier New" w:cs="Courier New" w:hint="default"/>
      </w:rPr>
    </w:lvl>
    <w:lvl w:ilvl="2" w:tplc="0E841B84" w:tentative="1">
      <w:start w:val="1"/>
      <w:numFmt w:val="bullet"/>
      <w:lvlText w:val=""/>
      <w:lvlJc w:val="left"/>
      <w:pPr>
        <w:ind w:left="1800" w:hanging="360"/>
      </w:pPr>
      <w:rPr>
        <w:rFonts w:ascii="Wingdings" w:hAnsi="Wingdings" w:hint="default"/>
      </w:rPr>
    </w:lvl>
    <w:lvl w:ilvl="3" w:tplc="019C056C" w:tentative="1">
      <w:start w:val="1"/>
      <w:numFmt w:val="bullet"/>
      <w:lvlText w:val=""/>
      <w:lvlJc w:val="left"/>
      <w:pPr>
        <w:ind w:left="2520" w:hanging="360"/>
      </w:pPr>
      <w:rPr>
        <w:rFonts w:ascii="Symbol" w:hAnsi="Symbol" w:hint="default"/>
      </w:rPr>
    </w:lvl>
    <w:lvl w:ilvl="4" w:tplc="6BAC3C98" w:tentative="1">
      <w:start w:val="1"/>
      <w:numFmt w:val="bullet"/>
      <w:lvlText w:val="o"/>
      <w:lvlJc w:val="left"/>
      <w:pPr>
        <w:ind w:left="3240" w:hanging="360"/>
      </w:pPr>
      <w:rPr>
        <w:rFonts w:ascii="Courier New" w:hAnsi="Courier New" w:cs="Courier New" w:hint="default"/>
      </w:rPr>
    </w:lvl>
    <w:lvl w:ilvl="5" w:tplc="1E202A64" w:tentative="1">
      <w:start w:val="1"/>
      <w:numFmt w:val="bullet"/>
      <w:lvlText w:val=""/>
      <w:lvlJc w:val="left"/>
      <w:pPr>
        <w:ind w:left="3960" w:hanging="360"/>
      </w:pPr>
      <w:rPr>
        <w:rFonts w:ascii="Wingdings" w:hAnsi="Wingdings" w:hint="default"/>
      </w:rPr>
    </w:lvl>
    <w:lvl w:ilvl="6" w:tplc="C5AABCEE" w:tentative="1">
      <w:start w:val="1"/>
      <w:numFmt w:val="bullet"/>
      <w:lvlText w:val=""/>
      <w:lvlJc w:val="left"/>
      <w:pPr>
        <w:ind w:left="4680" w:hanging="360"/>
      </w:pPr>
      <w:rPr>
        <w:rFonts w:ascii="Symbol" w:hAnsi="Symbol" w:hint="default"/>
      </w:rPr>
    </w:lvl>
    <w:lvl w:ilvl="7" w:tplc="901885C8" w:tentative="1">
      <w:start w:val="1"/>
      <w:numFmt w:val="bullet"/>
      <w:lvlText w:val="o"/>
      <w:lvlJc w:val="left"/>
      <w:pPr>
        <w:ind w:left="5400" w:hanging="360"/>
      </w:pPr>
      <w:rPr>
        <w:rFonts w:ascii="Courier New" w:hAnsi="Courier New" w:cs="Courier New" w:hint="default"/>
      </w:rPr>
    </w:lvl>
    <w:lvl w:ilvl="8" w:tplc="DEFADF32" w:tentative="1">
      <w:start w:val="1"/>
      <w:numFmt w:val="bullet"/>
      <w:lvlText w:val=""/>
      <w:lvlJc w:val="left"/>
      <w:pPr>
        <w:ind w:left="6120" w:hanging="360"/>
      </w:pPr>
      <w:rPr>
        <w:rFonts w:ascii="Wingdings" w:hAnsi="Wingdings" w:hint="default"/>
      </w:rPr>
    </w:lvl>
  </w:abstractNum>
  <w:num w:numId="1" w16cid:durableId="409547899">
    <w:abstractNumId w:val="1"/>
  </w:num>
  <w:num w:numId="2" w16cid:durableId="36317231">
    <w:abstractNumId w:val="0"/>
  </w:num>
  <w:num w:numId="3" w16cid:durableId="11921062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B83"/>
    <w:rsid w:val="00053D8F"/>
    <w:rsid w:val="000668D8"/>
    <w:rsid w:val="00066C63"/>
    <w:rsid w:val="000825AF"/>
    <w:rsid w:val="000855DC"/>
    <w:rsid w:val="00102C34"/>
    <w:rsid w:val="0011273F"/>
    <w:rsid w:val="00144381"/>
    <w:rsid w:val="00146ACD"/>
    <w:rsid w:val="0015459F"/>
    <w:rsid w:val="00172835"/>
    <w:rsid w:val="00172911"/>
    <w:rsid w:val="0019240C"/>
    <w:rsid w:val="001C191C"/>
    <w:rsid w:val="001C5564"/>
    <w:rsid w:val="001D0793"/>
    <w:rsid w:val="001D7A87"/>
    <w:rsid w:val="002018B4"/>
    <w:rsid w:val="00254BB9"/>
    <w:rsid w:val="00270933"/>
    <w:rsid w:val="00296F6B"/>
    <w:rsid w:val="002D1068"/>
    <w:rsid w:val="002D5D7F"/>
    <w:rsid w:val="002E424B"/>
    <w:rsid w:val="00311E41"/>
    <w:rsid w:val="0031485F"/>
    <w:rsid w:val="003217C5"/>
    <w:rsid w:val="00345AC2"/>
    <w:rsid w:val="00371AE7"/>
    <w:rsid w:val="003775C8"/>
    <w:rsid w:val="003B0806"/>
    <w:rsid w:val="003B3FA5"/>
    <w:rsid w:val="003D0D34"/>
    <w:rsid w:val="003D5029"/>
    <w:rsid w:val="003F3ACB"/>
    <w:rsid w:val="00424C66"/>
    <w:rsid w:val="00426DB9"/>
    <w:rsid w:val="004455D2"/>
    <w:rsid w:val="004823C5"/>
    <w:rsid w:val="004B103C"/>
    <w:rsid w:val="004C09D8"/>
    <w:rsid w:val="0057332F"/>
    <w:rsid w:val="00574329"/>
    <w:rsid w:val="00582000"/>
    <w:rsid w:val="005C6D57"/>
    <w:rsid w:val="005D5CA8"/>
    <w:rsid w:val="005F1110"/>
    <w:rsid w:val="005F522A"/>
    <w:rsid w:val="00616526"/>
    <w:rsid w:val="00627BD1"/>
    <w:rsid w:val="00644D8F"/>
    <w:rsid w:val="00661D3B"/>
    <w:rsid w:val="00681EB5"/>
    <w:rsid w:val="00697B41"/>
    <w:rsid w:val="006F03E9"/>
    <w:rsid w:val="006F6F54"/>
    <w:rsid w:val="00721E56"/>
    <w:rsid w:val="007260CA"/>
    <w:rsid w:val="007568E9"/>
    <w:rsid w:val="007A22FE"/>
    <w:rsid w:val="007A7FF0"/>
    <w:rsid w:val="007B5B8E"/>
    <w:rsid w:val="007C7DBA"/>
    <w:rsid w:val="007E6BAA"/>
    <w:rsid w:val="007F4306"/>
    <w:rsid w:val="00856E59"/>
    <w:rsid w:val="00860A89"/>
    <w:rsid w:val="0087537F"/>
    <w:rsid w:val="00892BAA"/>
    <w:rsid w:val="008B017C"/>
    <w:rsid w:val="0090217B"/>
    <w:rsid w:val="009168FD"/>
    <w:rsid w:val="00921DAD"/>
    <w:rsid w:val="009223E8"/>
    <w:rsid w:val="009357BD"/>
    <w:rsid w:val="009519CE"/>
    <w:rsid w:val="00961408"/>
    <w:rsid w:val="009645A1"/>
    <w:rsid w:val="00967919"/>
    <w:rsid w:val="009713EC"/>
    <w:rsid w:val="009E24C7"/>
    <w:rsid w:val="00A05788"/>
    <w:rsid w:val="00A2054E"/>
    <w:rsid w:val="00A3113B"/>
    <w:rsid w:val="00A63A69"/>
    <w:rsid w:val="00A65EA7"/>
    <w:rsid w:val="00A76094"/>
    <w:rsid w:val="00A96121"/>
    <w:rsid w:val="00AD2EFC"/>
    <w:rsid w:val="00B02B83"/>
    <w:rsid w:val="00B26512"/>
    <w:rsid w:val="00B317C8"/>
    <w:rsid w:val="00B33401"/>
    <w:rsid w:val="00B63561"/>
    <w:rsid w:val="00B63A32"/>
    <w:rsid w:val="00BD0676"/>
    <w:rsid w:val="00BF52AF"/>
    <w:rsid w:val="00C15230"/>
    <w:rsid w:val="00C34F5F"/>
    <w:rsid w:val="00C44E38"/>
    <w:rsid w:val="00C521B6"/>
    <w:rsid w:val="00C8389D"/>
    <w:rsid w:val="00C87E33"/>
    <w:rsid w:val="00CE59B4"/>
    <w:rsid w:val="00CF00B6"/>
    <w:rsid w:val="00CF2A1B"/>
    <w:rsid w:val="00D52F5E"/>
    <w:rsid w:val="00D927A6"/>
    <w:rsid w:val="00DB6CAF"/>
    <w:rsid w:val="00DD59A7"/>
    <w:rsid w:val="00DF6119"/>
    <w:rsid w:val="00E604C5"/>
    <w:rsid w:val="00E83771"/>
    <w:rsid w:val="00E90B60"/>
    <w:rsid w:val="00EA5ECD"/>
    <w:rsid w:val="00ED67ED"/>
    <w:rsid w:val="00EF436B"/>
    <w:rsid w:val="00F05E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B7AD8A"/>
  <w15:chartTrackingRefBased/>
  <w15:docId w15:val="{B145993A-7B4A-4852-8F55-127CD12C8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017C"/>
    <w:pPr>
      <w:spacing w:before="240" w:after="120" w:line="360" w:lineRule="auto"/>
      <w:jc w:val="both"/>
    </w:pPr>
    <w:rPr>
      <w:rFonts w:ascii="Times New Roman" w:hAnsi="Times New Roman" w:cs="Times New Roman"/>
      <w:sz w:val="24"/>
    </w:rPr>
  </w:style>
  <w:style w:type="paragraph" w:styleId="Heading1">
    <w:name w:val="heading 1"/>
    <w:basedOn w:val="Normal"/>
    <w:next w:val="Normal"/>
    <w:link w:val="Heading1Char"/>
    <w:autoRedefine/>
    <w:uiPriority w:val="9"/>
    <w:qFormat/>
    <w:rsid w:val="00A3113B"/>
    <w:pPr>
      <w:keepNext/>
      <w:keepLines/>
      <w:spacing w:after="240"/>
      <w:outlineLvl w:val="0"/>
    </w:pPr>
    <w:rPr>
      <w:rFonts w:eastAsia="Times New Roman" w:cstheme="majorBidi"/>
      <w:b/>
      <w:color w:val="2F5496" w:themeColor="accent1" w:themeShade="BF"/>
      <w:sz w:val="32"/>
      <w:szCs w:val="32"/>
      <w:lang w:val="en" w:eastAsia="en-GB"/>
    </w:rPr>
  </w:style>
  <w:style w:type="paragraph" w:styleId="Heading2">
    <w:name w:val="heading 2"/>
    <w:basedOn w:val="Heading1"/>
    <w:next w:val="Normal"/>
    <w:link w:val="Heading2Char"/>
    <w:autoRedefine/>
    <w:uiPriority w:val="9"/>
    <w:unhideWhenUsed/>
    <w:qFormat/>
    <w:rsid w:val="00DF6119"/>
    <w:pPr>
      <w:outlineLvl w:val="1"/>
    </w:pPr>
    <w:rPr>
      <w:rFonts w:eastAsia="Arial" w:cs="Times New Roman"/>
      <w:bCs/>
      <w:color w:val="auto"/>
      <w:sz w:val="28"/>
      <w:szCs w:val="36"/>
    </w:rPr>
  </w:style>
  <w:style w:type="paragraph" w:styleId="Heading3">
    <w:name w:val="heading 3"/>
    <w:basedOn w:val="Normal"/>
    <w:next w:val="Normal"/>
    <w:link w:val="Heading3Char"/>
    <w:autoRedefine/>
    <w:uiPriority w:val="9"/>
    <w:unhideWhenUsed/>
    <w:qFormat/>
    <w:rsid w:val="00066C63"/>
    <w:pPr>
      <w:keepNext/>
      <w:keepLines/>
      <w:spacing w:before="40"/>
      <w:outlineLvl w:val="2"/>
    </w:pPr>
    <w:rPr>
      <w:rFonts w:eastAsiaTheme="majorEastAsia" w:cstheme="majorBidi"/>
      <w:b/>
      <w:color w:val="1F3763" w:themeColor="accent1" w:themeShade="7F"/>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F6119"/>
    <w:rPr>
      <w:rFonts w:ascii="Times New Roman" w:eastAsia="Arial" w:hAnsi="Times New Roman" w:cs="Times New Roman"/>
      <w:b/>
      <w:bCs/>
      <w:sz w:val="28"/>
      <w:szCs w:val="36"/>
      <w:lang w:val="en" w:eastAsia="en-GB"/>
    </w:rPr>
  </w:style>
  <w:style w:type="character" w:customStyle="1" w:styleId="Heading1Char">
    <w:name w:val="Heading 1 Char"/>
    <w:basedOn w:val="DefaultParagraphFont"/>
    <w:link w:val="Heading1"/>
    <w:uiPriority w:val="9"/>
    <w:rsid w:val="00A3113B"/>
    <w:rPr>
      <w:rFonts w:ascii="Times New Roman" w:eastAsia="Times New Roman" w:hAnsi="Times New Roman" w:cstheme="majorBidi"/>
      <w:b/>
      <w:color w:val="2F5496" w:themeColor="accent1" w:themeShade="BF"/>
      <w:sz w:val="32"/>
      <w:szCs w:val="32"/>
      <w:lang w:val="en" w:eastAsia="en-GB"/>
    </w:rPr>
  </w:style>
  <w:style w:type="paragraph" w:styleId="Title">
    <w:name w:val="Title"/>
    <w:basedOn w:val="Normal"/>
    <w:next w:val="Normal"/>
    <w:link w:val="TitleChar"/>
    <w:autoRedefine/>
    <w:uiPriority w:val="10"/>
    <w:qFormat/>
    <w:rsid w:val="009357BD"/>
    <w:pPr>
      <w:spacing w:before="360" w:after="240"/>
      <w:contextualSpacing/>
      <w:jc w:val="center"/>
    </w:pPr>
    <w:rPr>
      <w:rFonts w:eastAsiaTheme="majorEastAsia" w:cstheme="majorBidi"/>
      <w:spacing w:val="-10"/>
      <w:kern w:val="28"/>
      <w:sz w:val="32"/>
      <w:szCs w:val="32"/>
    </w:rPr>
  </w:style>
  <w:style w:type="character" w:customStyle="1" w:styleId="TitleChar">
    <w:name w:val="Title Char"/>
    <w:basedOn w:val="DefaultParagraphFont"/>
    <w:link w:val="Title"/>
    <w:uiPriority w:val="10"/>
    <w:rsid w:val="009357BD"/>
    <w:rPr>
      <w:rFonts w:ascii="Times New Roman" w:eastAsiaTheme="majorEastAsia" w:hAnsi="Times New Roman" w:cstheme="majorBidi"/>
      <w:spacing w:val="-10"/>
      <w:kern w:val="28"/>
      <w:sz w:val="32"/>
      <w:szCs w:val="32"/>
    </w:rPr>
  </w:style>
  <w:style w:type="character" w:customStyle="1" w:styleId="Heading3Char">
    <w:name w:val="Heading 3 Char"/>
    <w:basedOn w:val="DefaultParagraphFont"/>
    <w:link w:val="Heading3"/>
    <w:uiPriority w:val="9"/>
    <w:rsid w:val="00066C63"/>
    <w:rPr>
      <w:rFonts w:ascii="Times New Roman" w:eastAsiaTheme="majorEastAsia" w:hAnsi="Times New Roman" w:cstheme="majorBidi"/>
      <w:b/>
      <w:color w:val="1F3763" w:themeColor="accent1" w:themeShade="7F"/>
      <w:sz w:val="26"/>
      <w:szCs w:val="24"/>
    </w:rPr>
  </w:style>
  <w:style w:type="paragraph" w:styleId="BodyText">
    <w:name w:val="Body Text"/>
    <w:basedOn w:val="Normal"/>
    <w:link w:val="BodyTextChar"/>
    <w:autoRedefine/>
    <w:uiPriority w:val="1"/>
    <w:qFormat/>
    <w:rsid w:val="008B017C"/>
    <w:pPr>
      <w:widowControl w:val="0"/>
      <w:autoSpaceDE w:val="0"/>
      <w:autoSpaceDN w:val="0"/>
      <w:spacing w:before="0" w:after="0"/>
    </w:pPr>
    <w:rPr>
      <w:rFonts w:eastAsia="Arial MT" w:cs="Arial MT"/>
      <w:szCs w:val="24"/>
      <w:lang w:val="en-US"/>
    </w:rPr>
  </w:style>
  <w:style w:type="character" w:customStyle="1" w:styleId="BodyTextChar">
    <w:name w:val="Body Text Char"/>
    <w:basedOn w:val="DefaultParagraphFont"/>
    <w:link w:val="BodyText"/>
    <w:uiPriority w:val="1"/>
    <w:rsid w:val="008B017C"/>
    <w:rPr>
      <w:rFonts w:ascii="Times New Roman" w:eastAsia="Arial MT" w:hAnsi="Times New Roman" w:cs="Arial MT"/>
      <w:sz w:val="24"/>
      <w:szCs w:val="24"/>
      <w:lang w:val="en-US"/>
    </w:rPr>
  </w:style>
  <w:style w:type="paragraph" w:styleId="Header">
    <w:name w:val="header"/>
    <w:basedOn w:val="Normal"/>
    <w:link w:val="HeaderChar"/>
    <w:uiPriority w:val="99"/>
    <w:unhideWhenUsed/>
    <w:rsid w:val="00B02B8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02B83"/>
    <w:rPr>
      <w:rFonts w:ascii="Times New Roman" w:hAnsi="Times New Roman" w:cs="Times New Roman"/>
      <w:sz w:val="24"/>
    </w:rPr>
  </w:style>
  <w:style w:type="paragraph" w:styleId="Footer">
    <w:name w:val="footer"/>
    <w:basedOn w:val="Normal"/>
    <w:link w:val="FooterChar"/>
    <w:uiPriority w:val="99"/>
    <w:unhideWhenUsed/>
    <w:rsid w:val="00B02B8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02B83"/>
    <w:rPr>
      <w:rFonts w:ascii="Times New Roman" w:hAnsi="Times New Roman" w:cs="Times New Roman"/>
      <w:sz w:val="24"/>
    </w:rPr>
  </w:style>
  <w:style w:type="paragraph" w:styleId="TOCHeading">
    <w:name w:val="TOC Heading"/>
    <w:basedOn w:val="Heading1"/>
    <w:next w:val="Normal"/>
    <w:uiPriority w:val="39"/>
    <w:unhideWhenUsed/>
    <w:qFormat/>
    <w:rsid w:val="00B02B83"/>
    <w:pPr>
      <w:spacing w:after="0" w:line="259" w:lineRule="auto"/>
      <w:jc w:val="left"/>
      <w:outlineLvl w:val="9"/>
    </w:pPr>
    <w:rPr>
      <w:rFonts w:asciiTheme="majorHAnsi" w:eastAsiaTheme="majorEastAsia" w:hAnsiTheme="majorHAnsi"/>
      <w:b w:val="0"/>
      <w:lang w:val="en-US"/>
    </w:rPr>
  </w:style>
  <w:style w:type="table" w:styleId="TableGrid">
    <w:name w:val="Table Grid"/>
    <w:basedOn w:val="TableNormal"/>
    <w:uiPriority w:val="39"/>
    <w:rsid w:val="001924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CE59B4"/>
    <w:pPr>
      <w:spacing w:after="100"/>
    </w:pPr>
  </w:style>
  <w:style w:type="paragraph" w:styleId="TOC2">
    <w:name w:val="toc 2"/>
    <w:basedOn w:val="Normal"/>
    <w:next w:val="Normal"/>
    <w:autoRedefine/>
    <w:uiPriority w:val="39"/>
    <w:unhideWhenUsed/>
    <w:rsid w:val="00CE59B4"/>
    <w:pPr>
      <w:spacing w:after="100"/>
      <w:ind w:left="240"/>
    </w:pPr>
  </w:style>
  <w:style w:type="character" w:styleId="Hyperlink">
    <w:name w:val="Hyperlink"/>
    <w:basedOn w:val="DefaultParagraphFont"/>
    <w:uiPriority w:val="99"/>
    <w:unhideWhenUsed/>
    <w:rsid w:val="00CE59B4"/>
    <w:rPr>
      <w:color w:val="0563C1" w:themeColor="hyperlink"/>
      <w:u w:val="single"/>
    </w:rPr>
  </w:style>
  <w:style w:type="paragraph" w:styleId="ListParagraph">
    <w:name w:val="List Paragraph"/>
    <w:basedOn w:val="Normal"/>
    <w:uiPriority w:val="34"/>
    <w:qFormat/>
    <w:rsid w:val="00296F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5EFCCC-4897-4C62-A98A-D5708B301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3365</Words>
  <Characters>19184</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Madalina</dc:creator>
  <cp:lastModifiedBy>mădălina gugoi</cp:lastModifiedBy>
  <cp:revision>2</cp:revision>
  <dcterms:created xsi:type="dcterms:W3CDTF">2025-06-15T17:46:00Z</dcterms:created>
  <dcterms:modified xsi:type="dcterms:W3CDTF">2025-06-15T17:46:00Z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7a5cd9e2-c975-45ea-856b-0f52a3ba9597</vt:lpwstr>
  </property>
</Properties>
</file>