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4A30F7A" wp14:paraId="45BB45AB" wp14:textId="61DF9C4D">
      <w:pPr>
        <w:pStyle w:val="Normal"/>
        <w:ind w:left="0"/>
        <w:jc w:val="left"/>
        <w:rPr>
          <w:rFonts w:ascii="Aptos" w:hAnsi="Aptos" w:eastAsia="Aptos" w:cs="Aptos"/>
          <w:b w:val="1"/>
          <w:bCs w:val="1"/>
          <w:noProof w:val="0"/>
          <w:sz w:val="28"/>
          <w:szCs w:val="28"/>
          <w:lang w:val="en-US"/>
        </w:rPr>
      </w:pPr>
      <w:r w:rsidRPr="44A30F7A" w:rsidR="4663A049">
        <w:rPr>
          <w:rFonts w:ascii="Aptos" w:hAnsi="Aptos" w:eastAsia="Aptos" w:cs="Aptos"/>
          <w:b w:val="1"/>
          <w:bCs w:val="1"/>
          <w:noProof w:val="0"/>
          <w:sz w:val="28"/>
          <w:szCs w:val="28"/>
          <w:lang w:val="en-US"/>
        </w:rPr>
        <w:t xml:space="preserve">  BA (Hons) Business Management</w:t>
      </w:r>
      <w:r w:rsidRPr="18DEC196" w:rsidR="4D40AA35">
        <w:rPr>
          <w:rFonts w:ascii="Aptos" w:hAnsi="Aptos" w:eastAsia="Aptos" w:cs="Aptos"/>
          <w:b w:val="1"/>
          <w:bCs w:val="1"/>
          <w:noProof w:val="0"/>
          <w:sz w:val="28"/>
          <w:szCs w:val="28"/>
          <w:lang w:val="en-US"/>
        </w:rPr>
        <w:t xml:space="preserve">  </w:t>
      </w:r>
      <w:r w:rsidRPr="18DEC196" w:rsidR="604D3CC8">
        <w:rPr>
          <w:rFonts w:ascii="Aptos" w:hAnsi="Aptos" w:eastAsia="Aptos" w:cs="Aptos"/>
          <w:b w:val="1"/>
          <w:bCs w:val="1"/>
          <w:noProof w:val="0"/>
          <w:sz w:val="28"/>
          <w:szCs w:val="28"/>
          <w:lang w:val="en-US"/>
        </w:rPr>
        <w:t xml:space="preserve">      </w:t>
      </w:r>
      <w:r w:rsidRPr="18DEC196" w:rsidR="604D3CC8">
        <w:rPr>
          <w:rFonts w:ascii="Aptos" w:hAnsi="Aptos" w:eastAsia="Aptos" w:cs="Aptos"/>
          <w:b w:val="1"/>
          <w:bCs w:val="1"/>
          <w:noProof w:val="0"/>
          <w:sz w:val="28"/>
          <w:szCs w:val="28"/>
          <w:lang w:val="en-US"/>
        </w:rPr>
        <w:t xml:space="preserve">                </w:t>
      </w:r>
      <w:r w:rsidRPr="18DEC196" w:rsidR="32E88306">
        <w:rPr>
          <w:rFonts w:ascii="Aptos" w:hAnsi="Aptos" w:eastAsia="Aptos" w:cs="Aptos"/>
          <w:b w:val="1"/>
          <w:bCs w:val="1"/>
          <w:noProof w:val="0"/>
          <w:sz w:val="28"/>
          <w:szCs w:val="28"/>
          <w:lang w:val="en-US"/>
        </w:rPr>
        <w:t xml:space="preserve"> </w:t>
      </w:r>
      <w:r w:rsidRPr="18DEC196" w:rsidR="604D3CC8">
        <w:rPr>
          <w:rFonts w:ascii="Aptos" w:hAnsi="Aptos" w:eastAsia="Aptos" w:cs="Aptos"/>
          <w:b w:val="1"/>
          <w:bCs w:val="1"/>
          <w:noProof w:val="0"/>
          <w:sz w:val="28"/>
          <w:szCs w:val="28"/>
          <w:lang w:val="en-US"/>
        </w:rPr>
        <w:t xml:space="preserve"> </w:t>
      </w:r>
      <w:r w:rsidRPr="18DEC196" w:rsidR="604D3CC8">
        <w:rPr>
          <w:rFonts w:ascii="Aptos" w:hAnsi="Aptos" w:eastAsia="Aptos" w:cs="Aptos"/>
          <w:b w:val="1"/>
          <w:bCs w:val="1"/>
          <w:noProof w:val="0"/>
          <w:sz w:val="28"/>
          <w:szCs w:val="28"/>
          <w:lang w:val="en-US"/>
        </w:rPr>
        <w:t xml:space="preserve">             </w:t>
      </w:r>
      <w:r w:rsidR="4EA503FE">
        <w:drawing>
          <wp:inline xmlns:wp14="http://schemas.microsoft.com/office/word/2010/wordprocessingDrawing" wp14:editId="0F63BCBD" wp14:anchorId="2112159F">
            <wp:extent cx="1600474" cy="1054371"/>
            <wp:effectExtent l="9079" t="13886" r="9079" b="13886"/>
            <wp:docPr id="15327059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7425736" name="Picture 1087425736"/>
                    <pic:cNvPicPr/>
                  </pic:nvPicPr>
                  <pic:blipFill>
                    <a:blip xmlns:r="http://schemas.openxmlformats.org/officeDocument/2006/relationships" r:embed="rId124770379">
                      <a:extLst>
                        <a:ext uri="{28A0092B-C50C-407E-A947-70E740481C1C}">
                          <a14:useLocalDpi xmlns:a14="http://schemas.microsoft.com/office/drawing/2010/main"/>
                        </a:ext>
                      </a:extLst>
                    </a:blip>
                    <a:stretch>
                      <a:fillRect/>
                    </a:stretch>
                  </pic:blipFill>
                  <pic:spPr>
                    <a:xfrm rot="21540000">
                      <a:off x="0" y="0"/>
                      <a:ext cx="1600474" cy="1054371"/>
                    </a:xfrm>
                    <a:prstGeom prst="rect">
                      <a:avLst/>
                    </a:prstGeom>
                  </pic:spPr>
                </pic:pic>
              </a:graphicData>
            </a:graphic>
          </wp:inline>
        </w:drawing>
      </w:r>
      <w:r w:rsidRPr="18DEC196" w:rsidR="604D3CC8">
        <w:rPr>
          <w:rFonts w:ascii="Aptos" w:hAnsi="Aptos" w:eastAsia="Aptos" w:cs="Aptos"/>
          <w:b w:val="1"/>
          <w:bCs w:val="1"/>
          <w:noProof w:val="0"/>
          <w:sz w:val="28"/>
          <w:szCs w:val="28"/>
          <w:lang w:val="en-US"/>
        </w:rPr>
        <w:t xml:space="preserve">                         </w:t>
      </w:r>
      <w:r w:rsidRPr="18DEC196" w:rsidR="6EB8404A">
        <w:rPr>
          <w:rFonts w:ascii="Aptos" w:hAnsi="Aptos" w:eastAsia="Aptos" w:cs="Aptos"/>
          <w:b w:val="1"/>
          <w:bCs w:val="1"/>
          <w:noProof w:val="0"/>
          <w:sz w:val="28"/>
          <w:szCs w:val="28"/>
          <w:lang w:val="en-US"/>
        </w:rPr>
        <w:t xml:space="preserve">  </w:t>
      </w:r>
      <w:r w:rsidRPr="18DEC196" w:rsidR="604D3CC8">
        <w:rPr>
          <w:rFonts w:ascii="Aptos" w:hAnsi="Aptos" w:eastAsia="Aptos" w:cs="Aptos"/>
          <w:b w:val="1"/>
          <w:bCs w:val="1"/>
          <w:noProof w:val="0"/>
          <w:sz w:val="28"/>
          <w:szCs w:val="28"/>
          <w:lang w:val="en-US"/>
        </w:rPr>
        <w:t xml:space="preserve">   </w:t>
      </w:r>
      <w:r w:rsidRPr="18DEC196" w:rsidR="604D3CC8">
        <w:rPr>
          <w:rFonts w:ascii="Aptos" w:hAnsi="Aptos" w:eastAsia="Aptos" w:cs="Aptos"/>
          <w:b w:val="1"/>
          <w:bCs w:val="1"/>
          <w:noProof w:val="0"/>
          <w:sz w:val="28"/>
          <w:szCs w:val="28"/>
          <w:lang w:val="en-US"/>
        </w:rPr>
        <w:t xml:space="preserve">      </w:t>
      </w:r>
      <w:r w:rsidRPr="18DEC196" w:rsidR="604D3CC8">
        <w:rPr>
          <w:rFonts w:ascii="Aptos" w:hAnsi="Aptos" w:eastAsia="Aptos" w:cs="Aptos"/>
          <w:b w:val="1"/>
          <w:bCs w:val="1"/>
          <w:noProof w:val="0"/>
          <w:sz w:val="28"/>
          <w:szCs w:val="28"/>
          <w:lang w:val="en-US"/>
        </w:rPr>
        <w:t xml:space="preserve">   </w:t>
      </w:r>
      <w:r w:rsidRPr="18DEC196" w:rsidR="604D3CC8">
        <w:rPr>
          <w:rFonts w:ascii="Aptos" w:hAnsi="Aptos" w:eastAsia="Aptos" w:cs="Aptos"/>
          <w:b w:val="1"/>
          <w:bCs w:val="1"/>
          <w:noProof w:val="0"/>
          <w:sz w:val="28"/>
          <w:szCs w:val="28"/>
          <w:lang w:val="en-US"/>
        </w:rPr>
        <w:t xml:space="preserve">  </w:t>
      </w:r>
      <w:r w:rsidRPr="18DEC196" w:rsidR="0FB57D25">
        <w:rPr>
          <w:rFonts w:ascii="Aptos" w:hAnsi="Aptos" w:eastAsia="Aptos" w:cs="Aptos"/>
          <w:b w:val="1"/>
          <w:bCs w:val="1"/>
          <w:noProof w:val="0"/>
          <w:sz w:val="28"/>
          <w:szCs w:val="28"/>
          <w:lang w:val="en-US"/>
        </w:rPr>
        <w:t xml:space="preserve"> </w:t>
      </w:r>
      <w:r w:rsidRPr="18DEC196" w:rsidR="05DBBB14">
        <w:rPr>
          <w:rFonts w:ascii="Aptos" w:hAnsi="Aptos" w:eastAsia="Aptos" w:cs="Aptos"/>
          <w:b w:val="1"/>
          <w:bCs w:val="1"/>
          <w:noProof w:val="0"/>
          <w:sz w:val="28"/>
          <w:szCs w:val="28"/>
          <w:lang w:val="en-US"/>
        </w:rPr>
        <w:t xml:space="preserve">                                                                                             </w:t>
      </w:r>
      <w:r w:rsidRPr="18DEC196" w:rsidR="0FB57D25">
        <w:rPr>
          <w:rFonts w:ascii="Aptos" w:hAnsi="Aptos" w:eastAsia="Aptos" w:cs="Aptos"/>
          <w:b w:val="1"/>
          <w:bCs w:val="1"/>
          <w:noProof w:val="0"/>
          <w:sz w:val="28"/>
          <w:szCs w:val="28"/>
          <w:lang w:val="en-US"/>
        </w:rPr>
        <w:t xml:space="preserve">        </w:t>
      </w:r>
      <w:r w:rsidRPr="18DEC196" w:rsidR="0FB57D25">
        <w:rPr>
          <w:rFonts w:ascii="Aptos" w:hAnsi="Aptos" w:eastAsia="Aptos" w:cs="Aptos"/>
          <w:b w:val="1"/>
          <w:bCs w:val="1"/>
          <w:noProof w:val="0"/>
          <w:sz w:val="28"/>
          <w:szCs w:val="28"/>
          <w:lang w:val="en-US"/>
        </w:rPr>
        <w:t xml:space="preserve">                                        </w:t>
      </w:r>
    </w:p>
    <w:p w:rsidR="44A30F7A" w:rsidP="44A30F7A" w:rsidRDefault="44A30F7A" w14:paraId="4ECFD8D1" w14:textId="389B798B">
      <w:pPr>
        <w:pStyle w:val="Normal"/>
        <w:jc w:val="right"/>
        <w:rPr>
          <w:rFonts w:ascii="Aptos" w:hAnsi="Aptos" w:eastAsia="Aptos" w:cs="Aptos"/>
          <w:b w:val="1"/>
          <w:bCs w:val="1"/>
          <w:noProof w:val="0"/>
          <w:sz w:val="28"/>
          <w:szCs w:val="28"/>
          <w:lang w:val="en-US"/>
        </w:rPr>
      </w:pPr>
    </w:p>
    <w:p xmlns:wp14="http://schemas.microsoft.com/office/word/2010/wordml" w:rsidP="4D61D2C2" wp14:paraId="28E88665" wp14:textId="7AC12FA1">
      <w:pPr>
        <w:pStyle w:val="Normal"/>
      </w:pPr>
      <w:r w:rsidRPr="37E408B1" w:rsidR="38FA621F">
        <w:rPr>
          <w:rFonts w:ascii="Aptos" w:hAnsi="Aptos" w:eastAsia="Aptos" w:cs="Aptos"/>
          <w:b w:val="1"/>
          <w:bCs w:val="1"/>
          <w:noProof w:val="0"/>
          <w:sz w:val="28"/>
          <w:szCs w:val="28"/>
          <w:lang w:val="en-US"/>
        </w:rPr>
        <w:t>Strategic Management and Sustainability</w:t>
      </w:r>
    </w:p>
    <w:p xmlns:wp14="http://schemas.microsoft.com/office/word/2010/wordml" w:rsidP="4D61D2C2" wp14:paraId="10B4E8E9" wp14:textId="1B7F7DF0">
      <w:pPr>
        <w:pStyle w:val="Normal"/>
      </w:pPr>
      <w:r w:rsidRPr="37E408B1" w:rsidR="38FA621F">
        <w:rPr>
          <w:rFonts w:ascii="Aptos" w:hAnsi="Aptos" w:eastAsia="Aptos" w:cs="Aptos"/>
          <w:b w:val="1"/>
          <w:bCs w:val="1"/>
          <w:noProof w:val="0"/>
          <w:sz w:val="28"/>
          <w:szCs w:val="28"/>
          <w:lang w:val="en-US"/>
        </w:rPr>
        <w:t>Module code</w:t>
      </w:r>
      <w:r w:rsidRPr="37E408B1" w:rsidR="38FA621F">
        <w:rPr>
          <w:rFonts w:ascii="Aptos" w:hAnsi="Aptos" w:eastAsia="Aptos" w:cs="Aptos"/>
          <w:noProof w:val="0"/>
          <w:sz w:val="28"/>
          <w:szCs w:val="28"/>
          <w:lang w:val="en-US"/>
        </w:rPr>
        <w:t>: LCBB6015</w:t>
      </w:r>
    </w:p>
    <w:p xmlns:wp14="http://schemas.microsoft.com/office/word/2010/wordml" w:rsidP="4D61D2C2" wp14:paraId="07188AE6" wp14:textId="5F459381">
      <w:pPr>
        <w:pStyle w:val="Normal"/>
        <w:rPr>
          <w:rFonts w:ascii="Aptos" w:hAnsi="Aptos" w:eastAsia="Aptos" w:cs="Aptos"/>
          <w:noProof w:val="0"/>
          <w:sz w:val="28"/>
          <w:szCs w:val="28"/>
          <w:lang w:val="en-US"/>
        </w:rPr>
      </w:pPr>
      <w:r w:rsidRPr="37E408B1" w:rsidR="38FA621F">
        <w:rPr>
          <w:rFonts w:ascii="Aptos" w:hAnsi="Aptos" w:eastAsia="Aptos" w:cs="Aptos"/>
          <w:b w:val="1"/>
          <w:bCs w:val="1"/>
          <w:noProof w:val="0"/>
          <w:sz w:val="28"/>
          <w:szCs w:val="28"/>
          <w:lang w:val="en-US"/>
        </w:rPr>
        <w:t>Module Lead/ Lecturer</w:t>
      </w:r>
      <w:r w:rsidRPr="37E408B1" w:rsidR="38FA621F">
        <w:rPr>
          <w:rFonts w:ascii="Aptos" w:hAnsi="Aptos" w:eastAsia="Aptos" w:cs="Aptos"/>
          <w:noProof w:val="0"/>
          <w:sz w:val="28"/>
          <w:szCs w:val="28"/>
          <w:lang w:val="en-US"/>
        </w:rPr>
        <w:t>: Mr. Nadeem Mirza</w:t>
      </w:r>
    </w:p>
    <w:p xmlns:wp14="http://schemas.microsoft.com/office/word/2010/wordml" w:rsidP="4D61D2C2" wp14:paraId="5A84E0F2" wp14:textId="45400DC4">
      <w:pPr>
        <w:pStyle w:val="Normal"/>
        <w:rPr>
          <w:rFonts w:ascii="Aptos" w:hAnsi="Aptos" w:eastAsia="Aptos" w:cs="Aptos"/>
          <w:noProof w:val="0"/>
          <w:sz w:val="28"/>
          <w:szCs w:val="28"/>
          <w:lang w:val="en-US"/>
        </w:rPr>
      </w:pPr>
      <w:r w:rsidRPr="4D61D2C2" w:rsidR="1C0E5F30">
        <w:rPr>
          <w:rFonts w:ascii="Aptos" w:hAnsi="Aptos" w:eastAsia="Aptos" w:cs="Aptos"/>
          <w:noProof w:val="0"/>
          <w:sz w:val="28"/>
          <w:szCs w:val="28"/>
          <w:lang w:val="en-US"/>
        </w:rPr>
        <w:t xml:space="preserve">                                                  Dr Nerys </w:t>
      </w:r>
      <w:r w:rsidRPr="4D61D2C2" w:rsidR="1C0E5F30">
        <w:rPr>
          <w:rFonts w:ascii="Aptos" w:hAnsi="Aptos" w:eastAsia="Aptos" w:cs="Aptos"/>
          <w:noProof w:val="0"/>
          <w:sz w:val="28"/>
          <w:szCs w:val="28"/>
          <w:lang w:val="en-US"/>
        </w:rPr>
        <w:t>Dosseh</w:t>
      </w:r>
    </w:p>
    <w:p xmlns:wp14="http://schemas.microsoft.com/office/word/2010/wordml" w:rsidP="4D61D2C2" wp14:paraId="1D2F3BBA" wp14:textId="29DCA752">
      <w:pPr>
        <w:pStyle w:val="Normal"/>
        <w:rPr>
          <w:rFonts w:ascii="Aptos" w:hAnsi="Aptos" w:eastAsia="Aptos" w:cs="Aptos"/>
          <w:noProof w:val="0"/>
          <w:sz w:val="28"/>
          <w:szCs w:val="28"/>
          <w:lang w:val="en-US"/>
        </w:rPr>
      </w:pPr>
      <w:r w:rsidRPr="37E408B1" w:rsidR="38FA621F">
        <w:rPr>
          <w:rFonts w:ascii="Aptos" w:hAnsi="Aptos" w:eastAsia="Aptos" w:cs="Aptos"/>
          <w:b w:val="1"/>
          <w:bCs w:val="1"/>
          <w:noProof w:val="0"/>
          <w:sz w:val="28"/>
          <w:szCs w:val="28"/>
          <w:lang w:val="en-US"/>
        </w:rPr>
        <w:t>S</w:t>
      </w:r>
      <w:r w:rsidRPr="37E408B1" w:rsidR="38FA621F">
        <w:rPr>
          <w:rFonts w:ascii="Aptos" w:hAnsi="Aptos" w:eastAsia="Aptos" w:cs="Aptos"/>
          <w:b w:val="1"/>
          <w:bCs w:val="1"/>
          <w:noProof w:val="0"/>
          <w:sz w:val="28"/>
          <w:szCs w:val="28"/>
          <w:lang w:val="en-US"/>
        </w:rPr>
        <w:t>tu</w:t>
      </w:r>
      <w:r w:rsidRPr="37E408B1" w:rsidR="38FA621F">
        <w:rPr>
          <w:rFonts w:ascii="Aptos" w:hAnsi="Aptos" w:eastAsia="Aptos" w:cs="Aptos"/>
          <w:b w:val="1"/>
          <w:bCs w:val="1"/>
          <w:noProof w:val="0"/>
          <w:sz w:val="28"/>
          <w:szCs w:val="28"/>
          <w:lang w:val="en-US"/>
        </w:rPr>
        <w:t>dent name</w:t>
      </w:r>
      <w:r w:rsidRPr="37E408B1" w:rsidR="38FA621F">
        <w:rPr>
          <w:rFonts w:ascii="Aptos" w:hAnsi="Aptos" w:eastAsia="Aptos" w:cs="Aptos"/>
          <w:noProof w:val="0"/>
          <w:sz w:val="28"/>
          <w:szCs w:val="28"/>
          <w:lang w:val="en-US"/>
        </w:rPr>
        <w:t xml:space="preserve">: Maria </w:t>
      </w:r>
      <w:r w:rsidRPr="37E408B1" w:rsidR="0325ECDD">
        <w:rPr>
          <w:rFonts w:ascii="Aptos" w:hAnsi="Aptos" w:eastAsia="Aptos" w:cs="Aptos"/>
          <w:noProof w:val="0"/>
          <w:sz w:val="28"/>
          <w:szCs w:val="28"/>
          <w:lang w:val="en-US"/>
        </w:rPr>
        <w:t>Dorin</w:t>
      </w:r>
      <w:r w:rsidRPr="37E408B1" w:rsidR="38FA621F">
        <w:rPr>
          <w:rFonts w:ascii="Aptos" w:hAnsi="Aptos" w:eastAsia="Aptos" w:cs="Aptos"/>
          <w:noProof w:val="0"/>
          <w:sz w:val="28"/>
          <w:szCs w:val="28"/>
          <w:lang w:val="en-US"/>
        </w:rPr>
        <w:t>a Matei</w:t>
      </w:r>
    </w:p>
    <w:p xmlns:wp14="http://schemas.microsoft.com/office/word/2010/wordml" w:rsidP="44A30F7A" wp14:paraId="3C280963" wp14:textId="25CF0DFE">
      <w:pPr>
        <w:pStyle w:val="Normal"/>
        <w:rPr>
          <w:rFonts w:ascii="Aptos" w:hAnsi="Aptos" w:eastAsia="Aptos" w:cs="Aptos"/>
          <w:noProof w:val="0"/>
          <w:sz w:val="28"/>
          <w:szCs w:val="28"/>
          <w:lang w:val="en-US"/>
        </w:rPr>
      </w:pPr>
      <w:r w:rsidRPr="44A30F7A" w:rsidR="56EF1BB9">
        <w:rPr>
          <w:rFonts w:ascii="Aptos" w:hAnsi="Aptos" w:eastAsia="Aptos" w:cs="Aptos"/>
          <w:b w:val="1"/>
          <w:bCs w:val="1"/>
          <w:noProof w:val="0"/>
          <w:sz w:val="28"/>
          <w:szCs w:val="28"/>
          <w:lang w:val="en-US"/>
        </w:rPr>
        <w:t>Student number</w:t>
      </w:r>
      <w:r w:rsidRPr="44A30F7A" w:rsidR="02EA4BF6">
        <w:rPr>
          <w:rFonts w:ascii="Aptos" w:hAnsi="Aptos" w:eastAsia="Aptos" w:cs="Aptos"/>
          <w:b w:val="1"/>
          <w:bCs w:val="1"/>
          <w:noProof w:val="0"/>
          <w:sz w:val="28"/>
          <w:szCs w:val="28"/>
          <w:lang w:val="en-US"/>
        </w:rPr>
        <w:t xml:space="preserve">: </w:t>
      </w:r>
      <w:r w:rsidRPr="44A30F7A" w:rsidR="02EA4BF6">
        <w:rPr>
          <w:rFonts w:ascii="Aptos" w:hAnsi="Aptos" w:eastAsia="Aptos" w:cs="Aptos"/>
          <w:noProof w:val="0"/>
          <w:sz w:val="28"/>
          <w:szCs w:val="28"/>
          <w:lang w:val="en-US"/>
        </w:rPr>
        <w:t>2315746</w:t>
      </w:r>
    </w:p>
    <w:p xmlns:wp14="http://schemas.microsoft.com/office/word/2010/wordml" w:rsidP="4D61D2C2" wp14:paraId="01F326C5" wp14:textId="230D64CA">
      <w:pPr>
        <w:pStyle w:val="Normal"/>
      </w:pPr>
      <w:r w:rsidRPr="44A30F7A" w:rsidR="1C0E5F30">
        <w:rPr>
          <w:rFonts w:ascii="Aptos" w:hAnsi="Aptos" w:eastAsia="Aptos" w:cs="Aptos"/>
          <w:noProof w:val="0"/>
          <w:sz w:val="28"/>
          <w:szCs w:val="28"/>
          <w:lang w:val="en-US"/>
        </w:rPr>
        <w:t xml:space="preserve"> Coursework: Written Report</w:t>
      </w:r>
    </w:p>
    <w:p w:rsidR="44A30F7A" w:rsidP="44A30F7A" w:rsidRDefault="44A30F7A" w14:paraId="7E655DD0" w14:textId="3F4479AD">
      <w:pPr>
        <w:pStyle w:val="Normal"/>
        <w:rPr>
          <w:rFonts w:ascii="Aptos" w:hAnsi="Aptos" w:eastAsia="Aptos" w:cs="Aptos"/>
          <w:noProof w:val="0"/>
          <w:sz w:val="28"/>
          <w:szCs w:val="28"/>
          <w:lang w:val="en-US"/>
        </w:rPr>
      </w:pPr>
    </w:p>
    <w:p xmlns:wp14="http://schemas.microsoft.com/office/word/2010/wordml" w:rsidP="719B05B9" wp14:paraId="1E88ABAA" wp14:textId="13711DFB">
      <w:pPr>
        <w:pStyle w:val="ListParagraph"/>
        <w:numPr>
          <w:ilvl w:val="0"/>
          <w:numId w:val="2"/>
        </w:numPr>
        <w:rPr>
          <w:rFonts w:ascii="Arial" w:hAnsi="Arial" w:eastAsia="Arial" w:cs="Arial"/>
          <w:b w:val="1"/>
          <w:bCs w:val="1"/>
          <w:i w:val="0"/>
          <w:iCs w:val="0"/>
          <w:caps w:val="0"/>
          <w:smallCaps w:val="0"/>
          <w:noProof w:val="0"/>
          <w:color w:val="000000" w:themeColor="text1" w:themeTint="FF" w:themeShade="FF"/>
          <w:sz w:val="28"/>
          <w:szCs w:val="28"/>
          <w:lang w:val="en-US"/>
        </w:rPr>
      </w:pPr>
      <w:r w:rsidRPr="719B05B9" w:rsidR="3841C518">
        <w:rPr>
          <w:rFonts w:ascii="Aptos" w:hAnsi="Aptos" w:eastAsia="Aptos" w:cs="Aptos"/>
          <w:b w:val="1"/>
          <w:bCs w:val="1"/>
          <w:noProof w:val="0"/>
          <w:sz w:val="28"/>
          <w:szCs w:val="28"/>
          <w:lang w:val="en-US"/>
        </w:rPr>
        <w:t xml:space="preserve"> Introduction</w:t>
      </w:r>
    </w:p>
    <w:p xmlns:wp14="http://schemas.microsoft.com/office/word/2010/wordml" w:rsidP="719B05B9" wp14:paraId="153634D9" wp14:textId="2509DE19">
      <w:pPr>
        <w:pStyle w:val="ListParagraph"/>
        <w:numPr>
          <w:ilvl w:val="0"/>
          <w:numId w:val="2"/>
        </w:numPr>
        <w:rPr>
          <w:rFonts w:ascii="Arial" w:hAnsi="Arial" w:eastAsia="Arial" w:cs="Arial"/>
          <w:b w:val="1"/>
          <w:bCs w:val="1"/>
          <w:i w:val="0"/>
          <w:iCs w:val="0"/>
          <w:caps w:val="0"/>
          <w:smallCaps w:val="0"/>
          <w:noProof w:val="0"/>
          <w:color w:val="000000" w:themeColor="text1" w:themeTint="FF" w:themeShade="FF"/>
          <w:sz w:val="28"/>
          <w:szCs w:val="28"/>
          <w:lang w:val="en-US"/>
        </w:rPr>
      </w:pPr>
      <w:r w:rsidRPr="719B05B9" w:rsidR="673A24DA">
        <w:rPr>
          <w:rFonts w:ascii="Arial" w:hAnsi="Arial" w:eastAsia="Arial" w:cs="Arial"/>
          <w:b w:val="1"/>
          <w:bCs w:val="1"/>
          <w:i w:val="0"/>
          <w:iCs w:val="0"/>
          <w:caps w:val="0"/>
          <w:smallCaps w:val="0"/>
          <w:noProof w:val="0"/>
          <w:color w:val="000000" w:themeColor="text1" w:themeTint="FF" w:themeShade="FF"/>
          <w:sz w:val="28"/>
          <w:szCs w:val="28"/>
          <w:lang w:val="en-GB"/>
        </w:rPr>
        <w:t>Executive Summary</w:t>
      </w:r>
    </w:p>
    <w:p xmlns:wp14="http://schemas.microsoft.com/office/word/2010/wordml" w:rsidP="719B05B9" wp14:paraId="1689CC87" wp14:textId="4BBF1940">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19B05B9" w:rsidR="673A24DA">
        <w:rPr>
          <w:rFonts w:ascii="Arial" w:hAnsi="Arial" w:eastAsia="Arial" w:cs="Arial"/>
          <w:b w:val="0"/>
          <w:bCs w:val="0"/>
          <w:i w:val="0"/>
          <w:iCs w:val="0"/>
          <w:caps w:val="0"/>
          <w:smallCaps w:val="0"/>
          <w:noProof w:val="0"/>
          <w:color w:val="000000" w:themeColor="text1" w:themeTint="FF" w:themeShade="FF"/>
          <w:sz w:val="24"/>
          <w:szCs w:val="24"/>
          <w:lang w:val="en-GB"/>
        </w:rPr>
        <w:t xml:space="preserve">This report presents a strategic analysis of Aston Martin Lagonda Global Holdings PLC in the United Kingdom automotive industry. Environment analysis has evaluated the external and internal environment which influences the strategic position of the organisation. Here PESTLE analysis and Porter’s Five Forces are used to analyse the external environment in a bid to assess the macro-environmental conditions, and competitiveness in the industry. Using Value Chain analysis, the resource-based view, and the VRIO framework, internal capabilities are evaluated, resource-based view and the VRIO framework are used to </w:t>
      </w:r>
      <w:r w:rsidRPr="719B05B9" w:rsidR="673A24DA">
        <w:rPr>
          <w:rFonts w:ascii="Arial" w:hAnsi="Arial" w:eastAsia="Arial" w:cs="Arial"/>
          <w:b w:val="0"/>
          <w:bCs w:val="0"/>
          <w:i w:val="0"/>
          <w:iCs w:val="0"/>
          <w:caps w:val="0"/>
          <w:smallCaps w:val="0"/>
          <w:noProof w:val="0"/>
          <w:color w:val="000000" w:themeColor="text1" w:themeTint="FF" w:themeShade="FF"/>
          <w:sz w:val="24"/>
          <w:szCs w:val="24"/>
          <w:lang w:val="en-GB"/>
        </w:rPr>
        <w:t>identify</w:t>
      </w:r>
      <w:r w:rsidRPr="719B05B9" w:rsidR="673A24DA">
        <w:rPr>
          <w:rFonts w:ascii="Arial" w:hAnsi="Arial" w:eastAsia="Arial" w:cs="Arial"/>
          <w:b w:val="0"/>
          <w:bCs w:val="0"/>
          <w:i w:val="0"/>
          <w:iCs w:val="0"/>
          <w:caps w:val="0"/>
          <w:smallCaps w:val="0"/>
          <w:noProof w:val="0"/>
          <w:color w:val="000000" w:themeColor="text1" w:themeTint="FF" w:themeShade="FF"/>
          <w:sz w:val="24"/>
          <w:szCs w:val="24"/>
          <w:lang w:val="en-GB"/>
        </w:rPr>
        <w:t xml:space="preserve"> sources of competitive advantage by </w:t>
      </w:r>
      <w:r w:rsidRPr="719B05B9" w:rsidR="66F39CE0">
        <w:rPr>
          <w:rFonts w:ascii="Arial" w:hAnsi="Arial" w:eastAsia="Arial" w:cs="Arial"/>
          <w:b w:val="0"/>
          <w:bCs w:val="0"/>
          <w:i w:val="0"/>
          <w:iCs w:val="0"/>
          <w:caps w:val="0"/>
          <w:smallCaps w:val="0"/>
          <w:noProof w:val="0"/>
          <w:color w:val="000000" w:themeColor="text1" w:themeTint="FF" w:themeShade="FF"/>
          <w:sz w:val="24"/>
          <w:szCs w:val="24"/>
          <w:lang w:val="en-GB"/>
        </w:rPr>
        <w:t>analysing</w:t>
      </w:r>
      <w:r w:rsidRPr="719B05B9" w:rsidR="673A24DA">
        <w:rPr>
          <w:rFonts w:ascii="Arial" w:hAnsi="Arial" w:eastAsia="Arial" w:cs="Arial"/>
          <w:b w:val="0"/>
          <w:bCs w:val="0"/>
          <w:i w:val="0"/>
          <w:iCs w:val="0"/>
          <w:caps w:val="0"/>
          <w:smallCaps w:val="0"/>
          <w:noProof w:val="0"/>
          <w:color w:val="000000" w:themeColor="text1" w:themeTint="FF" w:themeShade="FF"/>
          <w:sz w:val="24"/>
          <w:szCs w:val="24"/>
          <w:lang w:val="en-GB"/>
        </w:rPr>
        <w:t xml:space="preserve"> internal capabilities. SWOT analysis is synthesised </w:t>
      </w:r>
      <w:r w:rsidRPr="719B05B9" w:rsidR="61E0C36C">
        <w:rPr>
          <w:rFonts w:ascii="Arial" w:hAnsi="Arial" w:eastAsia="Arial" w:cs="Arial"/>
          <w:b w:val="0"/>
          <w:bCs w:val="0"/>
          <w:i w:val="0"/>
          <w:iCs w:val="0"/>
          <w:caps w:val="0"/>
          <w:smallCaps w:val="0"/>
          <w:noProof w:val="0"/>
          <w:color w:val="000000" w:themeColor="text1" w:themeTint="FF" w:themeShade="FF"/>
          <w:sz w:val="24"/>
          <w:szCs w:val="24"/>
          <w:lang w:val="en-GB"/>
        </w:rPr>
        <w:t>to</w:t>
      </w:r>
      <w:r w:rsidRPr="719B05B9" w:rsidR="673A24DA">
        <w:rPr>
          <w:rFonts w:ascii="Arial" w:hAnsi="Arial" w:eastAsia="Arial" w:cs="Arial"/>
          <w:b w:val="0"/>
          <w:bCs w:val="0"/>
          <w:i w:val="0"/>
          <w:iCs w:val="0"/>
          <w:caps w:val="0"/>
          <w:smallCaps w:val="0"/>
          <w:noProof w:val="0"/>
          <w:color w:val="000000" w:themeColor="text1" w:themeTint="FF" w:themeShade="FF"/>
          <w:sz w:val="24"/>
          <w:szCs w:val="24"/>
          <w:lang w:val="en-GB"/>
        </w:rPr>
        <w:t xml:space="preserve"> reveal the fundamental strategic issues. </w:t>
      </w:r>
      <w:r w:rsidRPr="719B05B9" w:rsidR="5FB01017">
        <w:rPr>
          <w:rFonts w:ascii="Arial" w:hAnsi="Arial" w:eastAsia="Arial" w:cs="Arial"/>
          <w:b w:val="0"/>
          <w:bCs w:val="0"/>
          <w:i w:val="0"/>
          <w:iCs w:val="0"/>
          <w:caps w:val="0"/>
          <w:smallCaps w:val="0"/>
          <w:noProof w:val="0"/>
          <w:color w:val="000000" w:themeColor="text1" w:themeTint="FF" w:themeShade="FF"/>
          <w:sz w:val="24"/>
          <w:szCs w:val="24"/>
          <w:lang w:val="en-GB"/>
        </w:rPr>
        <w:t>Based on</w:t>
      </w:r>
      <w:r w:rsidRPr="719B05B9" w:rsidR="673A24DA">
        <w:rPr>
          <w:rFonts w:ascii="Arial" w:hAnsi="Arial" w:eastAsia="Arial" w:cs="Arial"/>
          <w:b w:val="0"/>
          <w:bCs w:val="0"/>
          <w:i w:val="0"/>
          <w:iCs w:val="0"/>
          <w:caps w:val="0"/>
          <w:smallCaps w:val="0"/>
          <w:noProof w:val="0"/>
          <w:color w:val="000000" w:themeColor="text1" w:themeTint="FF" w:themeShade="FF"/>
          <w:sz w:val="24"/>
          <w:szCs w:val="24"/>
          <w:lang w:val="en-GB"/>
        </w:rPr>
        <w:t xml:space="preserve"> the analysis, strategic recommendations are proposed to strengthen the strategic position of Aston Martin in the competitive environment and </w:t>
      </w:r>
      <w:r w:rsidRPr="719B05B9" w:rsidR="673A24DA">
        <w:rPr>
          <w:rFonts w:ascii="Arial" w:hAnsi="Arial" w:eastAsia="Arial" w:cs="Arial"/>
          <w:b w:val="0"/>
          <w:bCs w:val="0"/>
          <w:i w:val="0"/>
          <w:iCs w:val="0"/>
          <w:caps w:val="0"/>
          <w:smallCaps w:val="0"/>
          <w:noProof w:val="0"/>
          <w:color w:val="000000" w:themeColor="text1" w:themeTint="FF" w:themeShade="FF"/>
          <w:sz w:val="24"/>
          <w:szCs w:val="24"/>
          <w:lang w:val="en-GB"/>
        </w:rPr>
        <w:t>facilitate</w:t>
      </w:r>
      <w:r w:rsidRPr="719B05B9" w:rsidR="673A24DA">
        <w:rPr>
          <w:rFonts w:ascii="Arial" w:hAnsi="Arial" w:eastAsia="Arial" w:cs="Arial"/>
          <w:b w:val="0"/>
          <w:bCs w:val="0"/>
          <w:i w:val="0"/>
          <w:iCs w:val="0"/>
          <w:caps w:val="0"/>
          <w:smallCaps w:val="0"/>
          <w:noProof w:val="0"/>
          <w:color w:val="000000" w:themeColor="text1" w:themeTint="FF" w:themeShade="FF"/>
          <w:sz w:val="24"/>
          <w:szCs w:val="24"/>
          <w:lang w:val="en-GB"/>
        </w:rPr>
        <w:t xml:space="preserve"> the long-term sustainable growth.</w:t>
      </w:r>
    </w:p>
    <w:p xmlns:wp14="http://schemas.microsoft.com/office/word/2010/wordml" w:rsidP="4D61D2C2" wp14:paraId="7049199F" wp14:textId="6E92FB69">
      <w:pPr>
        <w:pStyle w:val="Normal"/>
        <w:rPr>
          <w:rFonts w:ascii="Aptos" w:hAnsi="Aptos" w:eastAsia="Aptos" w:cs="Aptos"/>
          <w:b w:val="1"/>
          <w:bCs w:val="1"/>
          <w:noProof w:val="0"/>
          <w:sz w:val="28"/>
          <w:szCs w:val="28"/>
          <w:lang w:val="en-US"/>
        </w:rPr>
      </w:pPr>
    </w:p>
    <w:p xmlns:wp14="http://schemas.microsoft.com/office/word/2010/wordml" w:rsidP="4D61D2C2" wp14:paraId="5A327F93" wp14:textId="7353C7DC">
      <w:pPr>
        <w:pStyle w:val="Normal"/>
        <w:rPr>
          <w:rFonts w:ascii="Aptos" w:hAnsi="Aptos" w:eastAsia="Aptos" w:cs="Aptos"/>
          <w:b w:val="1"/>
          <w:bCs w:val="1"/>
          <w:noProof w:val="0"/>
          <w:sz w:val="28"/>
          <w:szCs w:val="28"/>
          <w:lang w:val="en-US"/>
        </w:rPr>
      </w:pPr>
    </w:p>
    <w:p xmlns:wp14="http://schemas.microsoft.com/office/word/2010/wordml" w:rsidP="4D61D2C2" wp14:paraId="1865501B" wp14:textId="13FC7492">
      <w:pPr>
        <w:pStyle w:val="Normal"/>
      </w:pPr>
      <w:r w:rsidRPr="18DEC196" w:rsidR="3D2FF9FB">
        <w:rPr>
          <w:rFonts w:ascii="Aptos" w:hAnsi="Aptos" w:eastAsia="Aptos" w:cs="Aptos"/>
          <w:noProof w:val="0"/>
          <w:sz w:val="24"/>
          <w:szCs w:val="24"/>
          <w:lang w:val="en-US"/>
        </w:rPr>
        <w:t xml:space="preserve"> </w:t>
      </w:r>
      <w:r w:rsidRPr="18DEC196" w:rsidR="3D2FF9FB">
        <w:rPr>
          <w:rFonts w:ascii="Aptos" w:hAnsi="Aptos" w:eastAsia="Aptos" w:cs="Aptos"/>
          <w:b w:val="1"/>
          <w:bCs w:val="1"/>
          <w:noProof w:val="0"/>
          <w:sz w:val="28"/>
          <w:szCs w:val="28"/>
          <w:lang w:val="en-US"/>
        </w:rPr>
        <w:t>Strategy Analysis:</w:t>
      </w:r>
      <w:r w:rsidRPr="18DEC196" w:rsidR="3D2FF9FB">
        <w:rPr>
          <w:rFonts w:ascii="Aptos" w:hAnsi="Aptos" w:eastAsia="Aptos" w:cs="Aptos"/>
          <w:noProof w:val="0"/>
          <w:sz w:val="24"/>
          <w:szCs w:val="24"/>
          <w:lang w:val="en-US"/>
        </w:rPr>
        <w:t xml:space="preserve"> </w:t>
      </w:r>
    </w:p>
    <w:p xmlns:wp14="http://schemas.microsoft.com/office/word/2010/wordml" w:rsidP="18DEC196" wp14:paraId="3301D360" wp14:textId="74FCEE1A">
      <w:pPr>
        <w:pStyle w:val="Heading2"/>
        <w:keepNext w:val="1"/>
        <w:keepLines w:val="1"/>
        <w:numPr>
          <w:ilvl w:val="1"/>
          <w:numId w:val="3"/>
        </w:numPr>
        <w:spacing w:before="113"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r w:rsidRPr="18DEC196" w:rsidR="30A94F42">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External Environment Analysis (PESTLE) </w:t>
      </w:r>
    </w:p>
    <w:p xmlns:wp14="http://schemas.microsoft.com/office/word/2010/wordml" w:rsidP="18DEC196" wp14:paraId="0BF08080" wp14:textId="467C493B">
      <w:pPr>
        <w:pStyle w:val="Heading1"/>
        <w:keepNext w:val="1"/>
        <w:keepLines w:val="1"/>
        <w:numPr>
          <w:ilvl w:val="0"/>
          <w:numId w:val="3"/>
        </w:numPr>
        <w:spacing w:before="113"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US"/>
        </w:rPr>
      </w:pPr>
      <w:r w:rsidRPr="18DEC196" w:rsidR="30A94F42">
        <w:rPr>
          <w:rFonts w:ascii="Arial" w:hAnsi="Arial" w:eastAsia="Arial" w:cs="Arial"/>
          <w:b w:val="1"/>
          <w:bCs w:val="1"/>
          <w:i w:val="0"/>
          <w:iCs w:val="0"/>
          <w:caps w:val="0"/>
          <w:smallCaps w:val="0"/>
          <w:noProof w:val="0"/>
          <w:color w:val="000000" w:themeColor="text1" w:themeTint="FF" w:themeShade="FF"/>
          <w:sz w:val="28"/>
          <w:szCs w:val="28"/>
          <w:lang w:val="en-GB"/>
        </w:rPr>
        <w:t>Strategic Analysis</w:t>
      </w:r>
    </w:p>
    <w:p xmlns:wp14="http://schemas.microsoft.com/office/word/2010/wordml" w:rsidP="18DEC196" wp14:paraId="638F0D2A" wp14:textId="24DCD091">
      <w:pPr>
        <w:keepNext w:val="1"/>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30A94F42">
        <w:drawing>
          <wp:inline xmlns:wp14="http://schemas.microsoft.com/office/word/2010/wordprocessingDrawing" wp14:editId="11AA48B1" wp14:anchorId="60673007">
            <wp:extent cx="2495550" cy="2809875"/>
            <wp:effectExtent l="0" t="0" r="0" b="0"/>
            <wp:docPr id="1606062881" name="drawing" title="PESTLE Analysis: The Macro-Environmental Framework Explain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06062881" name="Picture 1606062881"/>
                    <pic:cNvPicPr/>
                  </pic:nvPicPr>
                  <pic:blipFill>
                    <a:blip xmlns:r="http://schemas.openxmlformats.org/officeDocument/2006/relationships" r:embed="rId322371476">
                      <a:extLst>
                        <a:ext uri="{28A0092B-C50C-407E-A947-70E740481C1C}">
                          <a14:useLocalDpi xmlns:a14="http://schemas.microsoft.com/office/drawing/2010/main"/>
                        </a:ext>
                      </a:extLst>
                    </a:blip>
                    <a:stretch>
                      <a:fillRect/>
                    </a:stretch>
                  </pic:blipFill>
                  <pic:spPr>
                    <a:xfrm>
                      <a:off x="0" y="0"/>
                      <a:ext cx="2495550" cy="2809875"/>
                    </a:xfrm>
                    <a:prstGeom prst="rect">
                      <a:avLst/>
                    </a:prstGeom>
                  </pic:spPr>
                </pic:pic>
              </a:graphicData>
            </a:graphic>
          </wp:inline>
        </w:drawing>
      </w:r>
    </w:p>
    <w:p xmlns:wp14="http://schemas.microsoft.com/office/word/2010/wordml" w:rsidP="18DEC196" wp14:paraId="1A66FF7D" wp14:textId="5A0DA546">
      <w:pPr>
        <w:spacing w:before="120" w:after="120" w:line="360" w:lineRule="auto"/>
        <w:jc w:val="center"/>
        <w:rPr>
          <w:rFonts w:ascii="Arial" w:hAnsi="Arial" w:eastAsia="Arial" w:cs="Arial"/>
          <w:b w:val="0"/>
          <w:bCs w:val="0"/>
          <w:i w:val="1"/>
          <w:iCs w:val="1"/>
          <w:caps w:val="0"/>
          <w:smallCaps w:val="0"/>
          <w:noProof w:val="0"/>
          <w:color w:val="000000" w:themeColor="text1" w:themeTint="FF" w:themeShade="FF"/>
          <w:sz w:val="24"/>
          <w:szCs w:val="24"/>
          <w:lang w:val="en-US"/>
        </w:rPr>
      </w:pPr>
      <w:r w:rsidRPr="18DEC196" w:rsidR="30A94F42">
        <w:rPr>
          <w:rFonts w:ascii="Arial" w:hAnsi="Arial" w:eastAsia="Arial" w:cs="Arial"/>
          <w:b w:val="0"/>
          <w:bCs w:val="0"/>
          <w:i w:val="1"/>
          <w:iCs w:val="1"/>
          <w:caps w:val="0"/>
          <w:smallCaps w:val="0"/>
          <w:noProof w:val="0"/>
          <w:color w:val="000000" w:themeColor="text1" w:themeTint="FF" w:themeShade="FF"/>
          <w:sz w:val="24"/>
          <w:szCs w:val="24"/>
          <w:lang w:val="en-GB"/>
        </w:rPr>
        <w:t>Figure 2: PESTLE Analysis</w:t>
      </w:r>
    </w:p>
    <w:p xmlns:wp14="http://schemas.microsoft.com/office/word/2010/wordml" w:rsidP="18DEC196" wp14:paraId="14E02B89" wp14:textId="7E671B93">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1"/>
          <w:iCs w:val="1"/>
          <w:caps w:val="0"/>
          <w:smallCaps w:val="0"/>
          <w:noProof w:val="0"/>
          <w:color w:val="000000" w:themeColor="text1" w:themeTint="FF" w:themeShade="FF"/>
          <w:sz w:val="24"/>
          <w:szCs w:val="24"/>
          <w:lang w:val="en-GB"/>
        </w:rPr>
        <w:t>Source: (Heubel, 2024)</w:t>
      </w:r>
    </w:p>
    <w:p xmlns:wp14="http://schemas.microsoft.com/office/word/2010/wordml" w:rsidP="18DEC196" wp14:paraId="2DF76CDF" wp14:textId="71A66FED">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To a great extent, the strategic orientation of Aston Martin is dictated by the external environment. PESTEL analysis helps in identifying the business activities of the company in the global luxury automotive market in regard to macro environmental forces (O’Driscoll and Barron, 2022).</w:t>
      </w:r>
    </w:p>
    <w:p xmlns:wp14="http://schemas.microsoft.com/office/word/2010/wordml" w:rsidP="18DEC196" wp14:paraId="173778A8" wp14:textId="5EDBDF2E">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1"/>
          <w:bCs w:val="1"/>
          <w:i w:val="0"/>
          <w:iCs w:val="0"/>
          <w:caps w:val="0"/>
          <w:smallCaps w:val="0"/>
          <w:noProof w:val="0"/>
          <w:color w:val="000000" w:themeColor="text1" w:themeTint="FF" w:themeShade="FF"/>
          <w:sz w:val="24"/>
          <w:szCs w:val="24"/>
          <w:lang w:val="en-GB"/>
        </w:rPr>
        <w:t>Political Factors</w:t>
      </w:r>
    </w:p>
    <w:p xmlns:wp14="http://schemas.microsoft.com/office/word/2010/wordml" w:rsidP="18DEC196" wp14:paraId="1D102613" wp14:textId="6DA4EA96">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Government-related policies relating to emission levels and the adoption of electric vehicles are increasing the influence of the automotive industry. The United Kingdom has announced it intends to prohibit the sale of new petrol and diesel vehicles by 2035 in an attempt to boost electrification by vehicle makers.</w:t>
      </w:r>
    </w:p>
    <w:p xmlns:wp14="http://schemas.microsoft.com/office/word/2010/wordml" w:rsidP="18DEC196" wp14:paraId="79FF1810" wp14:textId="241F0C9C">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1"/>
          <w:bCs w:val="1"/>
          <w:i w:val="0"/>
          <w:iCs w:val="0"/>
          <w:caps w:val="0"/>
          <w:smallCaps w:val="0"/>
          <w:noProof w:val="0"/>
          <w:color w:val="000000" w:themeColor="text1" w:themeTint="FF" w:themeShade="FF"/>
          <w:sz w:val="24"/>
          <w:szCs w:val="24"/>
          <w:lang w:val="en-GB"/>
        </w:rPr>
        <w:t>Economic Factors.</w:t>
      </w:r>
    </w:p>
    <w:p xmlns:wp14="http://schemas.microsoft.com/office/word/2010/wordml" w:rsidP="18DEC196" wp14:paraId="198990AC" wp14:textId="1C821E95">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The demand for luxury cars is very sensitive to the economic state across the world. By 2023, the luxury car industry in the world has been estimated to be over $600 billion amid economic uncertainty and it is growing as more high-net-worth individuals are discovered in the emerging economies (Guan, 2022).</w:t>
      </w:r>
    </w:p>
    <w:p xmlns:wp14="http://schemas.microsoft.com/office/word/2010/wordml" w:rsidP="18DEC196" wp14:paraId="5F162473" wp14:textId="355D26E9">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1"/>
          <w:bCs w:val="1"/>
          <w:i w:val="0"/>
          <w:iCs w:val="0"/>
          <w:caps w:val="0"/>
          <w:smallCaps w:val="0"/>
          <w:noProof w:val="0"/>
          <w:color w:val="000000" w:themeColor="text1" w:themeTint="FF" w:themeShade="FF"/>
          <w:sz w:val="24"/>
          <w:szCs w:val="24"/>
          <w:lang w:val="en-GB"/>
        </w:rPr>
        <w:t>Social Factors</w:t>
      </w:r>
    </w:p>
    <w:p xmlns:wp14="http://schemas.microsoft.com/office/word/2010/wordml" w:rsidP="18DEC196" wp14:paraId="75EE85B5" wp14:textId="3FA0A18A">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Consumer demand is shifting to technologically advanced and environmentally sustainable vehicles. Other needs of the luxury buyers are sustainability, connectivity, and personalised driving experiences.</w:t>
      </w:r>
    </w:p>
    <w:p xmlns:wp14="http://schemas.microsoft.com/office/word/2010/wordml" w:rsidP="18DEC196" wp14:paraId="7051DD42" wp14:textId="2DB1AC28">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1"/>
          <w:bCs w:val="1"/>
          <w:i w:val="0"/>
          <w:iCs w:val="0"/>
          <w:caps w:val="0"/>
          <w:smallCaps w:val="0"/>
          <w:noProof w:val="0"/>
          <w:color w:val="000000" w:themeColor="text1" w:themeTint="FF" w:themeShade="FF"/>
          <w:sz w:val="24"/>
          <w:szCs w:val="24"/>
          <w:lang w:val="en-GB"/>
        </w:rPr>
        <w:t>Technological Factors</w:t>
      </w:r>
    </w:p>
    <w:p xmlns:wp14="http://schemas.microsoft.com/office/word/2010/wordml" w:rsidP="18DEC196" wp14:paraId="3877878D" wp14:textId="6F69E6D8">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The rapid development of electric vehicle technology, autonomous driving systems and automation are transforming the process of producing automobiles and projects.</w:t>
      </w:r>
    </w:p>
    <w:p xmlns:wp14="http://schemas.microsoft.com/office/word/2010/wordml" w:rsidP="18DEC196" wp14:paraId="5EADEACD" wp14:textId="6F1B6EC3">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1"/>
          <w:bCs w:val="1"/>
          <w:i w:val="0"/>
          <w:iCs w:val="0"/>
          <w:caps w:val="0"/>
          <w:smallCaps w:val="0"/>
          <w:noProof w:val="0"/>
          <w:color w:val="000000" w:themeColor="text1" w:themeTint="FF" w:themeShade="FF"/>
          <w:sz w:val="24"/>
          <w:szCs w:val="24"/>
          <w:lang w:val="en-GB"/>
        </w:rPr>
        <w:t>Legal Factors</w:t>
      </w:r>
    </w:p>
    <w:p xmlns:wp14="http://schemas.microsoft.com/office/word/2010/wordml" w:rsidP="18DEC196" wp14:paraId="18C7916E" wp14:textId="6961D329">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The automobile manufacturers are required to observe high standards in safety and international provisions of environmental regulation of vehicle emissions.</w:t>
      </w:r>
    </w:p>
    <w:p xmlns:wp14="http://schemas.microsoft.com/office/word/2010/wordml" w:rsidP="18DEC196" wp14:paraId="1542FCF9" wp14:textId="4C0DF3DE">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1"/>
          <w:bCs w:val="1"/>
          <w:i w:val="0"/>
          <w:iCs w:val="0"/>
          <w:caps w:val="0"/>
          <w:smallCaps w:val="0"/>
          <w:noProof w:val="0"/>
          <w:color w:val="000000" w:themeColor="text1" w:themeTint="FF" w:themeShade="FF"/>
          <w:sz w:val="24"/>
          <w:szCs w:val="24"/>
          <w:lang w:val="en-GB"/>
        </w:rPr>
        <w:t>Environmental Factors</w:t>
      </w:r>
    </w:p>
    <w:p xmlns:wp14="http://schemas.microsoft.com/office/word/2010/wordml" w:rsidP="18DEC196" wp14:paraId="55B2F210" wp14:textId="0BD7370A">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The increasing concerns people have on climate change globally have forced the pressure on manufacturers to reduce the carbon emissions and invest in clean production processes.</w:t>
      </w:r>
    </w:p>
    <w:p xmlns:wp14="http://schemas.microsoft.com/office/word/2010/wordml" w:rsidP="18DEC196" wp14:paraId="16488601" wp14:textId="2C97E882">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8DEC196" wp14:paraId="53B0D298" wp14:textId="4566C7B8">
      <w:pPr>
        <w:pStyle w:val="Heading2"/>
        <w:keepNext w:val="1"/>
        <w:keepLines w:val="1"/>
        <w:numPr>
          <w:ilvl w:val="1"/>
          <w:numId w:val="3"/>
        </w:numPr>
        <w:spacing w:before="113"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r w:rsidRPr="18DEC196" w:rsidR="30A94F42">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Industry Analysis – Porter’s Five Forces </w:t>
      </w:r>
    </w:p>
    <w:p xmlns:wp14="http://schemas.microsoft.com/office/word/2010/wordml" w:rsidP="18DEC196" wp14:paraId="7D437065" wp14:textId="31789DF9">
      <w:pPr>
        <w:keepNext w:val="1"/>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30A94F42">
        <w:drawing>
          <wp:inline xmlns:wp14="http://schemas.microsoft.com/office/word/2010/wordprocessingDrawing" wp14:editId="02AD5F38" wp14:anchorId="6498707C">
            <wp:extent cx="3238500" cy="3162300"/>
            <wp:effectExtent l="0" t="0" r="0" b="0"/>
            <wp:docPr id="2400851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0085176" name="Picture 240085176"/>
                    <pic:cNvPicPr/>
                  </pic:nvPicPr>
                  <pic:blipFill>
                    <a:blip xmlns:r="http://schemas.openxmlformats.org/officeDocument/2006/relationships" r:embed="rId1378808055">
                      <a:extLst>
                        <a:ext uri="{28A0092B-C50C-407E-A947-70E740481C1C}">
                          <a14:useLocalDpi xmlns:a14="http://schemas.microsoft.com/office/drawing/2010/main"/>
                        </a:ext>
                      </a:extLst>
                    </a:blip>
                    <a:stretch>
                      <a:fillRect/>
                    </a:stretch>
                  </pic:blipFill>
                  <pic:spPr>
                    <a:xfrm>
                      <a:off x="0" y="0"/>
                      <a:ext cx="3238500" cy="3162300"/>
                    </a:xfrm>
                    <a:prstGeom prst="rect">
                      <a:avLst/>
                    </a:prstGeom>
                  </pic:spPr>
                </pic:pic>
              </a:graphicData>
            </a:graphic>
          </wp:inline>
        </w:drawing>
      </w:r>
    </w:p>
    <w:p xmlns:wp14="http://schemas.microsoft.com/office/word/2010/wordml" w:rsidP="18DEC196" wp14:paraId="6BF8271A" wp14:textId="7561BEFE">
      <w:pPr>
        <w:spacing w:before="120" w:after="120" w:line="360" w:lineRule="auto"/>
        <w:jc w:val="center"/>
        <w:rPr>
          <w:rFonts w:ascii="Arial" w:hAnsi="Arial" w:eastAsia="Arial" w:cs="Arial"/>
          <w:b w:val="0"/>
          <w:bCs w:val="0"/>
          <w:i w:val="1"/>
          <w:iCs w:val="1"/>
          <w:caps w:val="0"/>
          <w:smallCaps w:val="0"/>
          <w:noProof w:val="0"/>
          <w:color w:val="000000" w:themeColor="text1" w:themeTint="FF" w:themeShade="FF"/>
          <w:sz w:val="24"/>
          <w:szCs w:val="24"/>
          <w:lang w:val="en-US"/>
        </w:rPr>
      </w:pPr>
      <w:r w:rsidRPr="18DEC196" w:rsidR="30A94F42">
        <w:rPr>
          <w:rFonts w:ascii="Arial" w:hAnsi="Arial" w:eastAsia="Arial" w:cs="Arial"/>
          <w:b w:val="0"/>
          <w:bCs w:val="0"/>
          <w:i w:val="1"/>
          <w:iCs w:val="1"/>
          <w:caps w:val="0"/>
          <w:smallCaps w:val="0"/>
          <w:noProof w:val="0"/>
          <w:color w:val="000000" w:themeColor="text1" w:themeTint="FF" w:themeShade="FF"/>
          <w:sz w:val="24"/>
          <w:szCs w:val="24"/>
          <w:lang w:val="en-GB"/>
        </w:rPr>
        <w:t>Figure 3: Porter’s Five Forces</w:t>
      </w:r>
    </w:p>
    <w:p xmlns:wp14="http://schemas.microsoft.com/office/word/2010/wordml" w:rsidP="18DEC196" wp14:paraId="06D60B77" wp14:textId="70D867A6">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1"/>
          <w:iCs w:val="1"/>
          <w:caps w:val="0"/>
          <w:smallCaps w:val="0"/>
          <w:noProof w:val="0"/>
          <w:color w:val="000000" w:themeColor="text1" w:themeTint="FF" w:themeShade="FF"/>
          <w:sz w:val="24"/>
          <w:szCs w:val="24"/>
          <w:lang w:val="en-GB"/>
        </w:rPr>
        <w:t>Source: (Raise, 2024)</w:t>
      </w:r>
    </w:p>
    <w:p xmlns:wp14="http://schemas.microsoft.com/office/word/2010/wordml" w:rsidP="18DEC196" wp14:paraId="176631DD" wp14:textId="63B0BA45">
      <w:pPr>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The Five Forces analysis established by Porter provides an insight on the competitive environment of the high-end automotive industry in which Aston Martin fits. The model reveals the strength of the rivalry and structural forces that affect the strategic decisions of the company (Chou, Hung and Lu, 2021).</w:t>
      </w:r>
    </w:p>
    <w:p xmlns:wp14="http://schemas.microsoft.com/office/word/2010/wordml" w:rsidP="18DEC196" wp14:paraId="278A8476" wp14:textId="6D7DC679">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1"/>
          <w:bCs w:val="1"/>
          <w:i w:val="0"/>
          <w:iCs w:val="0"/>
          <w:caps w:val="0"/>
          <w:smallCaps w:val="0"/>
          <w:noProof w:val="0"/>
          <w:color w:val="000000" w:themeColor="text1" w:themeTint="FF" w:themeShade="FF"/>
          <w:sz w:val="24"/>
          <w:szCs w:val="24"/>
          <w:lang w:val="en-GB"/>
        </w:rPr>
        <w:t>Competitive Rivalry</w:t>
      </w:r>
    </w:p>
    <w:p xmlns:wp14="http://schemas.microsoft.com/office/word/2010/wordml" w:rsidP="18DEC196" wp14:paraId="2562AF97" wp14:textId="3C7BA5FB">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The competition in the luxury performance car market is very rigorous. Aston Martin is a rival company to other luxury brands, Ferrari, Lamborghini, Porsche and Bentley. It is clear that the primary competitiveness of such companies relies on the product innovation, product performance engineering, and the prestige of the brands as a type of luxury. Ferrari, one of them, sold some over 13000 vehicles to different countries in 2023 and this is an example of outstanding performance in the bubble of ultra-luxury (Jiang, 2025). This kind of stiff competition compels Aston Martin to innovate at all times in an attempt to remain competitive.</w:t>
      </w:r>
    </w:p>
    <w:p xmlns:wp14="http://schemas.microsoft.com/office/word/2010/wordml" w:rsidP="18DEC196" wp14:paraId="759BCC36" wp14:textId="1A3471D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1"/>
          <w:bCs w:val="1"/>
          <w:i w:val="0"/>
          <w:iCs w:val="0"/>
          <w:caps w:val="0"/>
          <w:smallCaps w:val="0"/>
          <w:noProof w:val="0"/>
          <w:color w:val="000000" w:themeColor="text1" w:themeTint="FF" w:themeShade="FF"/>
          <w:sz w:val="24"/>
          <w:szCs w:val="24"/>
          <w:lang w:val="en-GB"/>
        </w:rPr>
        <w:t xml:space="preserve">Threat of New Entrants </w:t>
      </w:r>
    </w:p>
    <w:p xmlns:wp14="http://schemas.microsoft.com/office/word/2010/wordml" w:rsidP="18DEC196" wp14:paraId="5A5457E9" wp14:textId="44F38DAD">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The threat of new entrants is low due to high entry barriers. The development of an automotive brand within luxury category is a capital-intensive process and is a complex process that entails highly developed engineering supply, a long chain of distribution and a good brand image in the global market. These barriers keep potential entrants away such as Aston Martin that is already a player in the game.</w:t>
      </w:r>
    </w:p>
    <w:p xmlns:wp14="http://schemas.microsoft.com/office/word/2010/wordml" w:rsidP="18DEC196" wp14:paraId="34F03B55" wp14:textId="5AFFB14F">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1"/>
          <w:bCs w:val="1"/>
          <w:i w:val="0"/>
          <w:iCs w:val="0"/>
          <w:caps w:val="0"/>
          <w:smallCaps w:val="0"/>
          <w:noProof w:val="0"/>
          <w:color w:val="000000" w:themeColor="text1" w:themeTint="FF" w:themeShade="FF"/>
          <w:sz w:val="24"/>
          <w:szCs w:val="24"/>
          <w:lang w:val="en-GB"/>
        </w:rPr>
        <w:t xml:space="preserve">Bargaining Power of Buyers </w:t>
      </w:r>
    </w:p>
    <w:p xmlns:wp14="http://schemas.microsoft.com/office/word/2010/wordml" w:rsidP="18DEC196" wp14:paraId="01CE4910" wp14:textId="1F77975F">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The power of the luxury automotive market consumers is huge as they demand high quality, exclusiveness and technological superiority. A luxury buyer is also more likely to make comparisons with multiple luxury companies’ thus increasing competitive pressure on firms to differentiate their products (Oica.net, 2023).</w:t>
      </w:r>
    </w:p>
    <w:p xmlns:wp14="http://schemas.microsoft.com/office/word/2010/wordml" w:rsidP="18DEC196" wp14:paraId="118317CA" wp14:textId="589E509B">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1"/>
          <w:bCs w:val="1"/>
          <w:i w:val="0"/>
          <w:iCs w:val="0"/>
          <w:caps w:val="0"/>
          <w:smallCaps w:val="0"/>
          <w:noProof w:val="0"/>
          <w:color w:val="000000" w:themeColor="text1" w:themeTint="FF" w:themeShade="FF"/>
          <w:sz w:val="24"/>
          <w:szCs w:val="24"/>
          <w:lang w:val="en-GB"/>
        </w:rPr>
        <w:t>Supplier Bargaining Power</w:t>
      </w:r>
    </w:p>
    <w:p xmlns:wp14="http://schemas.microsoft.com/office/word/2010/wordml" w:rsidP="18DEC196" wp14:paraId="661A1CCF" wp14:textId="14E34442">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The specialised components suppliers also have moderate bargaining power as they are suppliers of high-performance engines or luxury materials and high-technology electronics (VETTORETTO, 2025). Technologically advanced suppliers are necessary to ensure products remain competitive during the quality and innovation aspects of the automotive industries.</w:t>
      </w:r>
    </w:p>
    <w:p xmlns:wp14="http://schemas.microsoft.com/office/word/2010/wordml" w:rsidP="18DEC196" wp14:paraId="12704BF9" wp14:textId="52A37BAE">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1"/>
          <w:bCs w:val="1"/>
          <w:i w:val="0"/>
          <w:iCs w:val="0"/>
          <w:caps w:val="0"/>
          <w:smallCaps w:val="0"/>
          <w:noProof w:val="0"/>
          <w:color w:val="000000" w:themeColor="text1" w:themeTint="FF" w:themeShade="FF"/>
          <w:sz w:val="24"/>
          <w:szCs w:val="24"/>
          <w:lang w:val="en-GB"/>
        </w:rPr>
        <w:t>Threat of Substitutes</w:t>
      </w:r>
    </w:p>
    <w:p xmlns:wp14="http://schemas.microsoft.com/office/word/2010/wordml" w:rsidP="18DEC196" wp14:paraId="652A2F62" wp14:textId="783D149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The threats of substitutes are moderate. Luxury automobiles may also be substituted by other luxury lifestyle products or services like yacht, luxury travel or any other high-performance cars, which can be purchased by wealthy consumers.</w:t>
      </w:r>
    </w:p>
    <w:p xmlns:wp14="http://schemas.microsoft.com/office/word/2010/wordml" w:rsidP="18DEC196" wp14:paraId="55635AE9" wp14:textId="70556F6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8DEC196" wp14:paraId="7786A040" wp14:textId="20BD1467">
      <w:pPr>
        <w:pStyle w:val="Heading2"/>
        <w:keepNext w:val="1"/>
        <w:keepLines w:val="1"/>
        <w:numPr>
          <w:ilvl w:val="1"/>
          <w:numId w:val="3"/>
        </w:numPr>
        <w:spacing w:before="113"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r w:rsidRPr="18DEC196" w:rsidR="30A94F42">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Internal Environment Analysis</w:t>
      </w:r>
      <w:r w:rsidRPr="18DEC196" w:rsidR="30A94F4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 </w:t>
      </w:r>
      <w:r w:rsidRPr="18DEC196" w:rsidR="30A94F42">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(Value Chain)</w:t>
      </w:r>
    </w:p>
    <w:p xmlns:wp14="http://schemas.microsoft.com/office/word/2010/wordml" w:rsidP="18DEC196" wp14:paraId="6C203450" wp14:textId="51DFE41E">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The Value Chain analysis helps in the evaluation of how Aston Martin is creating value due to its internal operations and things it does to achieve the competitive advantage in the luxury automotive industry.</w:t>
      </w:r>
    </w:p>
    <w:p xmlns:wp14="http://schemas.microsoft.com/office/word/2010/wordml" w:rsidP="18DEC196" wp14:paraId="104D04B4" wp14:textId="672F20F8">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1"/>
          <w:bCs w:val="1"/>
          <w:i w:val="0"/>
          <w:iCs w:val="0"/>
          <w:caps w:val="0"/>
          <w:smallCaps w:val="0"/>
          <w:noProof w:val="0"/>
          <w:color w:val="000000" w:themeColor="text1" w:themeTint="FF" w:themeShade="FF"/>
          <w:sz w:val="24"/>
          <w:szCs w:val="24"/>
          <w:lang w:val="en-GB"/>
        </w:rPr>
        <w:t>Primary Activities</w:t>
      </w:r>
    </w:p>
    <w:p xmlns:wp14="http://schemas.microsoft.com/office/word/2010/wordml" w:rsidP="18DEC196" wp14:paraId="78E910CF" wp14:textId="59BA21EB">
      <w:pPr>
        <w:pStyle w:val="ListParagraph"/>
        <w:numPr>
          <w:ilvl w:val="0"/>
          <w:numId w:val="4"/>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1"/>
          <w:bCs w:val="1"/>
          <w:i w:val="0"/>
          <w:iCs w:val="0"/>
          <w:caps w:val="0"/>
          <w:smallCaps w:val="0"/>
          <w:noProof w:val="0"/>
          <w:color w:val="000000" w:themeColor="text1" w:themeTint="FF" w:themeShade="FF"/>
          <w:sz w:val="24"/>
          <w:szCs w:val="24"/>
          <w:lang w:val="en-GB"/>
        </w:rPr>
        <w:t>Products Engineering and Design</w:t>
      </w:r>
    </w:p>
    <w:p xmlns:wp14="http://schemas.microsoft.com/office/word/2010/wordml" w:rsidP="18DEC196" wp14:paraId="00A3677D" wp14:textId="5C6D136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Aston Martin has built a reputation as far as the design of its vehicles and the high degree of engineering it can perform. The firm possesses a strong capability of research and development to ensure that the company is at an elevated performance level and luxury craftsmanship of the various models such as the Vantage, DB series and DBX (Johnson, 2021).</w:t>
      </w:r>
    </w:p>
    <w:p xmlns:wp14="http://schemas.microsoft.com/office/word/2010/wordml" w:rsidP="18DEC196" wp14:paraId="6E4C50AB" wp14:textId="12B69874">
      <w:pPr>
        <w:pStyle w:val="ListParagraph"/>
        <w:numPr>
          <w:ilvl w:val="0"/>
          <w:numId w:val="4"/>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1"/>
          <w:bCs w:val="1"/>
          <w:i w:val="0"/>
          <w:iCs w:val="0"/>
          <w:caps w:val="0"/>
          <w:smallCaps w:val="0"/>
          <w:noProof w:val="0"/>
          <w:color w:val="000000" w:themeColor="text1" w:themeTint="FF" w:themeShade="FF"/>
          <w:sz w:val="24"/>
          <w:szCs w:val="24"/>
          <w:lang w:val="en-GB"/>
        </w:rPr>
        <w:t>Manufacturing Operations</w:t>
      </w:r>
    </w:p>
    <w:p xmlns:wp14="http://schemas.microsoft.com/office/word/2010/wordml" w:rsidP="18DEC196" wp14:paraId="169F86C9" wp14:textId="427FC16F">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The company also manufactures cars at the main plants in Gaydon, England as well as DBX luxury SUV which is manufactured in St Athan plant in Wales. These plants help in production of vehicles of high-precision manufacturing.</w:t>
      </w:r>
    </w:p>
    <w:p xmlns:wp14="http://schemas.microsoft.com/office/word/2010/wordml" w:rsidP="18DEC196" wp14:paraId="248F9639" wp14:textId="6C8B5EFB">
      <w:pPr>
        <w:pStyle w:val="ListParagraph"/>
        <w:numPr>
          <w:ilvl w:val="0"/>
          <w:numId w:val="4"/>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1"/>
          <w:bCs w:val="1"/>
          <w:i w:val="0"/>
          <w:iCs w:val="0"/>
          <w:caps w:val="0"/>
          <w:smallCaps w:val="0"/>
          <w:noProof w:val="0"/>
          <w:color w:val="000000" w:themeColor="text1" w:themeTint="FF" w:themeShade="FF"/>
          <w:sz w:val="24"/>
          <w:szCs w:val="24"/>
          <w:lang w:val="en-GB"/>
        </w:rPr>
        <w:t>Brand Positioning and Marketing</w:t>
      </w:r>
    </w:p>
    <w:p xmlns:wp14="http://schemas.microsoft.com/office/word/2010/wordml" w:rsidP="18DEC196" wp14:paraId="17A3580C" wp14:textId="5A1A1212">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Aston Martin brand is a brand that has a close connection with the luxurious image of exclusivity, and British traditions. Excellence, performance and prestige marketing strategies are strategic and offer robustness to the worldwide brand recognition.</w:t>
      </w:r>
    </w:p>
    <w:p xmlns:wp14="http://schemas.microsoft.com/office/word/2010/wordml" w:rsidP="18DEC196" wp14:paraId="0A7560E3" wp14:textId="1346E53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1"/>
          <w:bCs w:val="1"/>
          <w:i w:val="0"/>
          <w:iCs w:val="0"/>
          <w:caps w:val="0"/>
          <w:smallCaps w:val="0"/>
          <w:noProof w:val="0"/>
          <w:color w:val="000000" w:themeColor="text1" w:themeTint="FF" w:themeShade="FF"/>
          <w:sz w:val="24"/>
          <w:szCs w:val="24"/>
          <w:lang w:val="en-GB"/>
        </w:rPr>
        <w:t>Support Activities</w:t>
      </w:r>
    </w:p>
    <w:p xmlns:wp14="http://schemas.microsoft.com/office/word/2010/wordml" w:rsidP="18DEC196" wp14:paraId="59B5D2AA" wp14:textId="5BDE598C">
      <w:pPr>
        <w:pStyle w:val="ListParagraph"/>
        <w:numPr>
          <w:ilvl w:val="0"/>
          <w:numId w:val="4"/>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1"/>
          <w:bCs w:val="1"/>
          <w:i w:val="0"/>
          <w:iCs w:val="0"/>
          <w:caps w:val="0"/>
          <w:smallCaps w:val="0"/>
          <w:noProof w:val="0"/>
          <w:color w:val="000000" w:themeColor="text1" w:themeTint="FF" w:themeShade="FF"/>
          <w:sz w:val="24"/>
          <w:szCs w:val="24"/>
          <w:lang w:val="en-GB"/>
        </w:rPr>
        <w:t>Technology Development</w:t>
      </w:r>
    </w:p>
    <w:p xmlns:wp14="http://schemas.microsoft.com/office/word/2010/wordml" w:rsidP="18DEC196" wp14:paraId="42F9E3CF" wp14:textId="580C5F6F">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It is also technological development that is at the centre of maintaining the products as competitive particularly through the application of electrification and digital vehicles.</w:t>
      </w:r>
    </w:p>
    <w:p xmlns:wp14="http://schemas.microsoft.com/office/word/2010/wordml" w:rsidP="18DEC196" wp14:paraId="4B300546" wp14:textId="590791D7">
      <w:pPr>
        <w:pStyle w:val="ListParagraph"/>
        <w:numPr>
          <w:ilvl w:val="0"/>
          <w:numId w:val="4"/>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1"/>
          <w:bCs w:val="1"/>
          <w:i w:val="0"/>
          <w:iCs w:val="0"/>
          <w:caps w:val="0"/>
          <w:smallCaps w:val="0"/>
          <w:noProof w:val="0"/>
          <w:color w:val="000000" w:themeColor="text1" w:themeTint="FF" w:themeShade="FF"/>
          <w:sz w:val="24"/>
          <w:szCs w:val="24"/>
          <w:lang w:val="en-GB"/>
        </w:rPr>
        <w:t>Human Resources and Infrastructure</w:t>
      </w:r>
    </w:p>
    <w:p xmlns:wp14="http://schemas.microsoft.com/office/word/2010/wordml" w:rsidP="18DEC196" wp14:paraId="4331133F" wp14:textId="63E64A6A">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The working capabilities of both Aston Martin and the strategic performance of the firm in the long term are experiences that are transferred to the experience of the engineers, designers and specialised production capabilities.</w:t>
      </w:r>
    </w:p>
    <w:p xmlns:wp14="http://schemas.microsoft.com/office/word/2010/wordml" w:rsidP="18DEC196" wp14:paraId="5C911AA5" wp14:textId="7A64DF6F">
      <w:pPr>
        <w:pStyle w:val="Heading2"/>
        <w:keepNext w:val="1"/>
        <w:keepLines w:val="1"/>
        <w:numPr>
          <w:ilvl w:val="1"/>
          <w:numId w:val="3"/>
        </w:numPr>
        <w:spacing w:before="113"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pPr>
      <w:r w:rsidRPr="18DEC196" w:rsidR="30A94F42">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Resource Based View and VRIO Analysis </w:t>
      </w:r>
    </w:p>
    <w:p xmlns:wp14="http://schemas.microsoft.com/office/word/2010/wordml" w:rsidP="18DEC196" wp14:paraId="0AE5E216" wp14:textId="34E8144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Resource-Based View (RBV) indicates that the sustainable competitive advantage has a foundation on organisational resources and capabilities of an organisation that can hardly be duplicated by the rivals. Aston Martin possesses that also possesses several strategic resources with the aid of which it stands in its position as a competitive participant of the luxury automobile market.</w:t>
      </w:r>
    </w:p>
    <w:p xmlns:wp14="http://schemas.microsoft.com/office/word/2010/wordml" w:rsidP="18DEC196" wp14:paraId="0A113998" wp14:textId="2B47DD03">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1"/>
          <w:bCs w:val="1"/>
          <w:i w:val="0"/>
          <w:iCs w:val="0"/>
          <w:caps w:val="0"/>
          <w:smallCaps w:val="0"/>
          <w:noProof w:val="0"/>
          <w:color w:val="000000" w:themeColor="text1" w:themeTint="FF" w:themeShade="FF"/>
          <w:sz w:val="24"/>
          <w:szCs w:val="24"/>
          <w:lang w:val="en-GB"/>
        </w:rPr>
        <w:t>Key Strategic Resources</w:t>
      </w:r>
    </w:p>
    <w:p xmlns:wp14="http://schemas.microsoft.com/office/word/2010/wordml" w:rsidP="18DEC196" wp14:paraId="6562EC3E" wp14:textId="0F64B1DC">
      <w:pPr>
        <w:pStyle w:val="ListParagraph"/>
        <w:numPr>
          <w:ilvl w:val="0"/>
          <w:numId w:val="6"/>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1"/>
          <w:bCs w:val="1"/>
          <w:i w:val="0"/>
          <w:iCs w:val="0"/>
          <w:caps w:val="0"/>
          <w:smallCaps w:val="0"/>
          <w:noProof w:val="0"/>
          <w:color w:val="000000" w:themeColor="text1" w:themeTint="FF" w:themeShade="FF"/>
          <w:sz w:val="24"/>
          <w:szCs w:val="24"/>
          <w:lang w:val="en-GB"/>
        </w:rPr>
        <w:t xml:space="preserve">Brand Heritage: </w:t>
      </w: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Aston Martin is a reputable brand of the British luxury car producers that have an almost 110-year history of luxurious and high-performance sports cars and the highest level of craftsmanship (Chen, 2025).</w:t>
      </w:r>
    </w:p>
    <w:p xmlns:wp14="http://schemas.microsoft.com/office/word/2010/wordml" w:rsidP="18DEC196" wp14:paraId="20F7FA25" wp14:textId="5A50FFCF">
      <w:pPr>
        <w:pStyle w:val="ListParagraph"/>
        <w:numPr>
          <w:ilvl w:val="0"/>
          <w:numId w:val="6"/>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1"/>
          <w:bCs w:val="1"/>
          <w:i w:val="0"/>
          <w:iCs w:val="0"/>
          <w:caps w:val="0"/>
          <w:smallCaps w:val="0"/>
          <w:noProof w:val="0"/>
          <w:color w:val="000000" w:themeColor="text1" w:themeTint="FF" w:themeShade="FF"/>
          <w:sz w:val="24"/>
          <w:szCs w:val="24"/>
          <w:lang w:val="en-GB"/>
        </w:rPr>
        <w:t>Knowledge and Design of Engineering</w:t>
      </w: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The name of the company in high-technology engineering and unique vehicle design adds to the product differentiation in the luxury segmentation world.</w:t>
      </w:r>
    </w:p>
    <w:p xmlns:wp14="http://schemas.microsoft.com/office/word/2010/wordml" w:rsidP="18DEC196" wp14:paraId="1A641FB6" wp14:textId="68A9404F">
      <w:pPr>
        <w:pStyle w:val="ListParagraph"/>
        <w:numPr>
          <w:ilvl w:val="0"/>
          <w:numId w:val="6"/>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1"/>
          <w:bCs w:val="1"/>
          <w:i w:val="0"/>
          <w:iCs w:val="0"/>
          <w:caps w:val="0"/>
          <w:smallCaps w:val="0"/>
          <w:noProof w:val="0"/>
          <w:color w:val="000000" w:themeColor="text1" w:themeTint="FF" w:themeShade="FF"/>
          <w:sz w:val="24"/>
          <w:szCs w:val="24"/>
          <w:lang w:val="en-GB"/>
        </w:rPr>
        <w:t>Strategic Partnerships</w:t>
      </w: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The capability to innovate and create technologies is sustained by technology partners like Mercedes-Benz in the application of the power trains.</w:t>
      </w:r>
    </w:p>
    <w:p xmlns:wp14="http://schemas.microsoft.com/office/word/2010/wordml" w:rsidP="18DEC196" wp14:paraId="03CDC15E" wp14:textId="3210FFDA">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8DEC196" wp14:paraId="281FD308" wp14:textId="46F6CBBB">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1"/>
          <w:bCs w:val="1"/>
          <w:i w:val="0"/>
          <w:iCs w:val="0"/>
          <w:caps w:val="0"/>
          <w:smallCaps w:val="0"/>
          <w:noProof w:val="0"/>
          <w:color w:val="000000" w:themeColor="text1" w:themeTint="FF" w:themeShade="FF"/>
          <w:sz w:val="24"/>
          <w:szCs w:val="24"/>
          <w:lang w:val="en-GB"/>
        </w:rPr>
        <w:t>VRIO Evaluation</w:t>
      </w:r>
    </w:p>
    <w:p xmlns:wp14="http://schemas.microsoft.com/office/word/2010/wordml" w:rsidP="18DEC196" wp14:paraId="0EE114C5" wp14:textId="0BBE8B86">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These resources which match the criteria of VRIO confer competitive advantage. The brand prestige of Aston Martin is valued because it is rare and extremely difficult to imitate and the skills in engineering and design of the product enhance the uniqueness of the product. However, economic constraints and lower production volume compared to larger companies may limit abilities of the firm to fully utilise such assets to long term competitive advantage.</w:t>
      </w:r>
    </w:p>
    <w:p xmlns:wp14="http://schemas.microsoft.com/office/word/2010/wordml" w:rsidP="18DEC196" wp14:paraId="7167CA3F" wp14:textId="26441444">
      <w:pPr>
        <w:keepNext w:val="1"/>
        <w:spacing w:before="120" w:after="120" w:line="360" w:lineRule="auto"/>
        <w:jc w:val="center"/>
        <w:rPr>
          <w:rFonts w:ascii="Arial" w:hAnsi="Arial" w:eastAsia="Arial" w:cs="Arial"/>
          <w:b w:val="0"/>
          <w:bCs w:val="0"/>
          <w:i w:val="1"/>
          <w:iCs w:val="1"/>
          <w:caps w:val="0"/>
          <w:smallCaps w:val="0"/>
          <w:noProof w:val="0"/>
          <w:color w:val="000000" w:themeColor="text1" w:themeTint="FF" w:themeShade="FF"/>
          <w:sz w:val="24"/>
          <w:szCs w:val="24"/>
          <w:lang w:val="en-US"/>
        </w:rPr>
      </w:pPr>
      <w:r w:rsidRPr="18DEC196" w:rsidR="30A94F42">
        <w:rPr>
          <w:rFonts w:ascii="Arial" w:hAnsi="Arial" w:eastAsia="Arial" w:cs="Arial"/>
          <w:b w:val="0"/>
          <w:bCs w:val="0"/>
          <w:i w:val="1"/>
          <w:iCs w:val="1"/>
          <w:caps w:val="0"/>
          <w:smallCaps w:val="0"/>
          <w:noProof w:val="0"/>
          <w:color w:val="000000" w:themeColor="text1" w:themeTint="FF" w:themeShade="FF"/>
          <w:sz w:val="24"/>
          <w:szCs w:val="24"/>
          <w:lang w:val="en-GB"/>
        </w:rPr>
        <w:t>Table 2: VRIO Framework</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535"/>
        <w:gridCol w:w="1200"/>
        <w:gridCol w:w="1215"/>
        <w:gridCol w:w="1335"/>
        <w:gridCol w:w="1395"/>
        <w:gridCol w:w="1620"/>
      </w:tblGrid>
      <w:tr w:rsidR="18DEC196" w:rsidTr="18DEC196" w14:paraId="33927925">
        <w:trPr>
          <w:trHeight w:val="300"/>
        </w:trPr>
        <w:tc>
          <w:tcPr>
            <w:tcW w:w="2535" w:type="dxa"/>
            <w:tcBorders>
              <w:top w:val="single" w:sz="4"/>
              <w:left w:val="single" w:sz="4"/>
              <w:bottom w:val="single" w:sz="4"/>
              <w:right w:val="single" w:sz="4"/>
            </w:tcBorders>
            <w:tcMar>
              <w:left w:w="105" w:type="dxa"/>
              <w:right w:w="105" w:type="dxa"/>
            </w:tcMar>
            <w:vAlign w:val="top"/>
          </w:tcPr>
          <w:p w:rsidR="18DEC196" w:rsidP="18DEC196" w:rsidRDefault="18DEC196" w14:paraId="598EFA2D" w14:textId="597764F1">
            <w:pPr>
              <w:spacing w:line="360" w:lineRule="auto"/>
              <w:jc w:val="both"/>
              <w:rPr>
                <w:rFonts w:ascii="Arial" w:hAnsi="Arial" w:eastAsia="Arial" w:cs="Arial"/>
                <w:b w:val="0"/>
                <w:bCs w:val="0"/>
                <w:i w:val="0"/>
                <w:iCs w:val="0"/>
                <w:color w:val="000000" w:themeColor="text1" w:themeTint="FF" w:themeShade="FF"/>
                <w:sz w:val="24"/>
                <w:szCs w:val="24"/>
              </w:rPr>
            </w:pPr>
            <w:r w:rsidRPr="18DEC196" w:rsidR="18DEC196">
              <w:rPr>
                <w:rFonts w:ascii="Arial" w:hAnsi="Arial" w:eastAsia="Arial" w:cs="Arial"/>
                <w:b w:val="1"/>
                <w:bCs w:val="1"/>
                <w:i w:val="0"/>
                <w:iCs w:val="0"/>
                <w:color w:val="000000" w:themeColor="text1" w:themeTint="FF" w:themeShade="FF"/>
                <w:sz w:val="24"/>
                <w:szCs w:val="24"/>
                <w:lang w:val="en-GB"/>
              </w:rPr>
              <w:t>Resource/Capability</w:t>
            </w:r>
          </w:p>
        </w:tc>
        <w:tc>
          <w:tcPr>
            <w:tcW w:w="1200" w:type="dxa"/>
            <w:tcBorders>
              <w:top w:val="single" w:sz="4"/>
              <w:left w:val="single" w:sz="4"/>
              <w:bottom w:val="single" w:sz="4"/>
              <w:right w:val="single" w:sz="4"/>
            </w:tcBorders>
            <w:tcMar>
              <w:left w:w="105" w:type="dxa"/>
              <w:right w:w="105" w:type="dxa"/>
            </w:tcMar>
            <w:vAlign w:val="top"/>
          </w:tcPr>
          <w:p w:rsidR="18DEC196" w:rsidP="18DEC196" w:rsidRDefault="18DEC196" w14:paraId="063F4335" w14:textId="34EA8B1A">
            <w:pPr>
              <w:spacing w:line="360" w:lineRule="auto"/>
              <w:jc w:val="both"/>
              <w:rPr>
                <w:rFonts w:ascii="Arial" w:hAnsi="Arial" w:eastAsia="Arial" w:cs="Arial"/>
                <w:b w:val="0"/>
                <w:bCs w:val="0"/>
                <w:i w:val="0"/>
                <w:iCs w:val="0"/>
                <w:color w:val="000000" w:themeColor="text1" w:themeTint="FF" w:themeShade="FF"/>
                <w:sz w:val="24"/>
                <w:szCs w:val="24"/>
              </w:rPr>
            </w:pPr>
            <w:r w:rsidRPr="18DEC196" w:rsidR="18DEC196">
              <w:rPr>
                <w:rFonts w:ascii="Arial" w:hAnsi="Arial" w:eastAsia="Arial" w:cs="Arial"/>
                <w:b w:val="1"/>
                <w:bCs w:val="1"/>
                <w:i w:val="0"/>
                <w:iCs w:val="0"/>
                <w:color w:val="000000" w:themeColor="text1" w:themeTint="FF" w:themeShade="FF"/>
                <w:sz w:val="24"/>
                <w:szCs w:val="24"/>
                <w:lang w:val="en-GB"/>
              </w:rPr>
              <w:t>Valuable</w:t>
            </w:r>
          </w:p>
        </w:tc>
        <w:tc>
          <w:tcPr>
            <w:tcW w:w="1215" w:type="dxa"/>
            <w:tcBorders>
              <w:top w:val="single" w:sz="4"/>
              <w:left w:val="single" w:sz="4"/>
              <w:bottom w:val="single" w:sz="4"/>
              <w:right w:val="single" w:sz="4"/>
            </w:tcBorders>
            <w:tcMar>
              <w:left w:w="105" w:type="dxa"/>
              <w:right w:w="105" w:type="dxa"/>
            </w:tcMar>
            <w:vAlign w:val="top"/>
          </w:tcPr>
          <w:p w:rsidR="18DEC196" w:rsidP="18DEC196" w:rsidRDefault="18DEC196" w14:paraId="05C5FE90" w14:textId="215022F8">
            <w:pPr>
              <w:spacing w:line="360" w:lineRule="auto"/>
              <w:jc w:val="both"/>
              <w:rPr>
                <w:rFonts w:ascii="Arial" w:hAnsi="Arial" w:eastAsia="Arial" w:cs="Arial"/>
                <w:b w:val="0"/>
                <w:bCs w:val="0"/>
                <w:i w:val="0"/>
                <w:iCs w:val="0"/>
                <w:color w:val="000000" w:themeColor="text1" w:themeTint="FF" w:themeShade="FF"/>
                <w:sz w:val="24"/>
                <w:szCs w:val="24"/>
              </w:rPr>
            </w:pPr>
            <w:r w:rsidRPr="18DEC196" w:rsidR="18DEC196">
              <w:rPr>
                <w:rFonts w:ascii="Arial" w:hAnsi="Arial" w:eastAsia="Arial" w:cs="Arial"/>
                <w:b w:val="1"/>
                <w:bCs w:val="1"/>
                <w:i w:val="0"/>
                <w:iCs w:val="0"/>
                <w:color w:val="000000" w:themeColor="text1" w:themeTint="FF" w:themeShade="FF"/>
                <w:sz w:val="24"/>
                <w:szCs w:val="24"/>
                <w:lang w:val="en-GB"/>
              </w:rPr>
              <w:t>Rare</w:t>
            </w:r>
          </w:p>
        </w:tc>
        <w:tc>
          <w:tcPr>
            <w:tcW w:w="1335" w:type="dxa"/>
            <w:tcBorders>
              <w:top w:val="single" w:sz="4"/>
              <w:left w:val="single" w:sz="4"/>
              <w:bottom w:val="single" w:sz="4"/>
              <w:right w:val="single" w:sz="4"/>
            </w:tcBorders>
            <w:tcMar>
              <w:left w:w="105" w:type="dxa"/>
              <w:right w:w="105" w:type="dxa"/>
            </w:tcMar>
            <w:vAlign w:val="top"/>
          </w:tcPr>
          <w:p w:rsidR="18DEC196" w:rsidP="18DEC196" w:rsidRDefault="18DEC196" w14:paraId="0BA38D2A" w14:textId="122A4600">
            <w:pPr>
              <w:spacing w:line="360" w:lineRule="auto"/>
              <w:jc w:val="both"/>
              <w:rPr>
                <w:rFonts w:ascii="Arial" w:hAnsi="Arial" w:eastAsia="Arial" w:cs="Arial"/>
                <w:b w:val="0"/>
                <w:bCs w:val="0"/>
                <w:i w:val="0"/>
                <w:iCs w:val="0"/>
                <w:color w:val="000000" w:themeColor="text1" w:themeTint="FF" w:themeShade="FF"/>
                <w:sz w:val="24"/>
                <w:szCs w:val="24"/>
              </w:rPr>
            </w:pPr>
            <w:r w:rsidRPr="18DEC196" w:rsidR="18DEC196">
              <w:rPr>
                <w:rFonts w:ascii="Arial" w:hAnsi="Arial" w:eastAsia="Arial" w:cs="Arial"/>
                <w:b w:val="1"/>
                <w:bCs w:val="1"/>
                <w:i w:val="0"/>
                <w:iCs w:val="0"/>
                <w:color w:val="000000" w:themeColor="text1" w:themeTint="FF" w:themeShade="FF"/>
                <w:sz w:val="24"/>
                <w:szCs w:val="24"/>
                <w:lang w:val="en-GB"/>
              </w:rPr>
              <w:t>Inimitable</w:t>
            </w:r>
          </w:p>
        </w:tc>
        <w:tc>
          <w:tcPr>
            <w:tcW w:w="1395" w:type="dxa"/>
            <w:tcBorders>
              <w:top w:val="single" w:sz="4"/>
              <w:left w:val="single" w:sz="4"/>
              <w:bottom w:val="single" w:sz="4"/>
              <w:right w:val="single" w:sz="4"/>
            </w:tcBorders>
            <w:tcMar>
              <w:left w:w="105" w:type="dxa"/>
              <w:right w:w="105" w:type="dxa"/>
            </w:tcMar>
            <w:vAlign w:val="top"/>
          </w:tcPr>
          <w:p w:rsidR="18DEC196" w:rsidP="18DEC196" w:rsidRDefault="18DEC196" w14:paraId="335C260A" w14:textId="408FB5D1">
            <w:pPr>
              <w:spacing w:line="360" w:lineRule="auto"/>
              <w:jc w:val="both"/>
              <w:rPr>
                <w:rFonts w:ascii="Arial" w:hAnsi="Arial" w:eastAsia="Arial" w:cs="Arial"/>
                <w:b w:val="0"/>
                <w:bCs w:val="0"/>
                <w:i w:val="0"/>
                <w:iCs w:val="0"/>
                <w:color w:val="000000" w:themeColor="text1" w:themeTint="FF" w:themeShade="FF"/>
                <w:sz w:val="24"/>
                <w:szCs w:val="24"/>
              </w:rPr>
            </w:pPr>
            <w:r w:rsidRPr="18DEC196" w:rsidR="18DEC196">
              <w:rPr>
                <w:rFonts w:ascii="Arial" w:hAnsi="Arial" w:eastAsia="Arial" w:cs="Arial"/>
                <w:b w:val="1"/>
                <w:bCs w:val="1"/>
                <w:i w:val="0"/>
                <w:iCs w:val="0"/>
                <w:color w:val="000000" w:themeColor="text1" w:themeTint="FF" w:themeShade="FF"/>
                <w:sz w:val="24"/>
                <w:szCs w:val="24"/>
                <w:lang w:val="en-GB"/>
              </w:rPr>
              <w:t>Organised</w:t>
            </w:r>
          </w:p>
        </w:tc>
        <w:tc>
          <w:tcPr>
            <w:tcW w:w="1620" w:type="dxa"/>
            <w:tcBorders>
              <w:top w:val="single" w:sz="4"/>
              <w:left w:val="single" w:sz="4"/>
              <w:bottom w:val="single" w:sz="4"/>
              <w:right w:val="single" w:sz="4"/>
            </w:tcBorders>
            <w:tcMar>
              <w:left w:w="105" w:type="dxa"/>
              <w:right w:w="105" w:type="dxa"/>
            </w:tcMar>
            <w:vAlign w:val="top"/>
          </w:tcPr>
          <w:p w:rsidR="18DEC196" w:rsidP="18DEC196" w:rsidRDefault="18DEC196" w14:paraId="48A028B7" w14:textId="5A767201">
            <w:pPr>
              <w:spacing w:line="360" w:lineRule="auto"/>
              <w:jc w:val="both"/>
              <w:rPr>
                <w:rFonts w:ascii="Arial" w:hAnsi="Arial" w:eastAsia="Arial" w:cs="Arial"/>
                <w:b w:val="0"/>
                <w:bCs w:val="0"/>
                <w:i w:val="0"/>
                <w:iCs w:val="0"/>
                <w:color w:val="000000" w:themeColor="text1" w:themeTint="FF" w:themeShade="FF"/>
                <w:sz w:val="24"/>
                <w:szCs w:val="24"/>
              </w:rPr>
            </w:pPr>
            <w:r w:rsidRPr="18DEC196" w:rsidR="18DEC196">
              <w:rPr>
                <w:rFonts w:ascii="Arial" w:hAnsi="Arial" w:eastAsia="Arial" w:cs="Arial"/>
                <w:b w:val="1"/>
                <w:bCs w:val="1"/>
                <w:i w:val="0"/>
                <w:iCs w:val="0"/>
                <w:color w:val="000000" w:themeColor="text1" w:themeTint="FF" w:themeShade="FF"/>
                <w:sz w:val="24"/>
                <w:szCs w:val="24"/>
                <w:lang w:val="en-GB"/>
              </w:rPr>
              <w:t>Competitive Implication</w:t>
            </w:r>
          </w:p>
        </w:tc>
      </w:tr>
      <w:tr w:rsidR="18DEC196" w:rsidTr="18DEC196" w14:paraId="4AB45F75">
        <w:trPr>
          <w:trHeight w:val="300"/>
        </w:trPr>
        <w:tc>
          <w:tcPr>
            <w:tcW w:w="2535" w:type="dxa"/>
            <w:tcBorders>
              <w:top w:val="single" w:sz="4"/>
              <w:left w:val="single" w:sz="4"/>
              <w:bottom w:val="single" w:sz="4"/>
              <w:right w:val="single" w:sz="4"/>
            </w:tcBorders>
            <w:tcMar>
              <w:left w:w="105" w:type="dxa"/>
              <w:right w:w="105" w:type="dxa"/>
            </w:tcMar>
            <w:vAlign w:val="top"/>
          </w:tcPr>
          <w:p w:rsidR="18DEC196" w:rsidP="18DEC196" w:rsidRDefault="18DEC196" w14:paraId="23E79D96" w14:textId="3F72A1A9">
            <w:pPr>
              <w:spacing w:line="360" w:lineRule="auto"/>
              <w:jc w:val="both"/>
              <w:rPr>
                <w:rFonts w:ascii="Arial" w:hAnsi="Arial" w:eastAsia="Arial" w:cs="Arial"/>
                <w:b w:val="0"/>
                <w:bCs w:val="0"/>
                <w:i w:val="0"/>
                <w:iCs w:val="0"/>
                <w:color w:val="000000" w:themeColor="text1" w:themeTint="FF" w:themeShade="FF"/>
                <w:sz w:val="24"/>
                <w:szCs w:val="24"/>
              </w:rPr>
            </w:pPr>
            <w:r w:rsidRPr="18DEC196" w:rsidR="18DEC196">
              <w:rPr>
                <w:rFonts w:ascii="Arial" w:hAnsi="Arial" w:eastAsia="Arial" w:cs="Arial"/>
                <w:b w:val="0"/>
                <w:bCs w:val="0"/>
                <w:i w:val="0"/>
                <w:iCs w:val="0"/>
                <w:color w:val="000000" w:themeColor="text1" w:themeTint="FF" w:themeShade="FF"/>
                <w:sz w:val="24"/>
                <w:szCs w:val="24"/>
                <w:lang w:val="en-GB"/>
              </w:rPr>
              <w:t>Luxury Brand Heritage</w:t>
            </w:r>
          </w:p>
        </w:tc>
        <w:tc>
          <w:tcPr>
            <w:tcW w:w="1200" w:type="dxa"/>
            <w:tcBorders>
              <w:top w:val="single" w:sz="4"/>
              <w:left w:val="single" w:sz="4"/>
              <w:bottom w:val="single" w:sz="4"/>
              <w:right w:val="single" w:sz="4"/>
            </w:tcBorders>
            <w:tcMar>
              <w:left w:w="105" w:type="dxa"/>
              <w:right w:w="105" w:type="dxa"/>
            </w:tcMar>
            <w:vAlign w:val="top"/>
          </w:tcPr>
          <w:p w:rsidR="18DEC196" w:rsidP="18DEC196" w:rsidRDefault="18DEC196" w14:paraId="5E4C4D6E" w14:textId="491A0ECD">
            <w:pPr>
              <w:spacing w:line="360" w:lineRule="auto"/>
              <w:jc w:val="both"/>
              <w:rPr>
                <w:rFonts w:ascii="Arial" w:hAnsi="Arial" w:eastAsia="Arial" w:cs="Arial"/>
                <w:b w:val="0"/>
                <w:bCs w:val="0"/>
                <w:i w:val="0"/>
                <w:iCs w:val="0"/>
                <w:color w:val="000000" w:themeColor="text1" w:themeTint="FF" w:themeShade="FF"/>
                <w:sz w:val="24"/>
                <w:szCs w:val="24"/>
              </w:rPr>
            </w:pPr>
            <w:r w:rsidRPr="18DEC196" w:rsidR="18DEC196">
              <w:rPr>
                <w:rFonts w:ascii="Arial" w:hAnsi="Arial" w:eastAsia="Arial" w:cs="Arial"/>
                <w:b w:val="0"/>
                <w:bCs w:val="0"/>
                <w:i w:val="0"/>
                <w:iCs w:val="0"/>
                <w:color w:val="000000" w:themeColor="text1" w:themeTint="FF" w:themeShade="FF"/>
                <w:sz w:val="24"/>
                <w:szCs w:val="24"/>
                <w:lang w:val="en-GB"/>
              </w:rPr>
              <w:t>Yes</w:t>
            </w:r>
          </w:p>
        </w:tc>
        <w:tc>
          <w:tcPr>
            <w:tcW w:w="1215" w:type="dxa"/>
            <w:tcBorders>
              <w:top w:val="single" w:sz="4"/>
              <w:left w:val="single" w:sz="4"/>
              <w:bottom w:val="single" w:sz="4"/>
              <w:right w:val="single" w:sz="4"/>
            </w:tcBorders>
            <w:tcMar>
              <w:left w:w="105" w:type="dxa"/>
              <w:right w:w="105" w:type="dxa"/>
            </w:tcMar>
            <w:vAlign w:val="top"/>
          </w:tcPr>
          <w:p w:rsidR="18DEC196" w:rsidP="18DEC196" w:rsidRDefault="18DEC196" w14:paraId="7093D085" w14:textId="3BF9EA12">
            <w:pPr>
              <w:spacing w:line="360" w:lineRule="auto"/>
              <w:jc w:val="both"/>
              <w:rPr>
                <w:rFonts w:ascii="Arial" w:hAnsi="Arial" w:eastAsia="Arial" w:cs="Arial"/>
                <w:b w:val="0"/>
                <w:bCs w:val="0"/>
                <w:i w:val="0"/>
                <w:iCs w:val="0"/>
                <w:color w:val="000000" w:themeColor="text1" w:themeTint="FF" w:themeShade="FF"/>
                <w:sz w:val="24"/>
                <w:szCs w:val="24"/>
              </w:rPr>
            </w:pPr>
            <w:r w:rsidRPr="18DEC196" w:rsidR="18DEC196">
              <w:rPr>
                <w:rFonts w:ascii="Arial" w:hAnsi="Arial" w:eastAsia="Arial" w:cs="Arial"/>
                <w:b w:val="0"/>
                <w:bCs w:val="0"/>
                <w:i w:val="0"/>
                <w:iCs w:val="0"/>
                <w:color w:val="000000" w:themeColor="text1" w:themeTint="FF" w:themeShade="FF"/>
                <w:sz w:val="24"/>
                <w:szCs w:val="24"/>
                <w:lang w:val="en-GB"/>
              </w:rPr>
              <w:t>Yes</w:t>
            </w:r>
          </w:p>
        </w:tc>
        <w:tc>
          <w:tcPr>
            <w:tcW w:w="1335" w:type="dxa"/>
            <w:tcBorders>
              <w:top w:val="single" w:sz="4"/>
              <w:left w:val="single" w:sz="4"/>
              <w:bottom w:val="single" w:sz="4"/>
              <w:right w:val="single" w:sz="4"/>
            </w:tcBorders>
            <w:tcMar>
              <w:left w:w="105" w:type="dxa"/>
              <w:right w:w="105" w:type="dxa"/>
            </w:tcMar>
            <w:vAlign w:val="top"/>
          </w:tcPr>
          <w:p w:rsidR="18DEC196" w:rsidP="18DEC196" w:rsidRDefault="18DEC196" w14:paraId="693773B9" w14:textId="6904BD77">
            <w:pPr>
              <w:spacing w:line="360" w:lineRule="auto"/>
              <w:jc w:val="both"/>
              <w:rPr>
                <w:rFonts w:ascii="Arial" w:hAnsi="Arial" w:eastAsia="Arial" w:cs="Arial"/>
                <w:b w:val="0"/>
                <w:bCs w:val="0"/>
                <w:i w:val="0"/>
                <w:iCs w:val="0"/>
                <w:color w:val="000000" w:themeColor="text1" w:themeTint="FF" w:themeShade="FF"/>
                <w:sz w:val="24"/>
                <w:szCs w:val="24"/>
              </w:rPr>
            </w:pPr>
            <w:r w:rsidRPr="18DEC196" w:rsidR="18DEC196">
              <w:rPr>
                <w:rFonts w:ascii="Arial" w:hAnsi="Arial" w:eastAsia="Arial" w:cs="Arial"/>
                <w:b w:val="0"/>
                <w:bCs w:val="0"/>
                <w:i w:val="0"/>
                <w:iCs w:val="0"/>
                <w:color w:val="000000" w:themeColor="text1" w:themeTint="FF" w:themeShade="FF"/>
                <w:sz w:val="24"/>
                <w:szCs w:val="24"/>
                <w:lang w:val="en-GB"/>
              </w:rPr>
              <w:t>Yes</w:t>
            </w:r>
          </w:p>
        </w:tc>
        <w:tc>
          <w:tcPr>
            <w:tcW w:w="1395" w:type="dxa"/>
            <w:tcBorders>
              <w:top w:val="single" w:sz="4"/>
              <w:left w:val="single" w:sz="4"/>
              <w:bottom w:val="single" w:sz="4"/>
              <w:right w:val="single" w:sz="4"/>
            </w:tcBorders>
            <w:tcMar>
              <w:left w:w="105" w:type="dxa"/>
              <w:right w:w="105" w:type="dxa"/>
            </w:tcMar>
            <w:vAlign w:val="top"/>
          </w:tcPr>
          <w:p w:rsidR="18DEC196" w:rsidP="18DEC196" w:rsidRDefault="18DEC196" w14:paraId="768F87CD" w14:textId="7A0DF0FE">
            <w:pPr>
              <w:spacing w:line="360" w:lineRule="auto"/>
              <w:jc w:val="both"/>
              <w:rPr>
                <w:rFonts w:ascii="Arial" w:hAnsi="Arial" w:eastAsia="Arial" w:cs="Arial"/>
                <w:b w:val="0"/>
                <w:bCs w:val="0"/>
                <w:i w:val="0"/>
                <w:iCs w:val="0"/>
                <w:color w:val="000000" w:themeColor="text1" w:themeTint="FF" w:themeShade="FF"/>
                <w:sz w:val="24"/>
                <w:szCs w:val="24"/>
              </w:rPr>
            </w:pPr>
            <w:r w:rsidRPr="18DEC196" w:rsidR="18DEC196">
              <w:rPr>
                <w:rFonts w:ascii="Arial" w:hAnsi="Arial" w:eastAsia="Arial" w:cs="Arial"/>
                <w:b w:val="0"/>
                <w:bCs w:val="0"/>
                <w:i w:val="0"/>
                <w:iCs w:val="0"/>
                <w:color w:val="000000" w:themeColor="text1" w:themeTint="FF" w:themeShade="FF"/>
                <w:sz w:val="24"/>
                <w:szCs w:val="24"/>
                <w:lang w:val="en-GB"/>
              </w:rPr>
              <w:t>Yes</w:t>
            </w:r>
          </w:p>
        </w:tc>
        <w:tc>
          <w:tcPr>
            <w:tcW w:w="1620" w:type="dxa"/>
            <w:tcBorders>
              <w:top w:val="single" w:sz="4"/>
              <w:left w:val="single" w:sz="4"/>
              <w:bottom w:val="single" w:sz="4"/>
              <w:right w:val="single" w:sz="4"/>
            </w:tcBorders>
            <w:tcMar>
              <w:left w:w="105" w:type="dxa"/>
              <w:right w:w="105" w:type="dxa"/>
            </w:tcMar>
            <w:vAlign w:val="top"/>
          </w:tcPr>
          <w:p w:rsidR="18DEC196" w:rsidP="18DEC196" w:rsidRDefault="18DEC196" w14:paraId="75CB77BC" w14:textId="16B21678">
            <w:pPr>
              <w:spacing w:line="360" w:lineRule="auto"/>
              <w:jc w:val="both"/>
              <w:rPr>
                <w:rFonts w:ascii="Arial" w:hAnsi="Arial" w:eastAsia="Arial" w:cs="Arial"/>
                <w:b w:val="0"/>
                <w:bCs w:val="0"/>
                <w:i w:val="0"/>
                <w:iCs w:val="0"/>
                <w:color w:val="000000" w:themeColor="text1" w:themeTint="FF" w:themeShade="FF"/>
                <w:sz w:val="24"/>
                <w:szCs w:val="24"/>
              </w:rPr>
            </w:pPr>
            <w:r w:rsidRPr="18DEC196" w:rsidR="18DEC196">
              <w:rPr>
                <w:rFonts w:ascii="Arial" w:hAnsi="Arial" w:eastAsia="Arial" w:cs="Arial"/>
                <w:b w:val="0"/>
                <w:bCs w:val="0"/>
                <w:i w:val="0"/>
                <w:iCs w:val="0"/>
                <w:color w:val="000000" w:themeColor="text1" w:themeTint="FF" w:themeShade="FF"/>
                <w:sz w:val="24"/>
                <w:szCs w:val="24"/>
                <w:lang w:val="en-GB"/>
              </w:rPr>
              <w:t>Sustained competitive advantage</w:t>
            </w:r>
          </w:p>
        </w:tc>
      </w:tr>
      <w:tr w:rsidR="18DEC196" w:rsidTr="18DEC196" w14:paraId="41C0FCC6">
        <w:trPr>
          <w:trHeight w:val="300"/>
        </w:trPr>
        <w:tc>
          <w:tcPr>
            <w:tcW w:w="2535" w:type="dxa"/>
            <w:tcBorders>
              <w:top w:val="single" w:sz="4"/>
              <w:left w:val="single" w:sz="4"/>
              <w:bottom w:val="single" w:sz="4"/>
              <w:right w:val="single" w:sz="4"/>
            </w:tcBorders>
            <w:tcMar>
              <w:left w:w="105" w:type="dxa"/>
              <w:right w:w="105" w:type="dxa"/>
            </w:tcMar>
            <w:vAlign w:val="top"/>
          </w:tcPr>
          <w:p w:rsidR="18DEC196" w:rsidP="18DEC196" w:rsidRDefault="18DEC196" w14:paraId="3AB3E348" w14:textId="6ABA2292">
            <w:pPr>
              <w:spacing w:line="360" w:lineRule="auto"/>
              <w:jc w:val="both"/>
              <w:rPr>
                <w:rFonts w:ascii="Arial" w:hAnsi="Arial" w:eastAsia="Arial" w:cs="Arial"/>
                <w:b w:val="0"/>
                <w:bCs w:val="0"/>
                <w:i w:val="0"/>
                <w:iCs w:val="0"/>
                <w:color w:val="000000" w:themeColor="text1" w:themeTint="FF" w:themeShade="FF"/>
                <w:sz w:val="24"/>
                <w:szCs w:val="24"/>
              </w:rPr>
            </w:pPr>
            <w:r w:rsidRPr="18DEC196" w:rsidR="18DEC196">
              <w:rPr>
                <w:rFonts w:ascii="Arial" w:hAnsi="Arial" w:eastAsia="Arial" w:cs="Arial"/>
                <w:b w:val="0"/>
                <w:bCs w:val="0"/>
                <w:i w:val="0"/>
                <w:iCs w:val="0"/>
                <w:color w:val="000000" w:themeColor="text1" w:themeTint="FF" w:themeShade="FF"/>
                <w:sz w:val="24"/>
                <w:szCs w:val="24"/>
                <w:lang w:val="en-GB"/>
              </w:rPr>
              <w:t>Engineering &amp; Design Expertise</w:t>
            </w:r>
          </w:p>
        </w:tc>
        <w:tc>
          <w:tcPr>
            <w:tcW w:w="1200" w:type="dxa"/>
            <w:tcBorders>
              <w:top w:val="single" w:sz="4"/>
              <w:left w:val="single" w:sz="4"/>
              <w:bottom w:val="single" w:sz="4"/>
              <w:right w:val="single" w:sz="4"/>
            </w:tcBorders>
            <w:tcMar>
              <w:left w:w="105" w:type="dxa"/>
              <w:right w:w="105" w:type="dxa"/>
            </w:tcMar>
            <w:vAlign w:val="top"/>
          </w:tcPr>
          <w:p w:rsidR="18DEC196" w:rsidP="18DEC196" w:rsidRDefault="18DEC196" w14:paraId="5969ABC8" w14:textId="7732DF67">
            <w:pPr>
              <w:spacing w:line="360" w:lineRule="auto"/>
              <w:jc w:val="both"/>
              <w:rPr>
                <w:rFonts w:ascii="Arial" w:hAnsi="Arial" w:eastAsia="Arial" w:cs="Arial"/>
                <w:b w:val="0"/>
                <w:bCs w:val="0"/>
                <w:i w:val="0"/>
                <w:iCs w:val="0"/>
                <w:color w:val="000000" w:themeColor="text1" w:themeTint="FF" w:themeShade="FF"/>
                <w:sz w:val="24"/>
                <w:szCs w:val="24"/>
              </w:rPr>
            </w:pPr>
            <w:r w:rsidRPr="18DEC196" w:rsidR="18DEC196">
              <w:rPr>
                <w:rFonts w:ascii="Arial" w:hAnsi="Arial" w:eastAsia="Arial" w:cs="Arial"/>
                <w:b w:val="0"/>
                <w:bCs w:val="0"/>
                <w:i w:val="0"/>
                <w:iCs w:val="0"/>
                <w:color w:val="000000" w:themeColor="text1" w:themeTint="FF" w:themeShade="FF"/>
                <w:sz w:val="24"/>
                <w:szCs w:val="24"/>
                <w:lang w:val="en-GB"/>
              </w:rPr>
              <w:t>Yes</w:t>
            </w:r>
          </w:p>
        </w:tc>
        <w:tc>
          <w:tcPr>
            <w:tcW w:w="1215" w:type="dxa"/>
            <w:tcBorders>
              <w:top w:val="single" w:sz="4"/>
              <w:left w:val="single" w:sz="4"/>
              <w:bottom w:val="single" w:sz="4"/>
              <w:right w:val="single" w:sz="4"/>
            </w:tcBorders>
            <w:tcMar>
              <w:left w:w="105" w:type="dxa"/>
              <w:right w:w="105" w:type="dxa"/>
            </w:tcMar>
            <w:vAlign w:val="top"/>
          </w:tcPr>
          <w:p w:rsidR="18DEC196" w:rsidP="18DEC196" w:rsidRDefault="18DEC196" w14:paraId="47D78C57" w14:textId="0FD630BA">
            <w:pPr>
              <w:spacing w:line="360" w:lineRule="auto"/>
              <w:jc w:val="both"/>
              <w:rPr>
                <w:rFonts w:ascii="Arial" w:hAnsi="Arial" w:eastAsia="Arial" w:cs="Arial"/>
                <w:b w:val="0"/>
                <w:bCs w:val="0"/>
                <w:i w:val="0"/>
                <w:iCs w:val="0"/>
                <w:color w:val="000000" w:themeColor="text1" w:themeTint="FF" w:themeShade="FF"/>
                <w:sz w:val="24"/>
                <w:szCs w:val="24"/>
              </w:rPr>
            </w:pPr>
            <w:r w:rsidRPr="18DEC196" w:rsidR="18DEC196">
              <w:rPr>
                <w:rFonts w:ascii="Arial" w:hAnsi="Arial" w:eastAsia="Arial" w:cs="Arial"/>
                <w:b w:val="0"/>
                <w:bCs w:val="0"/>
                <w:i w:val="0"/>
                <w:iCs w:val="0"/>
                <w:color w:val="000000" w:themeColor="text1" w:themeTint="FF" w:themeShade="FF"/>
                <w:sz w:val="24"/>
                <w:szCs w:val="24"/>
                <w:lang w:val="en-GB"/>
              </w:rPr>
              <w:t>Yes</w:t>
            </w:r>
          </w:p>
        </w:tc>
        <w:tc>
          <w:tcPr>
            <w:tcW w:w="1335" w:type="dxa"/>
            <w:tcBorders>
              <w:top w:val="single" w:sz="4"/>
              <w:left w:val="single" w:sz="4"/>
              <w:bottom w:val="single" w:sz="4"/>
              <w:right w:val="single" w:sz="4"/>
            </w:tcBorders>
            <w:tcMar>
              <w:left w:w="105" w:type="dxa"/>
              <w:right w:w="105" w:type="dxa"/>
            </w:tcMar>
            <w:vAlign w:val="top"/>
          </w:tcPr>
          <w:p w:rsidR="18DEC196" w:rsidP="18DEC196" w:rsidRDefault="18DEC196" w14:paraId="2B07A771" w14:textId="1B218CDF">
            <w:pPr>
              <w:spacing w:line="360" w:lineRule="auto"/>
              <w:jc w:val="both"/>
              <w:rPr>
                <w:rFonts w:ascii="Arial" w:hAnsi="Arial" w:eastAsia="Arial" w:cs="Arial"/>
                <w:b w:val="0"/>
                <w:bCs w:val="0"/>
                <w:i w:val="0"/>
                <w:iCs w:val="0"/>
                <w:color w:val="000000" w:themeColor="text1" w:themeTint="FF" w:themeShade="FF"/>
                <w:sz w:val="24"/>
                <w:szCs w:val="24"/>
              </w:rPr>
            </w:pPr>
            <w:r w:rsidRPr="18DEC196" w:rsidR="18DEC196">
              <w:rPr>
                <w:rFonts w:ascii="Arial" w:hAnsi="Arial" w:eastAsia="Arial" w:cs="Arial"/>
                <w:b w:val="0"/>
                <w:bCs w:val="0"/>
                <w:i w:val="0"/>
                <w:iCs w:val="0"/>
                <w:color w:val="000000" w:themeColor="text1" w:themeTint="FF" w:themeShade="FF"/>
                <w:sz w:val="24"/>
                <w:szCs w:val="24"/>
                <w:lang w:val="en-GB"/>
              </w:rPr>
              <w:t>Moderate</w:t>
            </w:r>
          </w:p>
        </w:tc>
        <w:tc>
          <w:tcPr>
            <w:tcW w:w="1395" w:type="dxa"/>
            <w:tcBorders>
              <w:top w:val="single" w:sz="4"/>
              <w:left w:val="single" w:sz="4"/>
              <w:bottom w:val="single" w:sz="4"/>
              <w:right w:val="single" w:sz="4"/>
            </w:tcBorders>
            <w:tcMar>
              <w:left w:w="105" w:type="dxa"/>
              <w:right w:w="105" w:type="dxa"/>
            </w:tcMar>
            <w:vAlign w:val="top"/>
          </w:tcPr>
          <w:p w:rsidR="18DEC196" w:rsidP="18DEC196" w:rsidRDefault="18DEC196" w14:paraId="4EF8DFF5" w14:textId="7FB501AF">
            <w:pPr>
              <w:spacing w:line="360" w:lineRule="auto"/>
              <w:jc w:val="both"/>
              <w:rPr>
                <w:rFonts w:ascii="Arial" w:hAnsi="Arial" w:eastAsia="Arial" w:cs="Arial"/>
                <w:b w:val="0"/>
                <w:bCs w:val="0"/>
                <w:i w:val="0"/>
                <w:iCs w:val="0"/>
                <w:color w:val="000000" w:themeColor="text1" w:themeTint="FF" w:themeShade="FF"/>
                <w:sz w:val="24"/>
                <w:szCs w:val="24"/>
              </w:rPr>
            </w:pPr>
            <w:r w:rsidRPr="18DEC196" w:rsidR="18DEC196">
              <w:rPr>
                <w:rFonts w:ascii="Arial" w:hAnsi="Arial" w:eastAsia="Arial" w:cs="Arial"/>
                <w:b w:val="0"/>
                <w:bCs w:val="0"/>
                <w:i w:val="0"/>
                <w:iCs w:val="0"/>
                <w:color w:val="000000" w:themeColor="text1" w:themeTint="FF" w:themeShade="FF"/>
                <w:sz w:val="24"/>
                <w:szCs w:val="24"/>
                <w:lang w:val="en-GB"/>
              </w:rPr>
              <w:t>Yes</w:t>
            </w:r>
          </w:p>
        </w:tc>
        <w:tc>
          <w:tcPr>
            <w:tcW w:w="1620" w:type="dxa"/>
            <w:tcBorders>
              <w:top w:val="single" w:sz="4"/>
              <w:left w:val="single" w:sz="4"/>
              <w:bottom w:val="single" w:sz="4"/>
              <w:right w:val="single" w:sz="4"/>
            </w:tcBorders>
            <w:tcMar>
              <w:left w:w="105" w:type="dxa"/>
              <w:right w:w="105" w:type="dxa"/>
            </w:tcMar>
            <w:vAlign w:val="top"/>
          </w:tcPr>
          <w:p w:rsidR="18DEC196" w:rsidP="18DEC196" w:rsidRDefault="18DEC196" w14:paraId="1C27CBC8" w14:textId="00EC95AA">
            <w:pPr>
              <w:spacing w:line="360" w:lineRule="auto"/>
              <w:jc w:val="both"/>
              <w:rPr>
                <w:rFonts w:ascii="Arial" w:hAnsi="Arial" w:eastAsia="Arial" w:cs="Arial"/>
                <w:b w:val="0"/>
                <w:bCs w:val="0"/>
                <w:i w:val="0"/>
                <w:iCs w:val="0"/>
                <w:color w:val="000000" w:themeColor="text1" w:themeTint="FF" w:themeShade="FF"/>
                <w:sz w:val="24"/>
                <w:szCs w:val="24"/>
              </w:rPr>
            </w:pPr>
            <w:r w:rsidRPr="18DEC196" w:rsidR="18DEC196">
              <w:rPr>
                <w:rFonts w:ascii="Arial" w:hAnsi="Arial" w:eastAsia="Arial" w:cs="Arial"/>
                <w:b w:val="0"/>
                <w:bCs w:val="0"/>
                <w:i w:val="0"/>
                <w:iCs w:val="0"/>
                <w:color w:val="000000" w:themeColor="text1" w:themeTint="FF" w:themeShade="FF"/>
                <w:sz w:val="24"/>
                <w:szCs w:val="24"/>
                <w:lang w:val="en-GB"/>
              </w:rPr>
              <w:t>Temporary advantage</w:t>
            </w:r>
          </w:p>
        </w:tc>
      </w:tr>
      <w:tr w:rsidR="18DEC196" w:rsidTr="18DEC196" w14:paraId="196AB9C4">
        <w:trPr>
          <w:trHeight w:val="300"/>
        </w:trPr>
        <w:tc>
          <w:tcPr>
            <w:tcW w:w="2535" w:type="dxa"/>
            <w:tcBorders>
              <w:top w:val="single" w:sz="4"/>
              <w:left w:val="single" w:sz="4"/>
              <w:bottom w:val="single" w:sz="4"/>
              <w:right w:val="single" w:sz="4"/>
            </w:tcBorders>
            <w:tcMar>
              <w:left w:w="105" w:type="dxa"/>
              <w:right w:w="105" w:type="dxa"/>
            </w:tcMar>
            <w:vAlign w:val="top"/>
          </w:tcPr>
          <w:p w:rsidR="18DEC196" w:rsidP="18DEC196" w:rsidRDefault="18DEC196" w14:paraId="3EE7D910" w14:textId="0A95282F">
            <w:pPr>
              <w:spacing w:line="360" w:lineRule="auto"/>
              <w:jc w:val="both"/>
              <w:rPr>
                <w:rFonts w:ascii="Arial" w:hAnsi="Arial" w:eastAsia="Arial" w:cs="Arial"/>
                <w:b w:val="0"/>
                <w:bCs w:val="0"/>
                <w:i w:val="0"/>
                <w:iCs w:val="0"/>
                <w:color w:val="000000" w:themeColor="text1" w:themeTint="FF" w:themeShade="FF"/>
                <w:sz w:val="24"/>
                <w:szCs w:val="24"/>
              </w:rPr>
            </w:pPr>
            <w:r w:rsidRPr="18DEC196" w:rsidR="18DEC196">
              <w:rPr>
                <w:rFonts w:ascii="Arial" w:hAnsi="Arial" w:eastAsia="Arial" w:cs="Arial"/>
                <w:b w:val="0"/>
                <w:bCs w:val="0"/>
                <w:i w:val="0"/>
                <w:iCs w:val="0"/>
                <w:color w:val="000000" w:themeColor="text1" w:themeTint="FF" w:themeShade="FF"/>
                <w:sz w:val="24"/>
                <w:szCs w:val="24"/>
                <w:lang w:val="en-GB"/>
              </w:rPr>
              <w:t>Global Dealer Network</w:t>
            </w:r>
          </w:p>
        </w:tc>
        <w:tc>
          <w:tcPr>
            <w:tcW w:w="1200" w:type="dxa"/>
            <w:tcBorders>
              <w:top w:val="single" w:sz="4"/>
              <w:left w:val="single" w:sz="4"/>
              <w:bottom w:val="single" w:sz="4"/>
              <w:right w:val="single" w:sz="4"/>
            </w:tcBorders>
            <w:tcMar>
              <w:left w:w="105" w:type="dxa"/>
              <w:right w:w="105" w:type="dxa"/>
            </w:tcMar>
            <w:vAlign w:val="top"/>
          </w:tcPr>
          <w:p w:rsidR="18DEC196" w:rsidP="18DEC196" w:rsidRDefault="18DEC196" w14:paraId="73F247C9" w14:textId="059FB741">
            <w:pPr>
              <w:spacing w:line="360" w:lineRule="auto"/>
              <w:jc w:val="both"/>
              <w:rPr>
                <w:rFonts w:ascii="Arial" w:hAnsi="Arial" w:eastAsia="Arial" w:cs="Arial"/>
                <w:b w:val="0"/>
                <w:bCs w:val="0"/>
                <w:i w:val="0"/>
                <w:iCs w:val="0"/>
                <w:color w:val="000000" w:themeColor="text1" w:themeTint="FF" w:themeShade="FF"/>
                <w:sz w:val="24"/>
                <w:szCs w:val="24"/>
              </w:rPr>
            </w:pPr>
            <w:r w:rsidRPr="18DEC196" w:rsidR="18DEC196">
              <w:rPr>
                <w:rFonts w:ascii="Arial" w:hAnsi="Arial" w:eastAsia="Arial" w:cs="Arial"/>
                <w:b w:val="0"/>
                <w:bCs w:val="0"/>
                <w:i w:val="0"/>
                <w:iCs w:val="0"/>
                <w:color w:val="000000" w:themeColor="text1" w:themeTint="FF" w:themeShade="FF"/>
                <w:sz w:val="24"/>
                <w:szCs w:val="24"/>
                <w:lang w:val="en-GB"/>
              </w:rPr>
              <w:t>Yes</w:t>
            </w:r>
          </w:p>
        </w:tc>
        <w:tc>
          <w:tcPr>
            <w:tcW w:w="1215" w:type="dxa"/>
            <w:tcBorders>
              <w:top w:val="single" w:sz="4"/>
              <w:left w:val="single" w:sz="4"/>
              <w:bottom w:val="single" w:sz="4"/>
              <w:right w:val="single" w:sz="4"/>
            </w:tcBorders>
            <w:tcMar>
              <w:left w:w="105" w:type="dxa"/>
              <w:right w:w="105" w:type="dxa"/>
            </w:tcMar>
            <w:vAlign w:val="top"/>
          </w:tcPr>
          <w:p w:rsidR="18DEC196" w:rsidP="18DEC196" w:rsidRDefault="18DEC196" w14:paraId="72F18CBD" w14:textId="24136DC9">
            <w:pPr>
              <w:spacing w:line="360" w:lineRule="auto"/>
              <w:jc w:val="both"/>
              <w:rPr>
                <w:rFonts w:ascii="Arial" w:hAnsi="Arial" w:eastAsia="Arial" w:cs="Arial"/>
                <w:b w:val="0"/>
                <w:bCs w:val="0"/>
                <w:i w:val="0"/>
                <w:iCs w:val="0"/>
                <w:color w:val="000000" w:themeColor="text1" w:themeTint="FF" w:themeShade="FF"/>
                <w:sz w:val="24"/>
                <w:szCs w:val="24"/>
              </w:rPr>
            </w:pPr>
            <w:r w:rsidRPr="18DEC196" w:rsidR="18DEC196">
              <w:rPr>
                <w:rFonts w:ascii="Arial" w:hAnsi="Arial" w:eastAsia="Arial" w:cs="Arial"/>
                <w:b w:val="0"/>
                <w:bCs w:val="0"/>
                <w:i w:val="0"/>
                <w:iCs w:val="0"/>
                <w:color w:val="000000" w:themeColor="text1" w:themeTint="FF" w:themeShade="FF"/>
                <w:sz w:val="24"/>
                <w:szCs w:val="24"/>
                <w:lang w:val="en-GB"/>
              </w:rPr>
              <w:t>Moderate</w:t>
            </w:r>
          </w:p>
        </w:tc>
        <w:tc>
          <w:tcPr>
            <w:tcW w:w="1335" w:type="dxa"/>
            <w:tcBorders>
              <w:top w:val="single" w:sz="4"/>
              <w:left w:val="single" w:sz="4"/>
              <w:bottom w:val="single" w:sz="4"/>
              <w:right w:val="single" w:sz="4"/>
            </w:tcBorders>
            <w:tcMar>
              <w:left w:w="105" w:type="dxa"/>
              <w:right w:w="105" w:type="dxa"/>
            </w:tcMar>
            <w:vAlign w:val="top"/>
          </w:tcPr>
          <w:p w:rsidR="18DEC196" w:rsidP="18DEC196" w:rsidRDefault="18DEC196" w14:paraId="05FE99CC" w14:textId="589E99F5">
            <w:pPr>
              <w:spacing w:line="360" w:lineRule="auto"/>
              <w:jc w:val="both"/>
              <w:rPr>
                <w:rFonts w:ascii="Arial" w:hAnsi="Arial" w:eastAsia="Arial" w:cs="Arial"/>
                <w:b w:val="0"/>
                <w:bCs w:val="0"/>
                <w:i w:val="0"/>
                <w:iCs w:val="0"/>
                <w:color w:val="000000" w:themeColor="text1" w:themeTint="FF" w:themeShade="FF"/>
                <w:sz w:val="24"/>
                <w:szCs w:val="24"/>
              </w:rPr>
            </w:pPr>
            <w:r w:rsidRPr="18DEC196" w:rsidR="18DEC196">
              <w:rPr>
                <w:rFonts w:ascii="Arial" w:hAnsi="Arial" w:eastAsia="Arial" w:cs="Arial"/>
                <w:b w:val="0"/>
                <w:bCs w:val="0"/>
                <w:i w:val="0"/>
                <w:iCs w:val="0"/>
                <w:color w:val="000000" w:themeColor="text1" w:themeTint="FF" w:themeShade="FF"/>
                <w:sz w:val="24"/>
                <w:szCs w:val="24"/>
                <w:lang w:val="en-GB"/>
              </w:rPr>
              <w:t>No</w:t>
            </w:r>
          </w:p>
        </w:tc>
        <w:tc>
          <w:tcPr>
            <w:tcW w:w="1395" w:type="dxa"/>
            <w:tcBorders>
              <w:top w:val="single" w:sz="4"/>
              <w:left w:val="single" w:sz="4"/>
              <w:bottom w:val="single" w:sz="4"/>
              <w:right w:val="single" w:sz="4"/>
            </w:tcBorders>
            <w:tcMar>
              <w:left w:w="105" w:type="dxa"/>
              <w:right w:w="105" w:type="dxa"/>
            </w:tcMar>
            <w:vAlign w:val="top"/>
          </w:tcPr>
          <w:p w:rsidR="18DEC196" w:rsidP="18DEC196" w:rsidRDefault="18DEC196" w14:paraId="6906C2CB" w14:textId="431FF711">
            <w:pPr>
              <w:spacing w:line="360" w:lineRule="auto"/>
              <w:jc w:val="both"/>
              <w:rPr>
                <w:rFonts w:ascii="Arial" w:hAnsi="Arial" w:eastAsia="Arial" w:cs="Arial"/>
                <w:b w:val="0"/>
                <w:bCs w:val="0"/>
                <w:i w:val="0"/>
                <w:iCs w:val="0"/>
                <w:color w:val="000000" w:themeColor="text1" w:themeTint="FF" w:themeShade="FF"/>
                <w:sz w:val="24"/>
                <w:szCs w:val="24"/>
              </w:rPr>
            </w:pPr>
            <w:r w:rsidRPr="18DEC196" w:rsidR="18DEC196">
              <w:rPr>
                <w:rFonts w:ascii="Arial" w:hAnsi="Arial" w:eastAsia="Arial" w:cs="Arial"/>
                <w:b w:val="0"/>
                <w:bCs w:val="0"/>
                <w:i w:val="0"/>
                <w:iCs w:val="0"/>
                <w:color w:val="000000" w:themeColor="text1" w:themeTint="FF" w:themeShade="FF"/>
                <w:sz w:val="24"/>
                <w:szCs w:val="24"/>
                <w:lang w:val="en-GB"/>
              </w:rPr>
              <w:t>Yes</w:t>
            </w:r>
          </w:p>
        </w:tc>
        <w:tc>
          <w:tcPr>
            <w:tcW w:w="1620" w:type="dxa"/>
            <w:tcBorders>
              <w:top w:val="single" w:sz="4"/>
              <w:left w:val="single" w:sz="4"/>
              <w:bottom w:val="single" w:sz="4"/>
              <w:right w:val="single" w:sz="4"/>
            </w:tcBorders>
            <w:tcMar>
              <w:left w:w="105" w:type="dxa"/>
              <w:right w:w="105" w:type="dxa"/>
            </w:tcMar>
            <w:vAlign w:val="top"/>
          </w:tcPr>
          <w:p w:rsidR="18DEC196" w:rsidP="18DEC196" w:rsidRDefault="18DEC196" w14:paraId="67970547" w14:textId="5AEC77BD">
            <w:pPr>
              <w:spacing w:line="360" w:lineRule="auto"/>
              <w:jc w:val="both"/>
              <w:rPr>
                <w:rFonts w:ascii="Arial" w:hAnsi="Arial" w:eastAsia="Arial" w:cs="Arial"/>
                <w:b w:val="0"/>
                <w:bCs w:val="0"/>
                <w:i w:val="0"/>
                <w:iCs w:val="0"/>
                <w:color w:val="000000" w:themeColor="text1" w:themeTint="FF" w:themeShade="FF"/>
                <w:sz w:val="24"/>
                <w:szCs w:val="24"/>
              </w:rPr>
            </w:pPr>
            <w:r w:rsidRPr="18DEC196" w:rsidR="18DEC196">
              <w:rPr>
                <w:rFonts w:ascii="Arial" w:hAnsi="Arial" w:eastAsia="Arial" w:cs="Arial"/>
                <w:b w:val="0"/>
                <w:bCs w:val="0"/>
                <w:i w:val="0"/>
                <w:iCs w:val="0"/>
                <w:color w:val="000000" w:themeColor="text1" w:themeTint="FF" w:themeShade="FF"/>
                <w:sz w:val="24"/>
                <w:szCs w:val="24"/>
                <w:lang w:val="en-GB"/>
              </w:rPr>
              <w:t>Competitive parity</w:t>
            </w:r>
          </w:p>
        </w:tc>
      </w:tr>
      <w:tr w:rsidR="18DEC196" w:rsidTr="18DEC196" w14:paraId="60255D11">
        <w:trPr>
          <w:trHeight w:val="300"/>
        </w:trPr>
        <w:tc>
          <w:tcPr>
            <w:tcW w:w="2535" w:type="dxa"/>
            <w:tcBorders>
              <w:top w:val="single" w:sz="4"/>
              <w:left w:val="single" w:sz="4"/>
              <w:bottom w:val="single" w:sz="4"/>
              <w:right w:val="single" w:sz="4"/>
            </w:tcBorders>
            <w:tcMar>
              <w:left w:w="105" w:type="dxa"/>
              <w:right w:w="105" w:type="dxa"/>
            </w:tcMar>
            <w:vAlign w:val="top"/>
          </w:tcPr>
          <w:p w:rsidR="18DEC196" w:rsidP="18DEC196" w:rsidRDefault="18DEC196" w14:paraId="1EE1E6A4" w14:textId="16650C33">
            <w:pPr>
              <w:spacing w:line="360" w:lineRule="auto"/>
              <w:jc w:val="both"/>
              <w:rPr>
                <w:rFonts w:ascii="Arial" w:hAnsi="Arial" w:eastAsia="Arial" w:cs="Arial"/>
                <w:b w:val="0"/>
                <w:bCs w:val="0"/>
                <w:i w:val="0"/>
                <w:iCs w:val="0"/>
                <w:color w:val="000000" w:themeColor="text1" w:themeTint="FF" w:themeShade="FF"/>
                <w:sz w:val="24"/>
                <w:szCs w:val="24"/>
              </w:rPr>
            </w:pPr>
            <w:r w:rsidRPr="18DEC196" w:rsidR="18DEC196">
              <w:rPr>
                <w:rFonts w:ascii="Arial" w:hAnsi="Arial" w:eastAsia="Arial" w:cs="Arial"/>
                <w:b w:val="0"/>
                <w:bCs w:val="0"/>
                <w:i w:val="0"/>
                <w:iCs w:val="0"/>
                <w:color w:val="000000" w:themeColor="text1" w:themeTint="FF" w:themeShade="FF"/>
                <w:sz w:val="24"/>
                <w:szCs w:val="24"/>
                <w:lang w:val="en-GB"/>
              </w:rPr>
              <w:t>Strategic Partnerships</w:t>
            </w:r>
          </w:p>
        </w:tc>
        <w:tc>
          <w:tcPr>
            <w:tcW w:w="1200" w:type="dxa"/>
            <w:tcBorders>
              <w:top w:val="single" w:sz="4"/>
              <w:left w:val="single" w:sz="4"/>
              <w:bottom w:val="single" w:sz="4"/>
              <w:right w:val="single" w:sz="4"/>
            </w:tcBorders>
            <w:tcMar>
              <w:left w:w="105" w:type="dxa"/>
              <w:right w:w="105" w:type="dxa"/>
            </w:tcMar>
            <w:vAlign w:val="top"/>
          </w:tcPr>
          <w:p w:rsidR="18DEC196" w:rsidP="18DEC196" w:rsidRDefault="18DEC196" w14:paraId="6528AA71" w14:textId="73B18185">
            <w:pPr>
              <w:spacing w:line="360" w:lineRule="auto"/>
              <w:jc w:val="both"/>
              <w:rPr>
                <w:rFonts w:ascii="Arial" w:hAnsi="Arial" w:eastAsia="Arial" w:cs="Arial"/>
                <w:b w:val="0"/>
                <w:bCs w:val="0"/>
                <w:i w:val="0"/>
                <w:iCs w:val="0"/>
                <w:color w:val="000000" w:themeColor="text1" w:themeTint="FF" w:themeShade="FF"/>
                <w:sz w:val="24"/>
                <w:szCs w:val="24"/>
              </w:rPr>
            </w:pPr>
            <w:r w:rsidRPr="18DEC196" w:rsidR="18DEC196">
              <w:rPr>
                <w:rFonts w:ascii="Arial" w:hAnsi="Arial" w:eastAsia="Arial" w:cs="Arial"/>
                <w:b w:val="0"/>
                <w:bCs w:val="0"/>
                <w:i w:val="0"/>
                <w:iCs w:val="0"/>
                <w:color w:val="000000" w:themeColor="text1" w:themeTint="FF" w:themeShade="FF"/>
                <w:sz w:val="24"/>
                <w:szCs w:val="24"/>
                <w:lang w:val="en-GB"/>
              </w:rPr>
              <w:t>Yes</w:t>
            </w:r>
          </w:p>
        </w:tc>
        <w:tc>
          <w:tcPr>
            <w:tcW w:w="1215" w:type="dxa"/>
            <w:tcBorders>
              <w:top w:val="single" w:sz="4"/>
              <w:left w:val="single" w:sz="4"/>
              <w:bottom w:val="single" w:sz="4"/>
              <w:right w:val="single" w:sz="4"/>
            </w:tcBorders>
            <w:tcMar>
              <w:left w:w="105" w:type="dxa"/>
              <w:right w:w="105" w:type="dxa"/>
            </w:tcMar>
            <w:vAlign w:val="top"/>
          </w:tcPr>
          <w:p w:rsidR="18DEC196" w:rsidP="18DEC196" w:rsidRDefault="18DEC196" w14:paraId="61BE0DF2" w14:textId="50EA88BF">
            <w:pPr>
              <w:spacing w:line="360" w:lineRule="auto"/>
              <w:jc w:val="both"/>
              <w:rPr>
                <w:rFonts w:ascii="Arial" w:hAnsi="Arial" w:eastAsia="Arial" w:cs="Arial"/>
                <w:b w:val="0"/>
                <w:bCs w:val="0"/>
                <w:i w:val="0"/>
                <w:iCs w:val="0"/>
                <w:color w:val="000000" w:themeColor="text1" w:themeTint="FF" w:themeShade="FF"/>
                <w:sz w:val="24"/>
                <w:szCs w:val="24"/>
              </w:rPr>
            </w:pPr>
            <w:r w:rsidRPr="18DEC196" w:rsidR="18DEC196">
              <w:rPr>
                <w:rFonts w:ascii="Arial" w:hAnsi="Arial" w:eastAsia="Arial" w:cs="Arial"/>
                <w:b w:val="0"/>
                <w:bCs w:val="0"/>
                <w:i w:val="0"/>
                <w:iCs w:val="0"/>
                <w:color w:val="000000" w:themeColor="text1" w:themeTint="FF" w:themeShade="FF"/>
                <w:sz w:val="24"/>
                <w:szCs w:val="24"/>
                <w:lang w:val="en-GB"/>
              </w:rPr>
              <w:t>Moderate</w:t>
            </w:r>
          </w:p>
        </w:tc>
        <w:tc>
          <w:tcPr>
            <w:tcW w:w="1335" w:type="dxa"/>
            <w:tcBorders>
              <w:top w:val="single" w:sz="4"/>
              <w:left w:val="single" w:sz="4"/>
              <w:bottom w:val="single" w:sz="4"/>
              <w:right w:val="single" w:sz="4"/>
            </w:tcBorders>
            <w:tcMar>
              <w:left w:w="105" w:type="dxa"/>
              <w:right w:w="105" w:type="dxa"/>
            </w:tcMar>
            <w:vAlign w:val="top"/>
          </w:tcPr>
          <w:p w:rsidR="18DEC196" w:rsidP="18DEC196" w:rsidRDefault="18DEC196" w14:paraId="5793B629" w14:textId="15DFE96F">
            <w:pPr>
              <w:spacing w:line="360" w:lineRule="auto"/>
              <w:jc w:val="both"/>
              <w:rPr>
                <w:rFonts w:ascii="Arial" w:hAnsi="Arial" w:eastAsia="Arial" w:cs="Arial"/>
                <w:b w:val="0"/>
                <w:bCs w:val="0"/>
                <w:i w:val="0"/>
                <w:iCs w:val="0"/>
                <w:color w:val="000000" w:themeColor="text1" w:themeTint="FF" w:themeShade="FF"/>
                <w:sz w:val="24"/>
                <w:szCs w:val="24"/>
              </w:rPr>
            </w:pPr>
            <w:r w:rsidRPr="18DEC196" w:rsidR="18DEC196">
              <w:rPr>
                <w:rFonts w:ascii="Arial" w:hAnsi="Arial" w:eastAsia="Arial" w:cs="Arial"/>
                <w:b w:val="0"/>
                <w:bCs w:val="0"/>
                <w:i w:val="0"/>
                <w:iCs w:val="0"/>
                <w:color w:val="000000" w:themeColor="text1" w:themeTint="FF" w:themeShade="FF"/>
                <w:sz w:val="24"/>
                <w:szCs w:val="24"/>
                <w:lang w:val="en-GB"/>
              </w:rPr>
              <w:t>Moderate</w:t>
            </w:r>
          </w:p>
        </w:tc>
        <w:tc>
          <w:tcPr>
            <w:tcW w:w="1395" w:type="dxa"/>
            <w:tcBorders>
              <w:top w:val="single" w:sz="4"/>
              <w:left w:val="single" w:sz="4"/>
              <w:bottom w:val="single" w:sz="4"/>
              <w:right w:val="single" w:sz="4"/>
            </w:tcBorders>
            <w:tcMar>
              <w:left w:w="105" w:type="dxa"/>
              <w:right w:w="105" w:type="dxa"/>
            </w:tcMar>
            <w:vAlign w:val="top"/>
          </w:tcPr>
          <w:p w:rsidR="18DEC196" w:rsidP="18DEC196" w:rsidRDefault="18DEC196" w14:paraId="70DF6AE2" w14:textId="029C9979">
            <w:pPr>
              <w:spacing w:line="360" w:lineRule="auto"/>
              <w:jc w:val="both"/>
              <w:rPr>
                <w:rFonts w:ascii="Arial" w:hAnsi="Arial" w:eastAsia="Arial" w:cs="Arial"/>
                <w:b w:val="0"/>
                <w:bCs w:val="0"/>
                <w:i w:val="0"/>
                <w:iCs w:val="0"/>
                <w:color w:val="000000" w:themeColor="text1" w:themeTint="FF" w:themeShade="FF"/>
                <w:sz w:val="24"/>
                <w:szCs w:val="24"/>
              </w:rPr>
            </w:pPr>
            <w:r w:rsidRPr="18DEC196" w:rsidR="18DEC196">
              <w:rPr>
                <w:rFonts w:ascii="Arial" w:hAnsi="Arial" w:eastAsia="Arial" w:cs="Arial"/>
                <w:b w:val="0"/>
                <w:bCs w:val="0"/>
                <w:i w:val="0"/>
                <w:iCs w:val="0"/>
                <w:color w:val="000000" w:themeColor="text1" w:themeTint="FF" w:themeShade="FF"/>
                <w:sz w:val="24"/>
                <w:szCs w:val="24"/>
                <w:lang w:val="en-GB"/>
              </w:rPr>
              <w:t>Yes</w:t>
            </w:r>
          </w:p>
        </w:tc>
        <w:tc>
          <w:tcPr>
            <w:tcW w:w="1620" w:type="dxa"/>
            <w:tcBorders>
              <w:top w:val="single" w:sz="4"/>
              <w:left w:val="single" w:sz="4"/>
              <w:bottom w:val="single" w:sz="4"/>
              <w:right w:val="single" w:sz="4"/>
            </w:tcBorders>
            <w:tcMar>
              <w:left w:w="105" w:type="dxa"/>
              <w:right w:w="105" w:type="dxa"/>
            </w:tcMar>
            <w:vAlign w:val="top"/>
          </w:tcPr>
          <w:p w:rsidR="18DEC196" w:rsidP="18DEC196" w:rsidRDefault="18DEC196" w14:paraId="1BE88DE6" w14:textId="3841807A">
            <w:pPr>
              <w:spacing w:line="360" w:lineRule="auto"/>
              <w:jc w:val="both"/>
              <w:rPr>
                <w:rFonts w:ascii="Arial" w:hAnsi="Arial" w:eastAsia="Arial" w:cs="Arial"/>
                <w:b w:val="0"/>
                <w:bCs w:val="0"/>
                <w:i w:val="0"/>
                <w:iCs w:val="0"/>
                <w:color w:val="000000" w:themeColor="text1" w:themeTint="FF" w:themeShade="FF"/>
                <w:sz w:val="24"/>
                <w:szCs w:val="24"/>
              </w:rPr>
            </w:pPr>
            <w:r w:rsidRPr="18DEC196" w:rsidR="18DEC196">
              <w:rPr>
                <w:rFonts w:ascii="Arial" w:hAnsi="Arial" w:eastAsia="Arial" w:cs="Arial"/>
                <w:b w:val="0"/>
                <w:bCs w:val="0"/>
                <w:i w:val="0"/>
                <w:iCs w:val="0"/>
                <w:color w:val="000000" w:themeColor="text1" w:themeTint="FF" w:themeShade="FF"/>
                <w:sz w:val="24"/>
                <w:szCs w:val="24"/>
                <w:lang w:val="en-GB"/>
              </w:rPr>
              <w:t>Potential competitive advantage</w:t>
            </w:r>
          </w:p>
        </w:tc>
      </w:tr>
    </w:tbl>
    <w:p xmlns:wp14="http://schemas.microsoft.com/office/word/2010/wordml" w:rsidP="18DEC196" wp14:paraId="141E6573" wp14:textId="3B75D5A1">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8DEC196" wp14:paraId="75D1013C" wp14:textId="00CDA25F">
      <w:pPr>
        <w:pStyle w:val="Heading1"/>
        <w:keepNext w:val="1"/>
        <w:keepLines w:val="1"/>
        <w:numPr>
          <w:ilvl w:val="0"/>
          <w:numId w:val="3"/>
        </w:numPr>
        <w:bidi w:val="0"/>
        <w:spacing w:before="113"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18DEC196" w:rsidR="30A94F42">
        <w:rPr>
          <w:rFonts w:ascii="Arial" w:hAnsi="Arial" w:eastAsia="Arial" w:cs="Arial"/>
          <w:b w:val="1"/>
          <w:bCs w:val="1"/>
          <w:i w:val="0"/>
          <w:iCs w:val="0"/>
          <w:caps w:val="0"/>
          <w:smallCaps w:val="0"/>
          <w:noProof w:val="0"/>
          <w:color w:val="000000" w:themeColor="text1" w:themeTint="FF" w:themeShade="FF"/>
          <w:sz w:val="24"/>
          <w:szCs w:val="24"/>
          <w:lang w:val="en-GB"/>
        </w:rPr>
        <w:t xml:space="preserve">SWOT Analysis </w:t>
      </w:r>
    </w:p>
    <w:p xmlns:wp14="http://schemas.microsoft.com/office/word/2010/wordml" w:rsidP="18DEC196" wp14:paraId="7AE2400F" wp14:textId="66DEDF8E">
      <w:pPr>
        <w:keepNext w:val="1"/>
        <w:bidi w:val="0"/>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30A94F42">
        <w:drawing>
          <wp:inline xmlns:wp14="http://schemas.microsoft.com/office/word/2010/wordprocessingDrawing" wp14:editId="5794279C" wp14:anchorId="3F86B829">
            <wp:extent cx="4876800" cy="3000375"/>
            <wp:effectExtent l="0" t="0" r="0" b="0"/>
            <wp:docPr id="818405538" name="drawing" title="What is SWOT Analysis | How to Do a SWOT Analysis | Exeed Colleg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18405538" name="Picture 818405538"/>
                    <pic:cNvPicPr/>
                  </pic:nvPicPr>
                  <pic:blipFill>
                    <a:blip xmlns:r="http://schemas.openxmlformats.org/officeDocument/2006/relationships" r:embed="rId2079213901">
                      <a:extLst>
                        <a:ext uri="{28A0092B-C50C-407E-A947-70E740481C1C}">
                          <a14:useLocalDpi xmlns:a14="http://schemas.microsoft.com/office/drawing/2010/main"/>
                        </a:ext>
                      </a:extLst>
                    </a:blip>
                    <a:stretch>
                      <a:fillRect/>
                    </a:stretch>
                  </pic:blipFill>
                  <pic:spPr>
                    <a:xfrm>
                      <a:off x="0" y="0"/>
                      <a:ext cx="4876800" cy="3000375"/>
                    </a:xfrm>
                    <a:prstGeom prst="rect">
                      <a:avLst/>
                    </a:prstGeom>
                  </pic:spPr>
                </pic:pic>
              </a:graphicData>
            </a:graphic>
          </wp:inline>
        </w:drawing>
      </w:r>
    </w:p>
    <w:p xmlns:wp14="http://schemas.microsoft.com/office/word/2010/wordml" w:rsidP="18DEC196" wp14:paraId="1941C961" wp14:textId="0C711F05">
      <w:pPr>
        <w:bidi w:val="0"/>
        <w:spacing w:before="120" w:after="120" w:line="360" w:lineRule="auto"/>
        <w:jc w:val="center"/>
        <w:rPr>
          <w:rFonts w:ascii="Arial" w:hAnsi="Arial" w:eastAsia="Arial" w:cs="Arial"/>
          <w:b w:val="0"/>
          <w:bCs w:val="0"/>
          <w:i w:val="1"/>
          <w:iCs w:val="1"/>
          <w:caps w:val="0"/>
          <w:smallCaps w:val="0"/>
          <w:noProof w:val="0"/>
          <w:color w:val="000000" w:themeColor="text1" w:themeTint="FF" w:themeShade="FF"/>
          <w:sz w:val="24"/>
          <w:szCs w:val="24"/>
          <w:lang w:val="en-US"/>
        </w:rPr>
      </w:pPr>
      <w:r w:rsidRPr="18DEC196" w:rsidR="30A94F42">
        <w:rPr>
          <w:rFonts w:ascii="Arial" w:hAnsi="Arial" w:eastAsia="Arial" w:cs="Arial"/>
          <w:b w:val="0"/>
          <w:bCs w:val="0"/>
          <w:i w:val="1"/>
          <w:iCs w:val="1"/>
          <w:caps w:val="0"/>
          <w:smallCaps w:val="0"/>
          <w:noProof w:val="0"/>
          <w:color w:val="000000" w:themeColor="text1" w:themeTint="FF" w:themeShade="FF"/>
          <w:sz w:val="24"/>
          <w:szCs w:val="24"/>
          <w:lang w:val="en-GB"/>
        </w:rPr>
        <w:t>Figure 4: SWOT Analysis</w:t>
      </w:r>
    </w:p>
    <w:p xmlns:wp14="http://schemas.microsoft.com/office/word/2010/wordml" w:rsidP="18DEC196" wp14:paraId="79B5A34B" wp14:textId="0C9723C7">
      <w:pPr>
        <w:bidi w:val="0"/>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1"/>
          <w:iCs w:val="1"/>
          <w:caps w:val="0"/>
          <w:smallCaps w:val="0"/>
          <w:noProof w:val="0"/>
          <w:color w:val="000000" w:themeColor="text1" w:themeTint="FF" w:themeShade="FF"/>
          <w:sz w:val="24"/>
          <w:szCs w:val="24"/>
          <w:lang w:val="en-GB"/>
        </w:rPr>
        <w:t>Source: (jenslin, 2024)</w:t>
      </w:r>
    </w:p>
    <w:p xmlns:wp14="http://schemas.microsoft.com/office/word/2010/wordml" w:rsidP="18DEC196" wp14:paraId="24AB6D18" wp14:textId="5C4D47E1">
      <w:pPr>
        <w:bidi w:val="0"/>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The findings of external analysis and internal analysis are integrated to offer the strategic position of Aston Martin in the luxury car industry in the world.</w:t>
      </w:r>
    </w:p>
    <w:p xmlns:wp14="http://schemas.microsoft.com/office/word/2010/wordml" w:rsidP="18DEC196" wp14:paraId="40AE3292" wp14:textId="434A6B03">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1"/>
          <w:bCs w:val="1"/>
          <w:i w:val="0"/>
          <w:iCs w:val="0"/>
          <w:caps w:val="0"/>
          <w:smallCaps w:val="0"/>
          <w:noProof w:val="0"/>
          <w:color w:val="000000" w:themeColor="text1" w:themeTint="FF" w:themeShade="FF"/>
          <w:sz w:val="24"/>
          <w:szCs w:val="24"/>
          <w:lang w:val="en-GB"/>
        </w:rPr>
        <w:t>Strengths</w:t>
      </w:r>
    </w:p>
    <w:p xmlns:wp14="http://schemas.microsoft.com/office/word/2010/wordml" w:rsidP="18DEC196" wp14:paraId="47D6A9A5" wp14:textId="4048C3C3">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There are several strengths that Aston Martin can employ to its advantage. The company is enjoying the benefits of a globally recognised prestigious brand based on more than a century of skills in making cars. It has a brand image of good sport performance cars and unique design, which strengthens its position in the high-end segment. In addition, the sound product engineering and partnership with technology firms are also factoring in the product innovation and good performance standard.</w:t>
      </w:r>
    </w:p>
    <w:p xmlns:wp14="http://schemas.microsoft.com/office/word/2010/wordml" w:rsidP="18DEC196" wp14:paraId="2E82105C" wp14:textId="524EE07A">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1"/>
          <w:bCs w:val="1"/>
          <w:i w:val="0"/>
          <w:iCs w:val="0"/>
          <w:caps w:val="0"/>
          <w:smallCaps w:val="0"/>
          <w:noProof w:val="0"/>
          <w:color w:val="000000" w:themeColor="text1" w:themeTint="FF" w:themeShade="FF"/>
          <w:sz w:val="24"/>
          <w:szCs w:val="24"/>
          <w:lang w:val="en-GB"/>
        </w:rPr>
        <w:t>Weaknesses</w:t>
      </w:r>
    </w:p>
    <w:p xmlns:wp14="http://schemas.microsoft.com/office/word/2010/wordml" w:rsidP="44A30F7A" wp14:paraId="28224EDB" wp14:textId="365C56A3">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4A30F7A"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Aston Martin also </w:t>
      </w:r>
      <w:r w:rsidRPr="44A30F7A" w:rsidR="30A94F42">
        <w:rPr>
          <w:rFonts w:ascii="Arial" w:hAnsi="Arial" w:eastAsia="Arial" w:cs="Arial"/>
          <w:b w:val="0"/>
          <w:bCs w:val="0"/>
          <w:i w:val="0"/>
          <w:iCs w:val="0"/>
          <w:caps w:val="0"/>
          <w:smallCaps w:val="0"/>
          <w:noProof w:val="0"/>
          <w:color w:val="000000" w:themeColor="text1" w:themeTint="FF" w:themeShade="FF"/>
          <w:sz w:val="24"/>
          <w:szCs w:val="24"/>
          <w:lang w:val="en-GB"/>
        </w:rPr>
        <w:t>possesses</w:t>
      </w:r>
      <w:r w:rsidRPr="44A30F7A"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several internal limitations even though it boasts of a</w:t>
      </w:r>
      <w:r w:rsidRPr="44A30F7A"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luxurious brand. There are no economies of scale because the company is currently </w:t>
      </w:r>
      <w:r w:rsidRPr="44A30F7A" w:rsidR="30A94F42">
        <w:rPr>
          <w:rFonts w:ascii="Arial" w:hAnsi="Arial" w:eastAsia="Arial" w:cs="Arial"/>
          <w:b w:val="0"/>
          <w:bCs w:val="0"/>
          <w:i w:val="0"/>
          <w:iCs w:val="0"/>
          <w:caps w:val="0"/>
          <w:smallCaps w:val="0"/>
          <w:noProof w:val="0"/>
          <w:color w:val="000000" w:themeColor="text1" w:themeTint="FF" w:themeShade="FF"/>
          <w:sz w:val="24"/>
          <w:szCs w:val="24"/>
          <w:lang w:val="en-GB"/>
        </w:rPr>
        <w:t>operating</w:t>
      </w:r>
      <w:r w:rsidRPr="44A30F7A"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with comparatively small production volumes, as opposed to other companies such as Porsche and Ferrari. The ability to commit </w:t>
      </w:r>
      <w:r w:rsidRPr="44A30F7A" w:rsidR="30A94F42">
        <w:rPr>
          <w:rFonts w:ascii="Arial" w:hAnsi="Arial" w:eastAsia="Arial" w:cs="Arial"/>
          <w:b w:val="0"/>
          <w:bCs w:val="0"/>
          <w:i w:val="0"/>
          <w:iCs w:val="0"/>
          <w:caps w:val="0"/>
          <w:smallCaps w:val="0"/>
          <w:noProof w:val="0"/>
          <w:color w:val="000000" w:themeColor="text1" w:themeTint="FF" w:themeShade="FF"/>
          <w:sz w:val="24"/>
          <w:szCs w:val="24"/>
          <w:lang w:val="en-GB"/>
        </w:rPr>
        <w:t>and also</w:t>
      </w:r>
      <w:r w:rsidRPr="44A30F7A"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work at a flexible rate is also curtailed by the issues of operational flexibility and financial challenges </w:t>
      </w:r>
      <w:r w:rsidRPr="44A30F7A" w:rsidR="30A94F42">
        <w:rPr>
          <w:rFonts w:ascii="Arial" w:hAnsi="Arial" w:eastAsia="Arial" w:cs="Arial"/>
          <w:b w:val="0"/>
          <w:bCs w:val="0"/>
          <w:i w:val="0"/>
          <w:iCs w:val="0"/>
          <w:caps w:val="0"/>
          <w:smallCaps w:val="0"/>
          <w:noProof w:val="0"/>
          <w:color w:val="000000" w:themeColor="text1" w:themeTint="FF" w:themeShade="FF"/>
          <w:sz w:val="24"/>
          <w:szCs w:val="24"/>
          <w:lang w:val="en-GB"/>
        </w:rPr>
        <w:t>witnessed</w:t>
      </w:r>
      <w:r w:rsidRPr="44A30F7A"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in the past few years.</w:t>
      </w:r>
    </w:p>
    <w:p xmlns:wp14="http://schemas.microsoft.com/office/word/2010/wordml" w:rsidP="18DEC196" wp14:paraId="2DBE9024" wp14:textId="2E3331C8">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1"/>
          <w:bCs w:val="1"/>
          <w:i w:val="0"/>
          <w:iCs w:val="0"/>
          <w:caps w:val="0"/>
          <w:smallCaps w:val="0"/>
          <w:noProof w:val="0"/>
          <w:color w:val="000000" w:themeColor="text1" w:themeTint="FF" w:themeShade="FF"/>
          <w:sz w:val="24"/>
          <w:szCs w:val="24"/>
          <w:lang w:val="en-GB"/>
        </w:rPr>
        <w:t>Opportunities</w:t>
      </w:r>
    </w:p>
    <w:p xmlns:wp14="http://schemas.microsoft.com/office/word/2010/wordml" w:rsidP="18DEC196" wp14:paraId="777194AE" wp14:textId="4394BA66">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The enormous opportunities that come with the development of electric and hybrid technologies are also huge. The global market of electric vehicles is projected to have over 30 million vehicles in the year 2030 and this gives the luxury car manufacturers that are integrating the environment friendly technology an opportunity to grow (Hossain et al., 2022). Others that have greater growth opportunities involve expansion of the luxury demand in the Asian and Middle East markets.</w:t>
      </w:r>
    </w:p>
    <w:p xmlns:wp14="http://schemas.microsoft.com/office/word/2010/wordml" w:rsidP="18DEC196" wp14:paraId="6C02327F" wp14:textId="77130F0F">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1"/>
          <w:bCs w:val="1"/>
          <w:i w:val="0"/>
          <w:iCs w:val="0"/>
          <w:caps w:val="0"/>
          <w:smallCaps w:val="0"/>
          <w:noProof w:val="0"/>
          <w:color w:val="000000" w:themeColor="text1" w:themeTint="FF" w:themeShade="FF"/>
          <w:sz w:val="24"/>
          <w:szCs w:val="24"/>
          <w:lang w:val="en-GB"/>
        </w:rPr>
        <w:t>Threats</w:t>
      </w:r>
    </w:p>
    <w:p xmlns:wp14="http://schemas.microsoft.com/office/word/2010/wordml" w:rsidP="18DEC196" wp14:paraId="0DD4AF09" wp14:textId="592E7D7F">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The major threats include intense competition from established luxury brands within the Luxury automotive, harsh environmental policies and economic recession, which could reduce the market of the quality luxury car.</w:t>
      </w:r>
    </w:p>
    <w:p xmlns:wp14="http://schemas.microsoft.com/office/word/2010/wordml" w:rsidP="18DEC196" wp14:paraId="07326BBE" wp14:textId="6A1E7708">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8DEC196" wp14:paraId="061DF3E7" wp14:textId="1B2080B6">
      <w:pPr>
        <w:pStyle w:val="Heading1"/>
        <w:keepNext w:val="1"/>
        <w:keepLines w:val="1"/>
        <w:numPr>
          <w:ilvl w:val="0"/>
          <w:numId w:val="3"/>
        </w:numPr>
        <w:bidi w:val="0"/>
        <w:spacing w:before="113"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US"/>
        </w:rPr>
      </w:pPr>
      <w:r w:rsidRPr="18DEC196" w:rsidR="30A94F42">
        <w:rPr>
          <w:rFonts w:ascii="Arial" w:hAnsi="Arial" w:eastAsia="Arial" w:cs="Arial"/>
          <w:b w:val="1"/>
          <w:bCs w:val="1"/>
          <w:i w:val="0"/>
          <w:iCs w:val="0"/>
          <w:caps w:val="0"/>
          <w:smallCaps w:val="0"/>
          <w:noProof w:val="0"/>
          <w:color w:val="000000" w:themeColor="text1" w:themeTint="FF" w:themeShade="FF"/>
          <w:sz w:val="28"/>
          <w:szCs w:val="28"/>
          <w:lang w:val="en-GB"/>
        </w:rPr>
        <w:t xml:space="preserve">Strategy Formulation </w:t>
      </w:r>
    </w:p>
    <w:p xmlns:wp14="http://schemas.microsoft.com/office/word/2010/wordml" w:rsidP="18DEC196" wp14:paraId="7C21BB18" wp14:textId="71FD4449">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As the above strategic analysis suggests, several future-oriented strategies can be used to strengthen the competitiveness of Aston Martin and help the company realize sustainable development.</w:t>
      </w:r>
    </w:p>
    <w:p xmlns:wp14="http://schemas.microsoft.com/office/word/2010/wordml" w:rsidP="18DEC196" wp14:paraId="3E90A272" wp14:textId="0EB42B33">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1"/>
          <w:bCs w:val="1"/>
          <w:i w:val="0"/>
          <w:iCs w:val="0"/>
          <w:caps w:val="0"/>
          <w:smallCaps w:val="0"/>
          <w:noProof w:val="0"/>
          <w:color w:val="000000" w:themeColor="text1" w:themeTint="FF" w:themeShade="FF"/>
          <w:sz w:val="24"/>
          <w:szCs w:val="24"/>
          <w:lang w:val="en-GB"/>
        </w:rPr>
        <w:t>The Electrification and Sustainability Innovation</w:t>
      </w:r>
    </w:p>
    <w:p xmlns:wp14="http://schemas.microsoft.com/office/word/2010/wordml" w:rsidP="18DEC196" wp14:paraId="19A361D3" wp14:textId="6BEDF4F5">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It requires Aston Martin to step up its investment in hybrid and fully electric powertrain at an accelerated rate to ensure it complies with the international change to low-emission mobility. It is estimated that the market of electric vehicles will absorb over a quarter of the global cars sales by 2030 well above the industry average, that is, electrification is necessary as a regulatory factor, as well as a long-term competitiveness criterion.</w:t>
      </w:r>
    </w:p>
    <w:p xmlns:wp14="http://schemas.microsoft.com/office/word/2010/wordml" w:rsidP="18DEC196" wp14:paraId="4E4C2D75" wp14:textId="6A5A3387">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1"/>
          <w:bCs w:val="1"/>
          <w:i w:val="0"/>
          <w:iCs w:val="0"/>
          <w:caps w:val="0"/>
          <w:smallCaps w:val="0"/>
          <w:noProof w:val="0"/>
          <w:color w:val="000000" w:themeColor="text1" w:themeTint="FF" w:themeShade="FF"/>
          <w:sz w:val="24"/>
          <w:szCs w:val="24"/>
          <w:lang w:val="en-GB"/>
        </w:rPr>
        <w:t>Technological Alliances</w:t>
      </w:r>
    </w:p>
    <w:p xmlns:wp14="http://schemas.microsoft.com/office/word/2010/wordml" w:rsidP="18DEC196" wp14:paraId="332A61CE" wp14:textId="08CECA7E">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Engineering and technology partners will be able to enhance the degree of innovativeness and lower costs of research and development. Battery-related developments, autonomous driving, or car-to-car communication can be achieved with the help of alliances.</w:t>
      </w:r>
    </w:p>
    <w:p xmlns:wp14="http://schemas.microsoft.com/office/word/2010/wordml" w:rsidP="18DEC196" wp14:paraId="33595459" wp14:textId="084576F3">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1"/>
          <w:bCs w:val="1"/>
          <w:i w:val="0"/>
          <w:iCs w:val="0"/>
          <w:caps w:val="0"/>
          <w:smallCaps w:val="0"/>
          <w:noProof w:val="0"/>
          <w:color w:val="000000" w:themeColor="text1" w:themeTint="FF" w:themeShade="FF"/>
          <w:sz w:val="24"/>
          <w:szCs w:val="24"/>
          <w:lang w:val="en-GB"/>
        </w:rPr>
        <w:t>Global Market Expansion</w:t>
      </w:r>
    </w:p>
    <w:p xmlns:wp14="http://schemas.microsoft.com/office/word/2010/wordml" w:rsidP="18DEC196" wp14:paraId="3BC5DD00" wp14:textId="06F051ED">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The luxury cars are experiencing growth in demand in the regions such as China, Middle East and Southeast Asia. The expansion of dealership networks and such markets as well as the improvement of the brand presence in such markets can significantly expand the sales opportunities (Bin Ahmad et al., 2022).</w:t>
      </w:r>
    </w:p>
    <w:p xmlns:wp14="http://schemas.microsoft.com/office/word/2010/wordml" w:rsidP="18DEC196" wp14:paraId="6EA142A4" wp14:textId="54FACBC5">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1"/>
          <w:bCs w:val="1"/>
          <w:i w:val="0"/>
          <w:iCs w:val="0"/>
          <w:caps w:val="0"/>
          <w:smallCaps w:val="0"/>
          <w:noProof w:val="0"/>
          <w:color w:val="000000" w:themeColor="text1" w:themeTint="FF" w:themeShade="FF"/>
          <w:sz w:val="24"/>
          <w:szCs w:val="24"/>
          <w:lang w:val="en-GB"/>
        </w:rPr>
        <w:t>Online Customer Experience</w:t>
      </w:r>
    </w:p>
    <w:p xmlns:wp14="http://schemas.microsoft.com/office/word/2010/wordml" w:rsidP="18DEC196" wp14:paraId="61588DE2" wp14:textId="46A490AF">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This can be achieved by establishing high-quality digital products in the vehicle customisation and contact with consumers in order to capitalise on the brand loyalty and brand positioning of Aston Martin, as a luxury vehicle, across the globe.</w:t>
      </w:r>
    </w:p>
    <w:p xmlns:wp14="http://schemas.microsoft.com/office/word/2010/wordml" w:rsidP="18DEC196" wp14:paraId="59358FF1" wp14:textId="7B057255">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8DEC196" wp14:paraId="079FB509" wp14:textId="69C52B65">
      <w:pPr>
        <w:pStyle w:val="Heading1"/>
        <w:keepNext w:val="1"/>
        <w:keepLines w:val="1"/>
        <w:numPr>
          <w:ilvl w:val="0"/>
          <w:numId w:val="3"/>
        </w:numPr>
        <w:bidi w:val="0"/>
        <w:spacing w:before="113"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US"/>
        </w:rPr>
      </w:pPr>
      <w:r w:rsidRPr="18DEC196" w:rsidR="30A94F42">
        <w:rPr>
          <w:rFonts w:ascii="Arial" w:hAnsi="Arial" w:eastAsia="Arial" w:cs="Arial"/>
          <w:b w:val="1"/>
          <w:bCs w:val="1"/>
          <w:i w:val="0"/>
          <w:iCs w:val="0"/>
          <w:caps w:val="0"/>
          <w:smallCaps w:val="0"/>
          <w:noProof w:val="0"/>
          <w:color w:val="000000" w:themeColor="text1" w:themeTint="FF" w:themeShade="FF"/>
          <w:sz w:val="28"/>
          <w:szCs w:val="28"/>
          <w:lang w:val="en-GB"/>
        </w:rPr>
        <w:t xml:space="preserve">Conclusion and Recommendations </w:t>
      </w:r>
    </w:p>
    <w:p xmlns:wp14="http://schemas.microsoft.com/office/word/2010/wordml" w:rsidP="18DEC196" wp14:paraId="1105EC41" wp14:textId="4255AC3E">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According to the strategic analysis, Aston Martin is operating in the sphere of highly competitive and rapidly developing international auto industry. These are external forces such as environmental laws, technological development and the increase in competition that are exerting so much pressure on the strategic decision making. At the same time, Aston Martin possesses important internal resources, including the positive reputation of luxury brands, the engineering level of high competence and unusual product line. However, small scale production and financial constraints are phenomena that need to be countered by measures whose responsiveness to the competition forces is required. The organisation must leverage its inherent strengths besides proactively responding to the change in the industry particularly the transition into sustainable mobility and digital innovation in the global luxury automotive market in achieve long-term success.</w:t>
      </w:r>
    </w:p>
    <w:p xmlns:wp14="http://schemas.microsoft.com/office/word/2010/wordml" w:rsidP="18DEC196" wp14:paraId="048136CF" wp14:textId="25BBDDA8">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1"/>
          <w:bCs w:val="1"/>
          <w:i w:val="0"/>
          <w:iCs w:val="0"/>
          <w:caps w:val="0"/>
          <w:smallCaps w:val="0"/>
          <w:noProof w:val="0"/>
          <w:color w:val="000000" w:themeColor="text1" w:themeTint="FF" w:themeShade="FF"/>
          <w:sz w:val="24"/>
          <w:szCs w:val="24"/>
          <w:lang w:val="en-GB"/>
        </w:rPr>
        <w:t>Recommendations</w:t>
      </w:r>
    </w:p>
    <w:p xmlns:wp14="http://schemas.microsoft.com/office/word/2010/wordml" w:rsidP="18DEC196" wp14:paraId="4C051A74" wp14:textId="44F68B76">
      <w:pPr>
        <w:pStyle w:val="ListParagraph"/>
        <w:numPr>
          <w:ilvl w:val="0"/>
          <w:numId w:val="7"/>
        </w:num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Improve investment in electric and hybrid technology in vehicles very fast.</w:t>
      </w:r>
    </w:p>
    <w:p xmlns:wp14="http://schemas.microsoft.com/office/word/2010/wordml" w:rsidP="18DEC196" wp14:paraId="7493C162" wp14:textId="09FA6E92">
      <w:pPr>
        <w:pStyle w:val="ListParagraph"/>
        <w:numPr>
          <w:ilvl w:val="0"/>
          <w:numId w:val="7"/>
        </w:num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Make strategic alliances in technology to enhance the innovation.</w:t>
      </w:r>
    </w:p>
    <w:p xmlns:wp14="http://schemas.microsoft.com/office/word/2010/wordml" w:rsidP="18DEC196" wp14:paraId="42192095" wp14:textId="13CCBE4E">
      <w:pPr>
        <w:pStyle w:val="ListParagraph"/>
        <w:numPr>
          <w:ilvl w:val="0"/>
          <w:numId w:val="7"/>
        </w:num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Increase expansion into emerging luxury markets.</w:t>
      </w:r>
    </w:p>
    <w:p xmlns:wp14="http://schemas.microsoft.com/office/word/2010/wordml" w:rsidP="18DEC196" wp14:paraId="58681A5E" wp14:textId="49898F05">
      <w:pPr>
        <w:pStyle w:val="ListParagraph"/>
        <w:numPr>
          <w:ilvl w:val="0"/>
          <w:numId w:val="7"/>
        </w:num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Improve customer contact and on-line car customisation.</w:t>
      </w:r>
    </w:p>
    <w:p xmlns:wp14="http://schemas.microsoft.com/office/word/2010/wordml" w:rsidP="18DEC196" wp14:paraId="7F5B3DA3" wp14:textId="6DF71010">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8DEC196" wp14:paraId="6675F37D" wp14:textId="2D17FAC5">
      <w:pPr>
        <w:pStyle w:val="Heading1"/>
        <w:keepNext w:val="1"/>
        <w:keepLines w:val="1"/>
        <w:numPr>
          <w:ilvl w:val="0"/>
          <w:numId w:val="3"/>
        </w:numPr>
        <w:bidi w:val="0"/>
        <w:spacing w:before="113"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US"/>
        </w:rPr>
      </w:pPr>
      <w:r w:rsidRPr="18DEC196" w:rsidR="30A94F42">
        <w:rPr>
          <w:rFonts w:ascii="Arial" w:hAnsi="Arial" w:eastAsia="Arial" w:cs="Arial"/>
          <w:b w:val="1"/>
          <w:bCs w:val="1"/>
          <w:i w:val="0"/>
          <w:iCs w:val="0"/>
          <w:caps w:val="0"/>
          <w:smallCaps w:val="0"/>
          <w:noProof w:val="0"/>
          <w:color w:val="000000" w:themeColor="text1" w:themeTint="FF" w:themeShade="FF"/>
          <w:sz w:val="28"/>
          <w:szCs w:val="28"/>
          <w:lang w:val="en-GB"/>
        </w:rPr>
        <w:t xml:space="preserve">References </w:t>
      </w:r>
    </w:p>
    <w:p xmlns:wp14="http://schemas.microsoft.com/office/word/2010/wordml" w:rsidP="18DEC196" wp14:paraId="53A0CB14" wp14:textId="77C40D1E">
      <w:pPr>
        <w:pStyle w:val="ListParagraph"/>
        <w:numPr>
          <w:ilvl w:val="0"/>
          <w:numId w:val="3"/>
        </w:numPr>
        <w:bidi w:val="0"/>
        <w:spacing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Aston Martin (2024). </w:t>
      </w:r>
      <w:r w:rsidRPr="18DEC196" w:rsidR="30A94F42">
        <w:rPr>
          <w:rFonts w:ascii="Arial" w:hAnsi="Arial" w:eastAsia="Arial" w:cs="Arial"/>
          <w:b w:val="0"/>
          <w:bCs w:val="0"/>
          <w:i w:val="1"/>
          <w:iCs w:val="1"/>
          <w:caps w:val="0"/>
          <w:smallCaps w:val="0"/>
          <w:noProof w:val="0"/>
          <w:color w:val="000000" w:themeColor="text1" w:themeTint="FF" w:themeShade="FF"/>
          <w:sz w:val="24"/>
          <w:szCs w:val="24"/>
          <w:lang w:val="en-GB"/>
        </w:rPr>
        <w:t>About Us</w:t>
      </w: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Astonmartin.com. Available at: </w:t>
      </w:r>
      <w:hyperlink r:id="Rdc9fda1e7f644f70">
        <w:r w:rsidRPr="18DEC196" w:rsidR="30A94F42">
          <w:rPr>
            <w:rStyle w:val="Hyperlink"/>
            <w:rFonts w:ascii="Arial" w:hAnsi="Arial" w:eastAsia="Arial" w:cs="Arial"/>
            <w:b w:val="0"/>
            <w:bCs w:val="0"/>
            <w:i w:val="0"/>
            <w:iCs w:val="0"/>
            <w:caps w:val="0"/>
            <w:smallCaps w:val="0"/>
            <w:strike w:val="0"/>
            <w:dstrike w:val="0"/>
            <w:noProof w:val="0"/>
            <w:sz w:val="24"/>
            <w:szCs w:val="24"/>
            <w:lang w:val="en-GB"/>
          </w:rPr>
          <w:t>https://www.astonmartin.com/en/corporate/about-us</w:t>
        </w:r>
      </w:hyperlink>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8DEC196" wp14:paraId="2F1F7F40" wp14:textId="1D92ABF1">
      <w:pPr>
        <w:pStyle w:val="ListParagraph"/>
        <w:numPr>
          <w:ilvl w:val="0"/>
          <w:numId w:val="3"/>
        </w:numPr>
        <w:bidi w:val="0"/>
        <w:spacing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Bin Ahmad, M.S., Pesyridis, A., Sphicas, P., Mahmoudzadeh Andwari, A., Gharehghani, A. and Vaglieco, B.M. (2022). Electric Vehicle Modelling for Future Technology and Market Penetration Analysis. </w:t>
      </w:r>
      <w:r w:rsidRPr="18DEC196" w:rsidR="30A94F42">
        <w:rPr>
          <w:rFonts w:ascii="Arial" w:hAnsi="Arial" w:eastAsia="Arial" w:cs="Arial"/>
          <w:b w:val="0"/>
          <w:bCs w:val="0"/>
          <w:i w:val="1"/>
          <w:iCs w:val="1"/>
          <w:caps w:val="0"/>
          <w:smallCaps w:val="0"/>
          <w:noProof w:val="0"/>
          <w:color w:val="000000" w:themeColor="text1" w:themeTint="FF" w:themeShade="FF"/>
          <w:sz w:val="24"/>
          <w:szCs w:val="24"/>
          <w:lang w:val="en-GB"/>
        </w:rPr>
        <w:t>Frontiers in Mechanical Engineering</w:t>
      </w: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[online] 8. doi: </w:t>
      </w:r>
      <w:hyperlink r:id="R7ec9043613c144c3">
        <w:r w:rsidRPr="18DEC196" w:rsidR="30A94F42">
          <w:rPr>
            <w:rStyle w:val="Hyperlink"/>
            <w:rFonts w:ascii="Arial" w:hAnsi="Arial" w:eastAsia="Arial" w:cs="Arial"/>
            <w:b w:val="0"/>
            <w:bCs w:val="0"/>
            <w:i w:val="0"/>
            <w:iCs w:val="0"/>
            <w:caps w:val="0"/>
            <w:smallCaps w:val="0"/>
            <w:strike w:val="0"/>
            <w:dstrike w:val="0"/>
            <w:noProof w:val="0"/>
            <w:sz w:val="24"/>
            <w:szCs w:val="24"/>
            <w:lang w:val="en-GB"/>
          </w:rPr>
          <w:t>https://doi.org/10.3389/fmech.2022.896547</w:t>
        </w:r>
      </w:hyperlink>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8DEC196" wp14:paraId="0E248FDF" wp14:textId="393E3897">
      <w:pPr>
        <w:pStyle w:val="ListParagraph"/>
        <w:numPr>
          <w:ilvl w:val="0"/>
          <w:numId w:val="3"/>
        </w:numPr>
        <w:bidi w:val="0"/>
        <w:spacing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Chen, H. (2025). A Case Analysis of Jaguar Cars Performance in the Past and Suggestions for Jaguars Future Operations. </w:t>
      </w:r>
      <w:r w:rsidRPr="18DEC196" w:rsidR="30A94F42">
        <w:rPr>
          <w:rFonts w:ascii="Arial" w:hAnsi="Arial" w:eastAsia="Arial" w:cs="Arial"/>
          <w:b w:val="0"/>
          <w:bCs w:val="0"/>
          <w:i w:val="1"/>
          <w:iCs w:val="1"/>
          <w:caps w:val="0"/>
          <w:smallCaps w:val="0"/>
          <w:noProof w:val="0"/>
          <w:color w:val="000000" w:themeColor="text1" w:themeTint="FF" w:themeShade="FF"/>
          <w:sz w:val="24"/>
          <w:szCs w:val="24"/>
          <w:lang w:val="en-GB"/>
        </w:rPr>
        <w:t>Advances in Economics, Management and Political Sciences</w:t>
      </w: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252(1), pp.76–81. doi: </w:t>
      </w:r>
      <w:hyperlink r:id="Rbcc62fab9ba94c7f">
        <w:r w:rsidRPr="18DEC196" w:rsidR="30A94F42">
          <w:rPr>
            <w:rStyle w:val="Hyperlink"/>
            <w:rFonts w:ascii="Arial" w:hAnsi="Arial" w:eastAsia="Arial" w:cs="Arial"/>
            <w:b w:val="0"/>
            <w:bCs w:val="0"/>
            <w:i w:val="0"/>
            <w:iCs w:val="0"/>
            <w:caps w:val="0"/>
            <w:smallCaps w:val="0"/>
            <w:strike w:val="0"/>
            <w:dstrike w:val="0"/>
            <w:noProof w:val="0"/>
            <w:sz w:val="24"/>
            <w:szCs w:val="24"/>
            <w:lang w:val="en-GB"/>
          </w:rPr>
          <w:t>https://doi.org/10.54254/2754-1169/2026.ld31020</w:t>
        </w:r>
      </w:hyperlink>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8DEC196" wp14:paraId="2B95321B" wp14:textId="1B688959">
      <w:pPr>
        <w:pStyle w:val="ListParagraph"/>
        <w:numPr>
          <w:ilvl w:val="0"/>
          <w:numId w:val="3"/>
        </w:numPr>
        <w:bidi w:val="0"/>
        <w:spacing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Chou, H., Hung, S. and Lu, W. (2021). Exploring competition efficiency of automobile brands: An extensional data envelopment analysis</w:t>
      </w:r>
      <w:r w:rsidRPr="18DEC196" w:rsidR="30A94F42">
        <w:rPr>
          <w:rFonts w:ascii="Cambria Math" w:hAnsi="Cambria Math" w:eastAsia="Cambria Math" w:cs="Cambria Math"/>
          <w:b w:val="0"/>
          <w:bCs w:val="0"/>
          <w:i w:val="0"/>
          <w:iCs w:val="0"/>
          <w:caps w:val="0"/>
          <w:smallCaps w:val="0"/>
          <w:noProof w:val="0"/>
          <w:color w:val="000000" w:themeColor="text1" w:themeTint="FF" w:themeShade="FF"/>
          <w:sz w:val="24"/>
          <w:szCs w:val="24"/>
          <w:lang w:val="en-GB"/>
        </w:rPr>
        <w:t>‐</w:t>
      </w: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metafrontier framework. </w:t>
      </w:r>
      <w:r w:rsidRPr="18DEC196" w:rsidR="30A94F42">
        <w:rPr>
          <w:rFonts w:ascii="Arial" w:hAnsi="Arial" w:eastAsia="Arial" w:cs="Arial"/>
          <w:b w:val="0"/>
          <w:bCs w:val="0"/>
          <w:i w:val="1"/>
          <w:iCs w:val="1"/>
          <w:caps w:val="0"/>
          <w:smallCaps w:val="0"/>
          <w:noProof w:val="0"/>
          <w:color w:val="000000" w:themeColor="text1" w:themeTint="FF" w:themeShade="FF"/>
          <w:sz w:val="24"/>
          <w:szCs w:val="24"/>
          <w:lang w:val="en-GB"/>
        </w:rPr>
        <w:t>Managerial and Decision Economics</w:t>
      </w: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43(1). doi: </w:t>
      </w:r>
      <w:hyperlink r:id="R22ab791f238f4c19">
        <w:r w:rsidRPr="18DEC196" w:rsidR="30A94F42">
          <w:rPr>
            <w:rStyle w:val="Hyperlink"/>
            <w:rFonts w:ascii="Arial" w:hAnsi="Arial" w:eastAsia="Arial" w:cs="Arial"/>
            <w:b w:val="0"/>
            <w:bCs w:val="0"/>
            <w:i w:val="0"/>
            <w:iCs w:val="0"/>
            <w:caps w:val="0"/>
            <w:smallCaps w:val="0"/>
            <w:strike w:val="0"/>
            <w:dstrike w:val="0"/>
            <w:noProof w:val="0"/>
            <w:sz w:val="24"/>
            <w:szCs w:val="24"/>
            <w:lang w:val="en-GB"/>
          </w:rPr>
          <w:t>https://doi.org/10.1002/mde.3378</w:t>
        </w:r>
      </w:hyperlink>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8DEC196" wp14:paraId="3F65A3BA" wp14:textId="317132A0">
      <w:pPr>
        <w:pStyle w:val="ListParagraph"/>
        <w:numPr>
          <w:ilvl w:val="0"/>
          <w:numId w:val="3"/>
        </w:numPr>
        <w:bidi w:val="0"/>
        <w:spacing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Groves, P.S. (2024). Planning for the Growth of an Advanced Industrial Economy: the United Kingdom. </w:t>
      </w:r>
      <w:r w:rsidRPr="18DEC196" w:rsidR="30A94F42">
        <w:rPr>
          <w:rFonts w:ascii="Arial" w:hAnsi="Arial" w:eastAsia="Arial" w:cs="Arial"/>
          <w:b w:val="0"/>
          <w:bCs w:val="0"/>
          <w:i w:val="1"/>
          <w:iCs w:val="1"/>
          <w:caps w:val="0"/>
          <w:smallCaps w:val="0"/>
          <w:noProof w:val="0"/>
          <w:color w:val="000000" w:themeColor="text1" w:themeTint="FF" w:themeShade="FF"/>
          <w:sz w:val="24"/>
          <w:szCs w:val="24"/>
          <w:lang w:val="en-GB"/>
        </w:rPr>
        <w:t>Planning and Growth in Rich and Poor Countries</w:t>
      </w: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pp.62–106. doi: </w:t>
      </w:r>
      <w:hyperlink r:id="R3e25c93669f341cc">
        <w:r w:rsidRPr="18DEC196" w:rsidR="30A94F42">
          <w:rPr>
            <w:rStyle w:val="Hyperlink"/>
            <w:rFonts w:ascii="Arial" w:hAnsi="Arial" w:eastAsia="Arial" w:cs="Arial"/>
            <w:b w:val="0"/>
            <w:bCs w:val="0"/>
            <w:i w:val="0"/>
            <w:iCs w:val="0"/>
            <w:caps w:val="0"/>
            <w:smallCaps w:val="0"/>
            <w:strike w:val="0"/>
            <w:dstrike w:val="0"/>
            <w:noProof w:val="0"/>
            <w:sz w:val="24"/>
            <w:szCs w:val="24"/>
            <w:lang w:val="en-GB"/>
          </w:rPr>
          <w:t>https://doi.org/10.4324/9781003588306-3</w:t>
        </w:r>
      </w:hyperlink>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8DEC196" wp14:paraId="480D6E03" wp14:textId="72C7FAA2">
      <w:pPr>
        <w:pStyle w:val="ListParagraph"/>
        <w:numPr>
          <w:ilvl w:val="0"/>
          <w:numId w:val="3"/>
        </w:numPr>
        <w:bidi w:val="0"/>
        <w:spacing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Guan, M. (2022). </w:t>
      </w:r>
      <w:r w:rsidRPr="18DEC196" w:rsidR="30A94F42">
        <w:rPr>
          <w:rFonts w:ascii="Arial" w:hAnsi="Arial" w:eastAsia="Arial" w:cs="Arial"/>
          <w:b w:val="0"/>
          <w:bCs w:val="0"/>
          <w:i w:val="1"/>
          <w:iCs w:val="1"/>
          <w:caps w:val="0"/>
          <w:smallCaps w:val="0"/>
          <w:noProof w:val="0"/>
          <w:color w:val="000000" w:themeColor="text1" w:themeTint="FF" w:themeShade="FF"/>
          <w:sz w:val="24"/>
          <w:szCs w:val="24"/>
          <w:lang w:val="en-GB"/>
        </w:rPr>
        <w:t>Five trends shaping tomorrow’s luxury-car market | McKinsey</w:t>
      </w: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[online] </w:t>
      </w:r>
      <w:hyperlink r:id="Ra447d4e0ca3b4fbc">
        <w:r w:rsidRPr="18DEC196" w:rsidR="30A94F42">
          <w:rPr>
            <w:rStyle w:val="Hyperlink"/>
            <w:rFonts w:ascii="Arial" w:hAnsi="Arial" w:eastAsia="Arial" w:cs="Arial"/>
            <w:b w:val="0"/>
            <w:bCs w:val="0"/>
            <w:i w:val="0"/>
            <w:iCs w:val="0"/>
            <w:caps w:val="0"/>
            <w:smallCaps w:val="0"/>
            <w:noProof w:val="0"/>
            <w:sz w:val="24"/>
            <w:szCs w:val="24"/>
            <w:lang w:val="en-GB"/>
          </w:rPr>
          <w:t>www.mckinsey.com</w:t>
        </w:r>
      </w:hyperlink>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77169c0c2d204781">
        <w:r w:rsidRPr="18DEC196" w:rsidR="30A94F42">
          <w:rPr>
            <w:rStyle w:val="Hyperlink"/>
            <w:rFonts w:ascii="Arial" w:hAnsi="Arial" w:eastAsia="Arial" w:cs="Arial"/>
            <w:b w:val="0"/>
            <w:bCs w:val="0"/>
            <w:i w:val="0"/>
            <w:iCs w:val="0"/>
            <w:caps w:val="0"/>
            <w:smallCaps w:val="0"/>
            <w:strike w:val="0"/>
            <w:dstrike w:val="0"/>
            <w:noProof w:val="0"/>
            <w:sz w:val="24"/>
            <w:szCs w:val="24"/>
            <w:lang w:val="en-GB"/>
          </w:rPr>
          <w:t>https://www.mckinsey.com/industries/automotive-and-assembly/our-insights/five-trends-shaping-tomorrows-luxury-car-market</w:t>
        </w:r>
      </w:hyperlink>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8DEC196" wp14:paraId="37B3D846" wp14:textId="0632F38C">
      <w:pPr>
        <w:pStyle w:val="ListParagraph"/>
        <w:numPr>
          <w:ilvl w:val="0"/>
          <w:numId w:val="3"/>
        </w:numPr>
        <w:bidi w:val="0"/>
        <w:spacing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Heubel, M. (2024). </w:t>
      </w:r>
      <w:r w:rsidRPr="18DEC196" w:rsidR="30A94F42">
        <w:rPr>
          <w:rFonts w:ascii="Arial" w:hAnsi="Arial" w:eastAsia="Arial" w:cs="Arial"/>
          <w:b w:val="0"/>
          <w:bCs w:val="0"/>
          <w:i w:val="1"/>
          <w:iCs w:val="1"/>
          <w:caps w:val="0"/>
          <w:smallCaps w:val="0"/>
          <w:noProof w:val="0"/>
          <w:color w:val="000000" w:themeColor="text1" w:themeTint="FF" w:themeShade="FF"/>
          <w:sz w:val="24"/>
          <w:szCs w:val="24"/>
          <w:lang w:val="en-GB"/>
        </w:rPr>
        <w:t>PESTLE analysis: The macro-environmental framework explained</w:t>
      </w: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[online] Consulterce. Available at: </w:t>
      </w:r>
      <w:hyperlink r:id="R363990b578b24293">
        <w:r w:rsidRPr="18DEC196" w:rsidR="30A94F42">
          <w:rPr>
            <w:rStyle w:val="Hyperlink"/>
            <w:rFonts w:ascii="Arial" w:hAnsi="Arial" w:eastAsia="Arial" w:cs="Arial"/>
            <w:b w:val="0"/>
            <w:bCs w:val="0"/>
            <w:i w:val="0"/>
            <w:iCs w:val="0"/>
            <w:caps w:val="0"/>
            <w:smallCaps w:val="0"/>
            <w:strike w:val="0"/>
            <w:dstrike w:val="0"/>
            <w:noProof w:val="0"/>
            <w:sz w:val="24"/>
            <w:szCs w:val="24"/>
            <w:lang w:val="en-GB"/>
          </w:rPr>
          <w:t>https://consulterce.com/pestle-analysis/</w:t>
        </w:r>
      </w:hyperlink>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8DEC196" wp14:paraId="2DBC56DB" wp14:textId="40F06408">
      <w:pPr>
        <w:pStyle w:val="ListParagraph"/>
        <w:numPr>
          <w:ilvl w:val="0"/>
          <w:numId w:val="3"/>
        </w:numPr>
        <w:bidi w:val="0"/>
        <w:spacing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Hossain, M.S., Kumar, L., Islam, M.M. and Selvaraj, J. (2022). A comprehensive review on the integration of electric vehicles for sustainable development. </w:t>
      </w:r>
      <w:r w:rsidRPr="18DEC196" w:rsidR="30A94F42">
        <w:rPr>
          <w:rFonts w:ascii="Arial" w:hAnsi="Arial" w:eastAsia="Arial" w:cs="Arial"/>
          <w:b w:val="0"/>
          <w:bCs w:val="0"/>
          <w:i w:val="1"/>
          <w:iCs w:val="1"/>
          <w:caps w:val="0"/>
          <w:smallCaps w:val="0"/>
          <w:noProof w:val="0"/>
          <w:color w:val="000000" w:themeColor="text1" w:themeTint="FF" w:themeShade="FF"/>
          <w:sz w:val="24"/>
          <w:szCs w:val="24"/>
          <w:lang w:val="en-GB"/>
        </w:rPr>
        <w:t>Journal of Advanced Transportation</w:t>
      </w: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[online] 2022(3868388), pp.1–26. doi: </w:t>
      </w:r>
      <w:hyperlink r:id="R10d54b9eea9f44d1">
        <w:r w:rsidRPr="18DEC196" w:rsidR="30A94F42">
          <w:rPr>
            <w:rStyle w:val="Hyperlink"/>
            <w:rFonts w:ascii="Arial" w:hAnsi="Arial" w:eastAsia="Arial" w:cs="Arial"/>
            <w:b w:val="0"/>
            <w:bCs w:val="0"/>
            <w:i w:val="0"/>
            <w:iCs w:val="0"/>
            <w:caps w:val="0"/>
            <w:smallCaps w:val="0"/>
            <w:strike w:val="0"/>
            <w:dstrike w:val="0"/>
            <w:noProof w:val="0"/>
            <w:sz w:val="24"/>
            <w:szCs w:val="24"/>
            <w:lang w:val="en-GB"/>
          </w:rPr>
          <w:t>https://doi.org/10.1155/2022/3868388</w:t>
        </w:r>
      </w:hyperlink>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8DEC196" wp14:paraId="30F7CE01" wp14:textId="3F2EE0D1">
      <w:pPr>
        <w:pStyle w:val="ListParagraph"/>
        <w:numPr>
          <w:ilvl w:val="0"/>
          <w:numId w:val="3"/>
        </w:numPr>
        <w:bidi w:val="0"/>
        <w:spacing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jenslin (2024). </w:t>
      </w:r>
      <w:r w:rsidRPr="18DEC196" w:rsidR="30A94F42">
        <w:rPr>
          <w:rFonts w:ascii="Arial" w:hAnsi="Arial" w:eastAsia="Arial" w:cs="Arial"/>
          <w:b w:val="0"/>
          <w:bCs w:val="0"/>
          <w:i w:val="1"/>
          <w:iCs w:val="1"/>
          <w:caps w:val="0"/>
          <w:smallCaps w:val="0"/>
          <w:noProof w:val="0"/>
          <w:color w:val="000000" w:themeColor="text1" w:themeTint="FF" w:themeShade="FF"/>
          <w:sz w:val="24"/>
          <w:szCs w:val="24"/>
          <w:lang w:val="en-GB"/>
        </w:rPr>
        <w:t>What is SWOT analysis and how to use it to improve your business (With examples)</w:t>
      </w: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[online] Exeed College. Available at: </w:t>
      </w:r>
      <w:hyperlink r:id="Rb9dadf2ea5c44b3a">
        <w:r w:rsidRPr="18DEC196" w:rsidR="30A94F42">
          <w:rPr>
            <w:rStyle w:val="Hyperlink"/>
            <w:rFonts w:ascii="Arial" w:hAnsi="Arial" w:eastAsia="Arial" w:cs="Arial"/>
            <w:b w:val="0"/>
            <w:bCs w:val="0"/>
            <w:i w:val="0"/>
            <w:iCs w:val="0"/>
            <w:caps w:val="0"/>
            <w:smallCaps w:val="0"/>
            <w:strike w:val="0"/>
            <w:dstrike w:val="0"/>
            <w:noProof w:val="0"/>
            <w:sz w:val="24"/>
            <w:szCs w:val="24"/>
            <w:lang w:val="en-GB"/>
          </w:rPr>
          <w:t>https://exeedcollege.com/blog/what-is-swot-analysis-and-how-to-use-it-to-improve-your-business/</w:t>
        </w:r>
      </w:hyperlink>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8DEC196" wp14:paraId="6FC2E37F" wp14:textId="787B60D1">
      <w:pPr>
        <w:pStyle w:val="ListParagraph"/>
        <w:numPr>
          <w:ilvl w:val="0"/>
          <w:numId w:val="3"/>
        </w:numPr>
        <w:bidi w:val="0"/>
        <w:spacing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Jiang, R. (2025). Strategic Management—Ferrari Strategy Report. </w:t>
      </w:r>
      <w:r w:rsidRPr="18DEC196" w:rsidR="30A94F42">
        <w:rPr>
          <w:rFonts w:ascii="Arial" w:hAnsi="Arial" w:eastAsia="Arial" w:cs="Arial"/>
          <w:b w:val="0"/>
          <w:bCs w:val="0"/>
          <w:i w:val="1"/>
          <w:iCs w:val="1"/>
          <w:caps w:val="0"/>
          <w:smallCaps w:val="0"/>
          <w:noProof w:val="0"/>
          <w:color w:val="000000" w:themeColor="text1" w:themeTint="FF" w:themeShade="FF"/>
          <w:sz w:val="24"/>
          <w:szCs w:val="24"/>
          <w:lang w:val="en-GB"/>
        </w:rPr>
        <w:t>Economics and Management Innovation</w:t>
      </w: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[online] 2(4), pp.80–85. doi: </w:t>
      </w:r>
      <w:hyperlink r:id="R557e978006674549">
        <w:r w:rsidRPr="18DEC196" w:rsidR="30A94F42">
          <w:rPr>
            <w:rStyle w:val="Hyperlink"/>
            <w:rFonts w:ascii="Arial" w:hAnsi="Arial" w:eastAsia="Arial" w:cs="Arial"/>
            <w:b w:val="0"/>
            <w:bCs w:val="0"/>
            <w:i w:val="0"/>
            <w:iCs w:val="0"/>
            <w:caps w:val="0"/>
            <w:smallCaps w:val="0"/>
            <w:strike w:val="0"/>
            <w:dstrike w:val="0"/>
            <w:noProof w:val="0"/>
            <w:sz w:val="24"/>
            <w:szCs w:val="24"/>
            <w:lang w:val="en-GB"/>
          </w:rPr>
          <w:t>https://doi.org/10.71222/m2wm3j52</w:t>
        </w:r>
      </w:hyperlink>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8DEC196" wp14:paraId="3B03B40E" wp14:textId="06191E44">
      <w:pPr>
        <w:pStyle w:val="ListParagraph"/>
        <w:numPr>
          <w:ilvl w:val="0"/>
          <w:numId w:val="3"/>
        </w:numPr>
        <w:bidi w:val="0"/>
        <w:spacing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Johnson, S. (2021). Classic Cars: Keep motoring heritage alive [Automotive - Design and production]. </w:t>
      </w:r>
      <w:r w:rsidRPr="18DEC196" w:rsidR="30A94F42">
        <w:rPr>
          <w:rFonts w:ascii="Arial" w:hAnsi="Arial" w:eastAsia="Arial" w:cs="Arial"/>
          <w:b w:val="0"/>
          <w:bCs w:val="0"/>
          <w:i w:val="1"/>
          <w:iCs w:val="1"/>
          <w:caps w:val="0"/>
          <w:smallCaps w:val="0"/>
          <w:noProof w:val="0"/>
          <w:color w:val="000000" w:themeColor="text1" w:themeTint="FF" w:themeShade="FF"/>
          <w:sz w:val="24"/>
          <w:szCs w:val="24"/>
          <w:lang w:val="en-GB"/>
        </w:rPr>
        <w:t>Engineering &amp; Technology</w:t>
      </w: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16(9), pp.42–47. doi: </w:t>
      </w:r>
      <w:hyperlink r:id="R4d3c14baa0d14f25">
        <w:r w:rsidRPr="18DEC196" w:rsidR="30A94F42">
          <w:rPr>
            <w:rStyle w:val="Hyperlink"/>
            <w:rFonts w:ascii="Arial" w:hAnsi="Arial" w:eastAsia="Arial" w:cs="Arial"/>
            <w:b w:val="0"/>
            <w:bCs w:val="0"/>
            <w:i w:val="0"/>
            <w:iCs w:val="0"/>
            <w:caps w:val="0"/>
            <w:smallCaps w:val="0"/>
            <w:strike w:val="0"/>
            <w:dstrike w:val="0"/>
            <w:noProof w:val="0"/>
            <w:sz w:val="24"/>
            <w:szCs w:val="24"/>
            <w:lang w:val="en-GB"/>
          </w:rPr>
          <w:t>https://doi.org/10.1049/et.2021.0911</w:t>
        </w:r>
      </w:hyperlink>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8DEC196" wp14:paraId="3E9515B5" wp14:textId="2A25D725">
      <w:pPr>
        <w:pStyle w:val="ListParagraph"/>
        <w:numPr>
          <w:ilvl w:val="0"/>
          <w:numId w:val="3"/>
        </w:numPr>
        <w:bidi w:val="0"/>
        <w:spacing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O’Driscoll, T.P. and Barron, A.R. (2022). CFD Analysis of the Location of a Rear Wing on an Aston Martin DB7 in Order to Optimize Aerodynamics for Motorsports. </w:t>
      </w:r>
      <w:r w:rsidRPr="18DEC196" w:rsidR="30A94F42">
        <w:rPr>
          <w:rFonts w:ascii="Arial" w:hAnsi="Arial" w:eastAsia="Arial" w:cs="Arial"/>
          <w:b w:val="0"/>
          <w:bCs w:val="0"/>
          <w:i w:val="1"/>
          <w:iCs w:val="1"/>
          <w:caps w:val="0"/>
          <w:smallCaps w:val="0"/>
          <w:noProof w:val="0"/>
          <w:color w:val="000000" w:themeColor="text1" w:themeTint="FF" w:themeShade="FF"/>
          <w:sz w:val="24"/>
          <w:szCs w:val="24"/>
          <w:lang w:val="en-GB"/>
        </w:rPr>
        <w:t>Vehicles</w:t>
      </w: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4(2), pp.608–620. doi: </w:t>
      </w:r>
      <w:hyperlink r:id="R349c8cd571cf46e9">
        <w:r w:rsidRPr="18DEC196" w:rsidR="30A94F42">
          <w:rPr>
            <w:rStyle w:val="Hyperlink"/>
            <w:rFonts w:ascii="Arial" w:hAnsi="Arial" w:eastAsia="Arial" w:cs="Arial"/>
            <w:b w:val="0"/>
            <w:bCs w:val="0"/>
            <w:i w:val="0"/>
            <w:iCs w:val="0"/>
            <w:caps w:val="0"/>
            <w:smallCaps w:val="0"/>
            <w:strike w:val="0"/>
            <w:dstrike w:val="0"/>
            <w:noProof w:val="0"/>
            <w:sz w:val="24"/>
            <w:szCs w:val="24"/>
            <w:lang w:val="en-GB"/>
          </w:rPr>
          <w:t>https://doi.org/10.3390/vehicles4020035</w:t>
        </w:r>
      </w:hyperlink>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8DEC196" wp14:paraId="40AA3684" wp14:textId="1FF76DAE">
      <w:pPr>
        <w:pStyle w:val="ListParagraph"/>
        <w:numPr>
          <w:ilvl w:val="0"/>
          <w:numId w:val="3"/>
        </w:numPr>
        <w:bidi w:val="0"/>
        <w:spacing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Oica.net. (2023). </w:t>
      </w:r>
      <w:hyperlink r:id="R779015b5b8c54387">
        <w:r w:rsidRPr="18DEC196" w:rsidR="30A94F42">
          <w:rPr>
            <w:rStyle w:val="Hyperlink"/>
            <w:rFonts w:ascii="Arial" w:hAnsi="Arial" w:eastAsia="Arial" w:cs="Arial"/>
            <w:b w:val="0"/>
            <w:bCs w:val="0"/>
            <w:i w:val="0"/>
            <w:iCs w:val="0"/>
            <w:caps w:val="0"/>
            <w:smallCaps w:val="0"/>
            <w:noProof w:val="0"/>
            <w:sz w:val="24"/>
            <w:szCs w:val="24"/>
            <w:lang w:val="en-GB"/>
          </w:rPr>
          <w:t>www.oica.net</w:t>
        </w:r>
      </w:hyperlink>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2b1fd6121a714a85">
        <w:r w:rsidRPr="18DEC196" w:rsidR="30A94F42">
          <w:rPr>
            <w:rStyle w:val="Hyperlink"/>
            <w:rFonts w:ascii="Arial" w:hAnsi="Arial" w:eastAsia="Arial" w:cs="Arial"/>
            <w:b w:val="0"/>
            <w:bCs w:val="0"/>
            <w:i w:val="0"/>
            <w:iCs w:val="0"/>
            <w:caps w:val="0"/>
            <w:smallCaps w:val="0"/>
            <w:strike w:val="0"/>
            <w:dstrike w:val="0"/>
            <w:noProof w:val="0"/>
            <w:sz w:val="24"/>
            <w:szCs w:val="24"/>
            <w:lang w:val="en-GB"/>
          </w:rPr>
          <w:t>https://oica.net/</w:t>
        </w:r>
      </w:hyperlink>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8DEC196" wp14:paraId="213B22CB" wp14:textId="0D755AF8">
      <w:pPr>
        <w:pStyle w:val="ListParagraph"/>
        <w:numPr>
          <w:ilvl w:val="0"/>
          <w:numId w:val="3"/>
        </w:numPr>
        <w:bidi w:val="0"/>
        <w:spacing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Raise (2024). </w:t>
      </w:r>
      <w:r w:rsidRPr="18DEC196" w:rsidR="30A94F42">
        <w:rPr>
          <w:rFonts w:ascii="Arial" w:hAnsi="Arial" w:eastAsia="Arial" w:cs="Arial"/>
          <w:b w:val="0"/>
          <w:bCs w:val="0"/>
          <w:i w:val="1"/>
          <w:iCs w:val="1"/>
          <w:caps w:val="0"/>
          <w:smallCaps w:val="0"/>
          <w:noProof w:val="0"/>
          <w:color w:val="000000" w:themeColor="text1" w:themeTint="FF" w:themeShade="FF"/>
          <w:sz w:val="24"/>
          <w:szCs w:val="24"/>
          <w:lang w:val="en-GB"/>
        </w:rPr>
        <w:t>Understanding Porter’s Five Forces for Startups - RAISE fosters startup growth and scale-up within and across Europe</w:t>
      </w: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[online] RAISE fosters startup growth and scale-up within and across Europe - Regions’ Alliances for Interconnected Startup Ecosystems. Available at: </w:t>
      </w:r>
      <w:hyperlink r:id="R7bd2df2b86714b7e">
        <w:r w:rsidRPr="18DEC196" w:rsidR="30A94F42">
          <w:rPr>
            <w:rStyle w:val="Hyperlink"/>
            <w:rFonts w:ascii="Arial" w:hAnsi="Arial" w:eastAsia="Arial" w:cs="Arial"/>
            <w:b w:val="0"/>
            <w:bCs w:val="0"/>
            <w:i w:val="0"/>
            <w:iCs w:val="0"/>
            <w:caps w:val="0"/>
            <w:smallCaps w:val="0"/>
            <w:strike w:val="0"/>
            <w:dstrike w:val="0"/>
            <w:noProof w:val="0"/>
            <w:sz w:val="24"/>
            <w:szCs w:val="24"/>
            <w:lang w:val="en-GB"/>
          </w:rPr>
          <w:t>https://theraise.eu/startup-news/understanding-porters-five-forces-for-startups/</w:t>
        </w:r>
      </w:hyperlink>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8DEC196" wp14:paraId="05788F55" wp14:textId="4E4387D5">
      <w:pPr>
        <w:pStyle w:val="ListParagraph"/>
        <w:numPr>
          <w:ilvl w:val="0"/>
          <w:numId w:val="3"/>
        </w:numPr>
        <w:bidi w:val="0"/>
        <w:spacing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VETTORETTO, A. (2025). Do multinational corporations drive innovation in the luxury industrial clusters? A case study of the Riviera del Brenta. </w:t>
      </w:r>
      <w:r w:rsidRPr="18DEC196" w:rsidR="30A94F42">
        <w:rPr>
          <w:rFonts w:ascii="Arial" w:hAnsi="Arial" w:eastAsia="Arial" w:cs="Arial"/>
          <w:b w:val="0"/>
          <w:bCs w:val="0"/>
          <w:i w:val="1"/>
          <w:iCs w:val="1"/>
          <w:caps w:val="0"/>
          <w:smallCaps w:val="0"/>
          <w:noProof w:val="0"/>
          <w:color w:val="000000" w:themeColor="text1" w:themeTint="FF" w:themeShade="FF"/>
          <w:sz w:val="24"/>
          <w:szCs w:val="24"/>
          <w:lang w:val="en-GB"/>
        </w:rPr>
        <w:t>Unive.it</w:t>
      </w:r>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[online] doi: </w:t>
      </w:r>
      <w:hyperlink r:id="R1e19d7ea53f747fe">
        <w:r w:rsidRPr="18DEC196" w:rsidR="30A94F42">
          <w:rPr>
            <w:rStyle w:val="Hyperlink"/>
            <w:rFonts w:ascii="Arial" w:hAnsi="Arial" w:eastAsia="Arial" w:cs="Arial"/>
            <w:b w:val="0"/>
            <w:bCs w:val="0"/>
            <w:i w:val="0"/>
            <w:iCs w:val="0"/>
            <w:caps w:val="0"/>
            <w:smallCaps w:val="0"/>
            <w:strike w:val="0"/>
            <w:dstrike w:val="0"/>
            <w:noProof w:val="0"/>
            <w:sz w:val="24"/>
            <w:szCs w:val="24"/>
            <w:lang w:val="en-GB"/>
          </w:rPr>
          <w:t>https://hdl.handle.net/20.500.14247/24855</w:t>
        </w:r>
      </w:hyperlink>
      <w:r w:rsidRPr="18DEC196" w:rsidR="30A94F4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8DEC196" wp14:paraId="00CD4B04" wp14:textId="08A642F5">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8DEC196" wp14:paraId="0451570B" wp14:textId="573B0FEC">
      <w:pPr>
        <w:bidi w:val="0"/>
        <w:spacing w:line="360" w:lineRule="auto"/>
        <w:ind w:left="720" w:hanging="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8DEC196" wp14:paraId="443FA83D" wp14:textId="5F8C57E8">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8DEC196" wp14:paraId="209E2F38" wp14:textId="29A08CE8">
      <w:pPr>
        <w:bidi w:val="0"/>
        <w:spacing w:line="360" w:lineRule="auto"/>
        <w:ind w:left="720" w:hanging="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8DEC196" wp14:paraId="4A31CF57" wp14:textId="10641938">
      <w:pPr>
        <w:bidi w:val="0"/>
        <w:spacing w:line="360" w:lineRule="auto"/>
        <w:ind w:left="720" w:hanging="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8DEC196" wp14:paraId="0754F6C9" wp14:textId="6C063BB6">
      <w:pPr>
        <w:pStyle w:val="Normal"/>
        <w:bidi w:val="0"/>
        <w:spacing w:line="360" w:lineRule="auto"/>
        <w:ind w:left="720" w:hanging="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D61D2C2" wp14:paraId="78870C9D" wp14:textId="3096EEEA">
      <w:pPr>
        <w:pStyle w:val="Normal"/>
        <w:rPr>
          <w:rFonts w:ascii="Aptos" w:hAnsi="Aptos" w:eastAsia="Aptos" w:cs="Aptos"/>
          <w:noProof w:val="0"/>
          <w:sz w:val="24"/>
          <w:szCs w:val="24"/>
          <w:lang w:val="en-US"/>
        </w:rPr>
      </w:pPr>
    </w:p>
    <w:p xmlns:wp14="http://schemas.microsoft.com/office/word/2010/wordml" w:rsidP="4D61D2C2" wp14:paraId="2C078E63" wp14:textId="7C25E14D">
      <w:pPr>
        <w:pStyle w:val="Normal"/>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nsid w:val="203e588c"/>
    <w:multiLevelType xmlns:w="http://schemas.openxmlformats.org/wordprocessingml/2006/main" w:val="multilevel"/>
    <w:lvl xmlns:w="http://schemas.openxmlformats.org/wordprocessingml/2006/main" w:ilvl="0">
      <w:start w:val="7"/>
      <w:numFmt w:val="decimal"/>
      <w:lvlText w:val=""/>
      <w:lvlJc w:val="left"/>
      <w:pPr>
        <w:ind w:left="432" w:hanging="432"/>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67e4cd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83879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cc515f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3"/>
      <w:numFmt w:val="decimal"/>
      <w:lvlText w:val=""/>
      <w:lvlJc w:val="left"/>
      <w:pPr>
        <w:ind w:left="576" w:hanging="576"/>
      </w:pPr>
      <w:rPr>
        <w:rFonts w:hint="default" w:ascii="Arial" w:hAnsi="Arial"/>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74ddd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3905c3c"/>
    <w:multiLevelType xmlns:w="http://schemas.openxmlformats.org/wordprocessingml/2006/main" w:val="hybridMultilevel"/>
    <w:lvl xmlns:w="http://schemas.openxmlformats.org/wordprocessingml/2006/main" w:ilvl="0">
      <w:start w:val="1"/>
      <w:numFmt w:val="decimal"/>
      <w:lvlText w:val=""/>
      <w:lvlJc w:val="left"/>
      <w:pPr>
        <w:ind w:left="432" w:hanging="432"/>
      </w:pPr>
    </w:lvl>
    <w:lvl xmlns:w="http://schemas.openxmlformats.org/wordprocessingml/2006/main" w:ilvl="1">
      <w:start w:val="1"/>
      <w:numFmt w:val="decimal"/>
      <w:lvlText w:val=""/>
      <w:lvlJc w:val="left"/>
      <w:pPr>
        <w:ind w:left="576" w:hanging="576"/>
      </w:pPr>
      <w:rPr>
        <w:rFonts w:hint="default" w:ascii="Arial" w:hAnsi="Arial"/>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714b3d9"/>
    <w:multiLevelType xmlns:w="http://schemas.openxmlformats.org/wordprocessingml/2006/main" w:val="multilevel"/>
    <w:lvl xmlns:w="http://schemas.openxmlformats.org/wordprocessingml/2006/main" w:ilvl="0">
      <w:start w:val="1"/>
      <w:numFmt w:val="decimal"/>
      <w:lvlText w:val=""/>
      <w:lvlJc w:val="left"/>
      <w:pPr>
        <w:ind w:left="432" w:hanging="432"/>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9d053ba"/>
    <w:multiLevelType xmlns:w="http://schemas.openxmlformats.org/wordprocessingml/2006/main" w:val="multilevel"/>
    <w:lvl xmlns:w="http://schemas.openxmlformats.org/wordprocessingml/2006/main" w:ilvl="0">
      <w:start w:val="1"/>
      <w:numFmt w:val="decimal"/>
      <w:lvlText w:val=""/>
      <w:lvlJc w:val="left"/>
      <w:pPr>
        <w:ind w:left="432" w:hanging="432"/>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8CBD84"/>
    <w:rsid w:val="00228420"/>
    <w:rsid w:val="0250DC50"/>
    <w:rsid w:val="02AF59F0"/>
    <w:rsid w:val="02EA4BF6"/>
    <w:rsid w:val="0325ECDD"/>
    <w:rsid w:val="05DBBB14"/>
    <w:rsid w:val="05DBDBEB"/>
    <w:rsid w:val="07D3578C"/>
    <w:rsid w:val="09CD5022"/>
    <w:rsid w:val="0A755648"/>
    <w:rsid w:val="0C42D594"/>
    <w:rsid w:val="0CDBDDB5"/>
    <w:rsid w:val="0D5C3D14"/>
    <w:rsid w:val="0F35ED2C"/>
    <w:rsid w:val="0FB57D25"/>
    <w:rsid w:val="0FCA09A2"/>
    <w:rsid w:val="11FD05EA"/>
    <w:rsid w:val="1459BFA4"/>
    <w:rsid w:val="16423B9F"/>
    <w:rsid w:val="188CBD84"/>
    <w:rsid w:val="18DEC196"/>
    <w:rsid w:val="1B57C3B8"/>
    <w:rsid w:val="1C0E5F30"/>
    <w:rsid w:val="1F816C3F"/>
    <w:rsid w:val="20AD175E"/>
    <w:rsid w:val="2118B23A"/>
    <w:rsid w:val="219481E3"/>
    <w:rsid w:val="219734FD"/>
    <w:rsid w:val="222BDA2F"/>
    <w:rsid w:val="229C1829"/>
    <w:rsid w:val="24019937"/>
    <w:rsid w:val="2443B8E6"/>
    <w:rsid w:val="2443B8E6"/>
    <w:rsid w:val="27B2477C"/>
    <w:rsid w:val="280E30B9"/>
    <w:rsid w:val="284B0BA8"/>
    <w:rsid w:val="2A37057B"/>
    <w:rsid w:val="2B0FDA85"/>
    <w:rsid w:val="30A94F42"/>
    <w:rsid w:val="32E88306"/>
    <w:rsid w:val="34D864A7"/>
    <w:rsid w:val="36CB04F3"/>
    <w:rsid w:val="37E408B1"/>
    <w:rsid w:val="3841C518"/>
    <w:rsid w:val="38C2E0ED"/>
    <w:rsid w:val="38FA621F"/>
    <w:rsid w:val="3CFBB22C"/>
    <w:rsid w:val="3D2FF9FB"/>
    <w:rsid w:val="3E76BD45"/>
    <w:rsid w:val="3EF24072"/>
    <w:rsid w:val="3EF24072"/>
    <w:rsid w:val="3EF80F2F"/>
    <w:rsid w:val="3F45981D"/>
    <w:rsid w:val="3FDF0221"/>
    <w:rsid w:val="40099E8A"/>
    <w:rsid w:val="4281B234"/>
    <w:rsid w:val="4392245D"/>
    <w:rsid w:val="44A30F7A"/>
    <w:rsid w:val="458FA278"/>
    <w:rsid w:val="45F08FB4"/>
    <w:rsid w:val="4663A049"/>
    <w:rsid w:val="48FA8CFE"/>
    <w:rsid w:val="4923321B"/>
    <w:rsid w:val="493006E7"/>
    <w:rsid w:val="4D40AA35"/>
    <w:rsid w:val="4D61D2C2"/>
    <w:rsid w:val="4E4CA970"/>
    <w:rsid w:val="4E59552D"/>
    <w:rsid w:val="4EA503FE"/>
    <w:rsid w:val="51BB636B"/>
    <w:rsid w:val="520BDC62"/>
    <w:rsid w:val="547088C7"/>
    <w:rsid w:val="56CBCE94"/>
    <w:rsid w:val="56EF1BB9"/>
    <w:rsid w:val="5AB395D4"/>
    <w:rsid w:val="5B492230"/>
    <w:rsid w:val="5DCE5837"/>
    <w:rsid w:val="5E1A3EA4"/>
    <w:rsid w:val="5FB01017"/>
    <w:rsid w:val="604D3CC8"/>
    <w:rsid w:val="61E0C36C"/>
    <w:rsid w:val="621035D2"/>
    <w:rsid w:val="628EEE92"/>
    <w:rsid w:val="63CFD499"/>
    <w:rsid w:val="663DA414"/>
    <w:rsid w:val="66F39CE0"/>
    <w:rsid w:val="673A24DA"/>
    <w:rsid w:val="67855884"/>
    <w:rsid w:val="67EF7CBB"/>
    <w:rsid w:val="69B2C5E7"/>
    <w:rsid w:val="69D32C79"/>
    <w:rsid w:val="6AAB05F6"/>
    <w:rsid w:val="6B1F55DC"/>
    <w:rsid w:val="6CC9616B"/>
    <w:rsid w:val="6E9F222D"/>
    <w:rsid w:val="6EB8404A"/>
    <w:rsid w:val="719B05B9"/>
    <w:rsid w:val="78C5432A"/>
    <w:rsid w:val="7C0BFCA2"/>
    <w:rsid w:val="7E1DB1C3"/>
    <w:rsid w:val="7E39C369"/>
    <w:rsid w:val="7EA745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CBD84"/>
  <w15:chartTrackingRefBased/>
  <w15:docId w15:val="{BA7A40EB-C985-42DE-94AA-6F463EE974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19B05B9"/>
    <w:pPr>
      <w:spacing/>
      <w:ind w:left="720"/>
      <w:contextualSpacing/>
    </w:pPr>
  </w:style>
  <w:style w:type="paragraph" w:styleId="Heading1">
    <w:uiPriority w:val="9"/>
    <w:name w:val="heading 1"/>
    <w:basedOn w:val="Normal"/>
    <w:next w:val="Normal"/>
    <w:qFormat/>
    <w:rsid w:val="18DEC19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8DEC19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18DEC196"/>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584151a0680447d7" /><Relationship Type="http://schemas.openxmlformats.org/officeDocument/2006/relationships/image" Target="/media/image.jpg" Id="rId124770379" /><Relationship Type="http://schemas.openxmlformats.org/officeDocument/2006/relationships/image" Target="/media/image.png" Id="rId322371476" /><Relationship Type="http://schemas.openxmlformats.org/officeDocument/2006/relationships/image" Target="/media/image2.png" Id="rId1378808055" /><Relationship Type="http://schemas.openxmlformats.org/officeDocument/2006/relationships/image" Target="/media/image3.png" Id="rId2079213901" /><Relationship Type="http://schemas.openxmlformats.org/officeDocument/2006/relationships/hyperlink" Target="https://www.astonmartin.com/en/corporate/about-us" TargetMode="External" Id="Rdc9fda1e7f644f70" /><Relationship Type="http://schemas.openxmlformats.org/officeDocument/2006/relationships/hyperlink" Target="https://doi.org/10.3389/fmech.2022.896547" TargetMode="External" Id="R7ec9043613c144c3" /><Relationship Type="http://schemas.openxmlformats.org/officeDocument/2006/relationships/hyperlink" Target="https://doi.org/10.54254/2754-1169/2026.ld31020" TargetMode="External" Id="Rbcc62fab9ba94c7f" /><Relationship Type="http://schemas.openxmlformats.org/officeDocument/2006/relationships/hyperlink" Target="https://doi.org/10.1002/mde.3378" TargetMode="External" Id="R22ab791f238f4c19" /><Relationship Type="http://schemas.openxmlformats.org/officeDocument/2006/relationships/hyperlink" Target="https://doi.org/10.4324/9781003588306-3" TargetMode="External" Id="R3e25c93669f341cc" /><Relationship Type="http://schemas.openxmlformats.org/officeDocument/2006/relationships/hyperlink" Target="https://www.mckinsey.com" TargetMode="External" Id="Ra447d4e0ca3b4fbc" /><Relationship Type="http://schemas.openxmlformats.org/officeDocument/2006/relationships/hyperlink" Target="https://www.mckinsey.com/industries/automotive-and-assembly/our-insights/five-trends-shaping-tomorrows-luxury-car-market" TargetMode="External" Id="R77169c0c2d204781" /><Relationship Type="http://schemas.openxmlformats.org/officeDocument/2006/relationships/hyperlink" Target="https://consulterce.com/pestle-analysis/" TargetMode="External" Id="R363990b578b24293" /><Relationship Type="http://schemas.openxmlformats.org/officeDocument/2006/relationships/hyperlink" Target="https://doi.org/10.1155/2022/3868388" TargetMode="External" Id="R10d54b9eea9f44d1" /><Relationship Type="http://schemas.openxmlformats.org/officeDocument/2006/relationships/hyperlink" Target="https://exeedcollege.com/blog/what-is-swot-analysis-and-how-to-use-it-to-improve-your-business/" TargetMode="External" Id="Rb9dadf2ea5c44b3a" /><Relationship Type="http://schemas.openxmlformats.org/officeDocument/2006/relationships/hyperlink" Target="https://doi.org/10.71222/m2wm3j52" TargetMode="External" Id="R557e978006674549" /><Relationship Type="http://schemas.openxmlformats.org/officeDocument/2006/relationships/hyperlink" Target="https://doi.org/10.1049/et.2021.0911" TargetMode="External" Id="R4d3c14baa0d14f25" /><Relationship Type="http://schemas.openxmlformats.org/officeDocument/2006/relationships/hyperlink" Target="https://doi.org/10.3390/vehicles4020035" TargetMode="External" Id="R349c8cd571cf46e9" /><Relationship Type="http://schemas.openxmlformats.org/officeDocument/2006/relationships/hyperlink" Target="https://www.oica.net" TargetMode="External" Id="R779015b5b8c54387" /><Relationship Type="http://schemas.openxmlformats.org/officeDocument/2006/relationships/hyperlink" Target="https://oica.net/" TargetMode="External" Id="R2b1fd6121a714a85" /><Relationship Type="http://schemas.openxmlformats.org/officeDocument/2006/relationships/hyperlink" Target="https://theraise.eu/startup-news/understanding-porters-five-forces-for-startups/" TargetMode="External" Id="R7bd2df2b86714b7e" /><Relationship Type="http://schemas.openxmlformats.org/officeDocument/2006/relationships/hyperlink" Target="https://hdl.handle.net/20.500.14247/24855" TargetMode="External" Id="R1e19d7ea53f747f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2026-03-14T09:47:38.1207630Z</dcterms:created>
  <dcterms:modified xsi:type="dcterms:W3CDTF">2026-03-21T03:31:07.7088611Z</dcterms:modified>
  <dc:creator>Maria Dorina Matei (2315746)</dc:creator>
  <lastModifiedBy>Maria Dorina Matei (2315746)</lastModifiedBy>
</coreProperties>
</file>