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D0D04" w14:textId="77777777" w:rsidR="00CB312E" w:rsidRDefault="00CB312E" w:rsidP="00CB312E">
      <w:pPr>
        <w:spacing w:after="0"/>
        <w:jc w:val="center"/>
        <w:rPr>
          <w:rFonts w:ascii="Arial" w:hAnsi="Arial" w:cs="Arial"/>
          <w:b/>
        </w:rPr>
      </w:pPr>
      <w:r w:rsidRPr="00AB5D5B">
        <w:rPr>
          <w:noProof/>
        </w:rPr>
        <w:drawing>
          <wp:anchor distT="0" distB="0" distL="114300" distR="114300" simplePos="0" relativeHeight="251659264" behindDoc="1" locked="0" layoutInCell="1" allowOverlap="1" wp14:anchorId="62ECA0D8" wp14:editId="2AE3583C">
            <wp:simplePos x="0" y="0"/>
            <wp:positionH relativeFrom="column">
              <wp:posOffset>53064</wp:posOffset>
            </wp:positionH>
            <wp:positionV relativeFrom="paragraph">
              <wp:posOffset>553</wp:posOffset>
            </wp:positionV>
            <wp:extent cx="1581150" cy="638175"/>
            <wp:effectExtent l="0" t="0" r="0" b="9525"/>
            <wp:wrapTight wrapText="bothSides">
              <wp:wrapPolygon edited="0">
                <wp:start x="0" y="0"/>
                <wp:lineTo x="0" y="21278"/>
                <wp:lineTo x="21340" y="21278"/>
                <wp:lineTo x="21340" y="0"/>
                <wp:lineTo x="0" y="0"/>
              </wp:wrapPolygon>
            </wp:wrapTight>
            <wp:docPr id="1025" name="Picture 2" descr="University of Wales Trinity Saint David">
              <a:extLst xmlns:a="http://schemas.openxmlformats.org/drawingml/2006/main">
                <a:ext uri="{FF2B5EF4-FFF2-40B4-BE49-F238E27FC236}">
                  <a16:creationId xmlns:a16="http://schemas.microsoft.com/office/drawing/2014/main" id="{1BA6F46E-B82C-9BB9-687D-9144764055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2" descr="University of Wales Trinity Saint David">
                      <a:extLst>
                        <a:ext uri="{FF2B5EF4-FFF2-40B4-BE49-F238E27FC236}">
                          <a16:creationId xmlns:a16="http://schemas.microsoft.com/office/drawing/2014/main" id="{1BA6F46E-B82C-9BB9-687D-91447640551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38175"/>
                    </a:xfrm>
                    <a:prstGeom prst="rect">
                      <a:avLst/>
                    </a:prstGeom>
                    <a:noFill/>
                  </pic:spPr>
                </pic:pic>
              </a:graphicData>
            </a:graphic>
            <wp14:sizeRelH relativeFrom="page">
              <wp14:pctWidth>0</wp14:pctWidth>
            </wp14:sizeRelH>
            <wp14:sizeRelV relativeFrom="page">
              <wp14:pctHeight>0</wp14:pctHeight>
            </wp14:sizeRelV>
          </wp:anchor>
        </w:drawing>
      </w:r>
    </w:p>
    <w:p w14:paraId="6F8919DB" w14:textId="77777777" w:rsidR="00CB312E" w:rsidRDefault="00CB312E" w:rsidP="00CB312E">
      <w:pPr>
        <w:spacing w:after="0"/>
        <w:jc w:val="center"/>
        <w:rPr>
          <w:rFonts w:ascii="Arial" w:hAnsi="Arial" w:cs="Arial"/>
          <w:b/>
        </w:rPr>
      </w:pPr>
    </w:p>
    <w:p w14:paraId="79B1EABB" w14:textId="77777777" w:rsidR="00CB312E" w:rsidRDefault="00CB312E" w:rsidP="00CB312E">
      <w:pPr>
        <w:spacing w:after="0"/>
        <w:jc w:val="center"/>
        <w:rPr>
          <w:rFonts w:ascii="Arial" w:hAnsi="Arial" w:cs="Arial"/>
          <w:b/>
        </w:rPr>
      </w:pPr>
    </w:p>
    <w:p w14:paraId="3986F1A8" w14:textId="77777777" w:rsidR="00CB312E" w:rsidRDefault="00CB312E" w:rsidP="00CB312E">
      <w:pPr>
        <w:spacing w:after="0"/>
        <w:jc w:val="center"/>
        <w:rPr>
          <w:rFonts w:ascii="Arial" w:hAnsi="Arial" w:cs="Arial"/>
          <w:b/>
        </w:rPr>
      </w:pPr>
    </w:p>
    <w:p w14:paraId="08F19F43" w14:textId="77777777" w:rsidR="00CB312E" w:rsidRPr="00AB5D5B" w:rsidRDefault="00CB312E" w:rsidP="00CB312E">
      <w:pPr>
        <w:pStyle w:val="Heading1"/>
        <w:jc w:val="center"/>
        <w:rPr>
          <w:rFonts w:ascii="Arial" w:hAnsi="Arial" w:cs="Arial"/>
          <w:color w:val="auto"/>
          <w:sz w:val="22"/>
          <w:szCs w:val="22"/>
        </w:rPr>
      </w:pPr>
      <w:bookmarkStart w:id="0" w:name="_Toc224890863"/>
      <w:r w:rsidRPr="00AB5D5B">
        <w:rPr>
          <w:rFonts w:ascii="Arial" w:hAnsi="Arial" w:cs="Arial"/>
          <w:color w:val="auto"/>
          <w:sz w:val="22"/>
          <w:szCs w:val="22"/>
        </w:rPr>
        <w:t>Student Name: Davod Rostami</w:t>
      </w:r>
      <w:bookmarkEnd w:id="0"/>
    </w:p>
    <w:p w14:paraId="38779007" w14:textId="77777777" w:rsidR="00CB312E" w:rsidRPr="00AB5D5B" w:rsidRDefault="00CB312E" w:rsidP="00CB312E">
      <w:pPr>
        <w:pStyle w:val="Heading1"/>
        <w:jc w:val="center"/>
        <w:rPr>
          <w:rFonts w:ascii="Arial" w:hAnsi="Arial" w:cs="Arial"/>
          <w:color w:val="auto"/>
          <w:sz w:val="22"/>
          <w:szCs w:val="22"/>
        </w:rPr>
      </w:pPr>
      <w:bookmarkStart w:id="1" w:name="_Toc224890864"/>
      <w:r w:rsidRPr="00AB5D5B">
        <w:rPr>
          <w:rFonts w:ascii="Arial" w:hAnsi="Arial" w:cs="Arial"/>
          <w:color w:val="auto"/>
          <w:sz w:val="22"/>
          <w:szCs w:val="22"/>
        </w:rPr>
        <w:t>Student ID: 2319757</w:t>
      </w:r>
      <w:bookmarkEnd w:id="1"/>
    </w:p>
    <w:p w14:paraId="5DDD2958" w14:textId="360A2CFB" w:rsidR="00CB312E" w:rsidRPr="00AE5E4C" w:rsidRDefault="00CB312E" w:rsidP="00CB312E">
      <w:pPr>
        <w:pStyle w:val="Heading1"/>
        <w:jc w:val="center"/>
        <w:rPr>
          <w:rFonts w:ascii="Arial" w:hAnsi="Arial" w:cs="Arial"/>
          <w:color w:val="auto"/>
          <w:sz w:val="22"/>
          <w:szCs w:val="22"/>
        </w:rPr>
      </w:pPr>
      <w:bookmarkStart w:id="2" w:name="_Toc224890865"/>
      <w:r w:rsidRPr="00AE5E4C">
        <w:rPr>
          <w:rFonts w:ascii="Arial" w:hAnsi="Arial" w:cs="Arial"/>
          <w:color w:val="auto"/>
          <w:sz w:val="22"/>
          <w:szCs w:val="22"/>
        </w:rPr>
        <w:t>Module Title: LCLM</w:t>
      </w:r>
      <w:r w:rsidR="00135BFD">
        <w:rPr>
          <w:rFonts w:ascii="Arial" w:hAnsi="Arial" w:cs="Arial"/>
          <w:color w:val="auto"/>
          <w:sz w:val="22"/>
          <w:szCs w:val="22"/>
        </w:rPr>
        <w:t>6</w:t>
      </w:r>
      <w:r w:rsidRPr="00AE5E4C">
        <w:rPr>
          <w:rFonts w:ascii="Arial" w:hAnsi="Arial" w:cs="Arial"/>
          <w:color w:val="auto"/>
          <w:sz w:val="22"/>
          <w:szCs w:val="22"/>
        </w:rPr>
        <w:t>00</w:t>
      </w:r>
      <w:r>
        <w:rPr>
          <w:rFonts w:ascii="Arial" w:hAnsi="Arial" w:cs="Arial"/>
          <w:color w:val="auto"/>
          <w:sz w:val="22"/>
          <w:szCs w:val="22"/>
        </w:rPr>
        <w:t>2</w:t>
      </w:r>
      <w:r w:rsidRPr="00AE5E4C">
        <w:rPr>
          <w:rFonts w:ascii="Arial" w:hAnsi="Arial" w:cs="Arial"/>
          <w:color w:val="auto"/>
          <w:sz w:val="22"/>
          <w:szCs w:val="22"/>
        </w:rPr>
        <w:t xml:space="preserve"> – </w:t>
      </w:r>
      <w:r>
        <w:rPr>
          <w:rFonts w:ascii="Arial" w:hAnsi="Arial" w:cs="Arial"/>
          <w:color w:val="auto"/>
          <w:sz w:val="22"/>
          <w:szCs w:val="22"/>
        </w:rPr>
        <w:t>Design Thinking &amp; Innovation Report</w:t>
      </w:r>
      <w:bookmarkEnd w:id="2"/>
    </w:p>
    <w:p w14:paraId="0887F5C8" w14:textId="2429D19E" w:rsidR="00CB312E" w:rsidRPr="00CB312E" w:rsidRDefault="00CB312E" w:rsidP="00CB312E">
      <w:pPr>
        <w:pStyle w:val="Heading1"/>
        <w:jc w:val="center"/>
        <w:rPr>
          <w:rFonts w:ascii="Arial" w:hAnsi="Arial" w:cs="Arial"/>
          <w:color w:val="auto"/>
          <w:sz w:val="22"/>
          <w:szCs w:val="22"/>
        </w:rPr>
      </w:pPr>
      <w:bookmarkStart w:id="3" w:name="_Toc224890866"/>
      <w:r w:rsidRPr="00AB5D5B">
        <w:rPr>
          <w:rFonts w:ascii="Arial" w:hAnsi="Arial" w:cs="Arial"/>
          <w:color w:val="auto"/>
          <w:sz w:val="22"/>
          <w:szCs w:val="22"/>
        </w:rPr>
        <w:t xml:space="preserve">Lecturer: </w:t>
      </w:r>
      <w:r w:rsidRPr="00CB312E">
        <w:rPr>
          <w:rFonts w:ascii="Arial" w:hAnsi="Arial" w:cs="Arial"/>
          <w:color w:val="auto"/>
          <w:sz w:val="22"/>
          <w:szCs w:val="22"/>
        </w:rPr>
        <w:t>Dr Seyed Nasirpour</w:t>
      </w:r>
      <w:bookmarkEnd w:id="3"/>
      <w:r w:rsidRPr="00CB312E">
        <w:rPr>
          <w:rFonts w:ascii="Arial" w:hAnsi="Arial" w:cs="Arial"/>
          <w:color w:val="auto"/>
          <w:sz w:val="22"/>
          <w:szCs w:val="22"/>
        </w:rPr>
        <w:t> </w:t>
      </w:r>
    </w:p>
    <w:p w14:paraId="1EC9E32E" w14:textId="77777777" w:rsidR="00CB312E" w:rsidRPr="00CB312E" w:rsidRDefault="00CB312E" w:rsidP="00CB312E"/>
    <w:p w14:paraId="01DEE314" w14:textId="58AA77FC" w:rsidR="00CB312E" w:rsidRPr="00CB312E" w:rsidRDefault="00CB312E" w:rsidP="00CB312E">
      <w:pPr>
        <w:jc w:val="center"/>
      </w:pPr>
      <w:r w:rsidRPr="00CB312E">
        <w:t>Design Thinking and Innovation Report: Tesco plc</w:t>
      </w:r>
    </w:p>
    <w:p w14:paraId="68EB6419" w14:textId="77777777" w:rsidR="00CB312E" w:rsidRDefault="00CB312E" w:rsidP="00CB312E">
      <w:pPr>
        <w:jc w:val="center"/>
        <w:rPr>
          <w:b/>
          <w:bCs/>
        </w:rPr>
      </w:pPr>
    </w:p>
    <w:p w14:paraId="2E137866" w14:textId="77777777" w:rsidR="00CB312E" w:rsidRDefault="00CB312E" w:rsidP="00CB312E">
      <w:pPr>
        <w:jc w:val="center"/>
        <w:rPr>
          <w:b/>
          <w:bCs/>
        </w:rPr>
      </w:pPr>
    </w:p>
    <w:p w14:paraId="31B74A04" w14:textId="77777777" w:rsidR="00CB312E" w:rsidRDefault="00CB312E" w:rsidP="00CB312E">
      <w:pPr>
        <w:jc w:val="center"/>
        <w:rPr>
          <w:b/>
          <w:bCs/>
        </w:rPr>
      </w:pPr>
    </w:p>
    <w:p w14:paraId="7F6406BB" w14:textId="77777777" w:rsidR="00CB312E" w:rsidRDefault="00CB312E" w:rsidP="00CB312E">
      <w:pPr>
        <w:jc w:val="center"/>
        <w:rPr>
          <w:b/>
          <w:bCs/>
        </w:rPr>
      </w:pPr>
    </w:p>
    <w:p w14:paraId="69E7BC76" w14:textId="77777777" w:rsidR="00CB312E" w:rsidRDefault="00CB312E" w:rsidP="00CB312E">
      <w:pPr>
        <w:jc w:val="center"/>
        <w:rPr>
          <w:b/>
          <w:bCs/>
        </w:rPr>
      </w:pPr>
    </w:p>
    <w:p w14:paraId="7ED78DCB" w14:textId="77777777" w:rsidR="00CB312E" w:rsidRDefault="00CB312E" w:rsidP="00CB312E">
      <w:pPr>
        <w:jc w:val="center"/>
        <w:rPr>
          <w:b/>
          <w:bCs/>
        </w:rPr>
      </w:pPr>
    </w:p>
    <w:p w14:paraId="5730270B" w14:textId="77777777" w:rsidR="00CB312E" w:rsidRDefault="00CB312E" w:rsidP="00CB312E">
      <w:pPr>
        <w:jc w:val="center"/>
        <w:rPr>
          <w:b/>
          <w:bCs/>
        </w:rPr>
      </w:pPr>
    </w:p>
    <w:p w14:paraId="3290F225" w14:textId="77777777" w:rsidR="00CB312E" w:rsidRDefault="00CB312E" w:rsidP="00CB312E">
      <w:pPr>
        <w:jc w:val="center"/>
        <w:rPr>
          <w:b/>
          <w:bCs/>
        </w:rPr>
      </w:pPr>
    </w:p>
    <w:p w14:paraId="70254FDC" w14:textId="77777777" w:rsidR="00CB312E" w:rsidRDefault="00CB312E" w:rsidP="00CB312E">
      <w:pPr>
        <w:jc w:val="center"/>
        <w:rPr>
          <w:b/>
          <w:bCs/>
        </w:rPr>
      </w:pPr>
    </w:p>
    <w:p w14:paraId="56584633" w14:textId="77777777" w:rsidR="00CB312E" w:rsidRDefault="00CB312E" w:rsidP="00CB312E">
      <w:pPr>
        <w:jc w:val="center"/>
        <w:rPr>
          <w:b/>
          <w:bCs/>
        </w:rPr>
      </w:pPr>
    </w:p>
    <w:p w14:paraId="2F292DB5" w14:textId="77777777" w:rsidR="00CB312E" w:rsidRDefault="00CB312E" w:rsidP="00CB312E">
      <w:pPr>
        <w:jc w:val="center"/>
        <w:rPr>
          <w:b/>
          <w:bCs/>
        </w:rPr>
      </w:pPr>
    </w:p>
    <w:p w14:paraId="65FBDC1B" w14:textId="77777777" w:rsidR="00CB312E" w:rsidRDefault="00CB312E" w:rsidP="00CB312E">
      <w:pPr>
        <w:jc w:val="center"/>
        <w:rPr>
          <w:b/>
          <w:bCs/>
        </w:rPr>
      </w:pPr>
    </w:p>
    <w:p w14:paraId="1FD38108" w14:textId="77777777" w:rsidR="00CB312E" w:rsidRDefault="00CB312E" w:rsidP="00CB312E">
      <w:pPr>
        <w:jc w:val="center"/>
        <w:rPr>
          <w:b/>
          <w:bCs/>
        </w:rPr>
      </w:pPr>
    </w:p>
    <w:p w14:paraId="64AA14F7" w14:textId="77777777" w:rsidR="00CB312E" w:rsidRDefault="00CB312E" w:rsidP="00CB312E">
      <w:pPr>
        <w:jc w:val="center"/>
        <w:rPr>
          <w:b/>
          <w:bCs/>
        </w:rPr>
      </w:pPr>
    </w:p>
    <w:p w14:paraId="6D2A23DE" w14:textId="77777777" w:rsidR="00CB312E" w:rsidRDefault="00CB312E" w:rsidP="00CB312E">
      <w:pPr>
        <w:jc w:val="center"/>
        <w:rPr>
          <w:b/>
          <w:bCs/>
        </w:rPr>
      </w:pPr>
    </w:p>
    <w:p w14:paraId="458E0823" w14:textId="77777777" w:rsidR="00CB312E" w:rsidRDefault="00CB312E" w:rsidP="00CB312E">
      <w:pPr>
        <w:jc w:val="center"/>
        <w:rPr>
          <w:b/>
          <w:bCs/>
        </w:rPr>
      </w:pPr>
    </w:p>
    <w:p w14:paraId="0E52948D" w14:textId="77777777" w:rsidR="00CB312E" w:rsidRDefault="00CB312E" w:rsidP="00CB312E">
      <w:pPr>
        <w:jc w:val="center"/>
        <w:rPr>
          <w:b/>
          <w:bCs/>
        </w:rPr>
      </w:pPr>
    </w:p>
    <w:p w14:paraId="1C09F377" w14:textId="77777777" w:rsidR="00CB312E" w:rsidRDefault="00CB312E" w:rsidP="00CB312E">
      <w:pPr>
        <w:jc w:val="center"/>
        <w:rPr>
          <w:b/>
          <w:bCs/>
        </w:rPr>
      </w:pPr>
    </w:p>
    <w:p w14:paraId="260AEB69" w14:textId="77777777" w:rsidR="00CB312E" w:rsidRDefault="00CB312E" w:rsidP="00CB312E">
      <w:pPr>
        <w:jc w:val="center"/>
        <w:rPr>
          <w:b/>
          <w:bCs/>
        </w:rPr>
      </w:pPr>
    </w:p>
    <w:p w14:paraId="748DC72F" w14:textId="77777777" w:rsidR="00CB312E" w:rsidRDefault="00CB312E" w:rsidP="00CB312E">
      <w:pPr>
        <w:jc w:val="center"/>
        <w:rPr>
          <w:b/>
          <w:bCs/>
        </w:rPr>
      </w:pPr>
    </w:p>
    <w:p w14:paraId="10E20EB4" w14:textId="77777777" w:rsidR="00CB312E" w:rsidRDefault="00CB312E" w:rsidP="00CB312E">
      <w:pPr>
        <w:jc w:val="center"/>
        <w:rPr>
          <w:b/>
          <w:bCs/>
        </w:rPr>
      </w:pPr>
    </w:p>
    <w:p w14:paraId="7265E22A" w14:textId="77777777" w:rsidR="00CB312E" w:rsidRDefault="00CB312E" w:rsidP="00CB312E">
      <w:pPr>
        <w:jc w:val="center"/>
        <w:rPr>
          <w:b/>
          <w:bCs/>
        </w:rPr>
      </w:pPr>
    </w:p>
    <w:p w14:paraId="75073E07" w14:textId="77777777" w:rsidR="00CB312E" w:rsidRDefault="00CB312E" w:rsidP="00CB312E">
      <w:pPr>
        <w:jc w:val="center"/>
        <w:rPr>
          <w:b/>
          <w:bCs/>
        </w:rPr>
      </w:pPr>
    </w:p>
    <w:p w14:paraId="65A4ACE0" w14:textId="77777777" w:rsidR="00CB312E" w:rsidRDefault="00CB312E" w:rsidP="00CB312E">
      <w:pPr>
        <w:rPr>
          <w:b/>
          <w:bCs/>
        </w:rPr>
      </w:pPr>
    </w:p>
    <w:sdt>
      <w:sdtPr>
        <w:rPr>
          <w:rFonts w:asciiTheme="minorHAnsi" w:eastAsiaTheme="minorHAnsi" w:hAnsiTheme="minorHAnsi" w:cstheme="minorBidi"/>
          <w:color w:val="auto"/>
          <w:kern w:val="2"/>
          <w:sz w:val="22"/>
          <w:szCs w:val="22"/>
          <w:lang w:eastAsia="en-US"/>
        </w:rPr>
        <w:id w:val="1106464365"/>
        <w:docPartObj>
          <w:docPartGallery w:val="Table of Contents"/>
          <w:docPartUnique/>
        </w:docPartObj>
      </w:sdtPr>
      <w:sdtEndPr>
        <w:rPr>
          <w:b/>
          <w:bCs/>
        </w:rPr>
      </w:sdtEndPr>
      <w:sdtContent>
        <w:p w14:paraId="4D9D9AB4" w14:textId="3BF3309C" w:rsidR="00CB312E" w:rsidRPr="000A05EB" w:rsidRDefault="00CB312E">
          <w:pPr>
            <w:pStyle w:val="TOCHeading"/>
            <w:rPr>
              <w:color w:val="auto"/>
            </w:rPr>
          </w:pPr>
          <w:r w:rsidRPr="000A05EB">
            <w:rPr>
              <w:color w:val="auto"/>
            </w:rPr>
            <w:t>Table of Contents</w:t>
          </w:r>
        </w:p>
        <w:p w14:paraId="3D68E2F1" w14:textId="46D1CA2B" w:rsidR="00CB312E" w:rsidRDefault="00CB312E" w:rsidP="00CB312E">
          <w:pPr>
            <w:pStyle w:val="TOC1"/>
            <w:tabs>
              <w:tab w:val="right" w:leader="dot" w:pos="9016"/>
            </w:tabs>
            <w:rPr>
              <w:noProof/>
            </w:rPr>
          </w:pPr>
          <w:r>
            <w:fldChar w:fldCharType="begin"/>
          </w:r>
          <w:r>
            <w:instrText xml:space="preserve"> TOC \o "1-3" \h \z \u </w:instrText>
          </w:r>
          <w:r>
            <w:fldChar w:fldCharType="separate"/>
          </w:r>
          <w:hyperlink w:anchor="_Toc224890867" w:history="1">
            <w:r w:rsidRPr="00FF0963">
              <w:rPr>
                <w:rStyle w:val="Hyperlink"/>
                <w:noProof/>
              </w:rPr>
              <w:t>1. Introduction</w:t>
            </w:r>
            <w:r>
              <w:rPr>
                <w:noProof/>
                <w:webHidden/>
              </w:rPr>
              <w:tab/>
            </w:r>
            <w:r>
              <w:rPr>
                <w:noProof/>
                <w:webHidden/>
              </w:rPr>
              <w:fldChar w:fldCharType="begin"/>
            </w:r>
            <w:r>
              <w:rPr>
                <w:noProof/>
                <w:webHidden/>
              </w:rPr>
              <w:instrText xml:space="preserve"> PAGEREF _Toc224890867 \h </w:instrText>
            </w:r>
            <w:r>
              <w:rPr>
                <w:noProof/>
                <w:webHidden/>
              </w:rPr>
            </w:r>
            <w:r>
              <w:rPr>
                <w:noProof/>
                <w:webHidden/>
              </w:rPr>
              <w:fldChar w:fldCharType="separate"/>
            </w:r>
            <w:r w:rsidR="00732BF8">
              <w:rPr>
                <w:noProof/>
                <w:webHidden/>
              </w:rPr>
              <w:t>3</w:t>
            </w:r>
            <w:r>
              <w:rPr>
                <w:noProof/>
                <w:webHidden/>
              </w:rPr>
              <w:fldChar w:fldCharType="end"/>
            </w:r>
          </w:hyperlink>
        </w:p>
        <w:p w14:paraId="7BD70A45" w14:textId="247B07A5" w:rsidR="00CB312E" w:rsidRDefault="00CB312E">
          <w:pPr>
            <w:pStyle w:val="TOC1"/>
            <w:tabs>
              <w:tab w:val="right" w:leader="dot" w:pos="9016"/>
            </w:tabs>
            <w:rPr>
              <w:noProof/>
            </w:rPr>
          </w:pPr>
          <w:hyperlink w:anchor="_Toc224890868" w:history="1">
            <w:r w:rsidRPr="00FF0963">
              <w:rPr>
                <w:rStyle w:val="Hyperlink"/>
                <w:noProof/>
              </w:rPr>
              <w:t>2. Company Overview</w:t>
            </w:r>
            <w:r>
              <w:rPr>
                <w:noProof/>
                <w:webHidden/>
              </w:rPr>
              <w:tab/>
            </w:r>
            <w:r>
              <w:rPr>
                <w:noProof/>
                <w:webHidden/>
              </w:rPr>
              <w:fldChar w:fldCharType="begin"/>
            </w:r>
            <w:r>
              <w:rPr>
                <w:noProof/>
                <w:webHidden/>
              </w:rPr>
              <w:instrText xml:space="preserve"> PAGEREF _Toc224890868 \h </w:instrText>
            </w:r>
            <w:r>
              <w:rPr>
                <w:noProof/>
                <w:webHidden/>
              </w:rPr>
            </w:r>
            <w:r>
              <w:rPr>
                <w:noProof/>
                <w:webHidden/>
              </w:rPr>
              <w:fldChar w:fldCharType="separate"/>
            </w:r>
            <w:r w:rsidR="00732BF8">
              <w:rPr>
                <w:noProof/>
                <w:webHidden/>
              </w:rPr>
              <w:t>3</w:t>
            </w:r>
            <w:r>
              <w:rPr>
                <w:noProof/>
                <w:webHidden/>
              </w:rPr>
              <w:fldChar w:fldCharType="end"/>
            </w:r>
          </w:hyperlink>
        </w:p>
        <w:p w14:paraId="03B1E74A" w14:textId="12EE9E60" w:rsidR="00CB312E" w:rsidRDefault="00CB312E">
          <w:pPr>
            <w:pStyle w:val="TOC1"/>
            <w:tabs>
              <w:tab w:val="right" w:leader="dot" w:pos="9016"/>
            </w:tabs>
            <w:rPr>
              <w:noProof/>
            </w:rPr>
          </w:pPr>
          <w:hyperlink w:anchor="_Toc224890869" w:history="1">
            <w:r w:rsidRPr="00FF0963">
              <w:rPr>
                <w:rStyle w:val="Hyperlink"/>
                <w:noProof/>
              </w:rPr>
              <w:t>3. Part 1: Analysis and Assessment</w:t>
            </w:r>
            <w:r>
              <w:rPr>
                <w:noProof/>
                <w:webHidden/>
              </w:rPr>
              <w:tab/>
            </w:r>
            <w:r>
              <w:rPr>
                <w:noProof/>
                <w:webHidden/>
              </w:rPr>
              <w:fldChar w:fldCharType="begin"/>
            </w:r>
            <w:r>
              <w:rPr>
                <w:noProof/>
                <w:webHidden/>
              </w:rPr>
              <w:instrText xml:space="preserve"> PAGEREF _Toc224890869 \h </w:instrText>
            </w:r>
            <w:r>
              <w:rPr>
                <w:noProof/>
                <w:webHidden/>
              </w:rPr>
            </w:r>
            <w:r>
              <w:rPr>
                <w:noProof/>
                <w:webHidden/>
              </w:rPr>
              <w:fldChar w:fldCharType="separate"/>
            </w:r>
            <w:r w:rsidR="00732BF8">
              <w:rPr>
                <w:noProof/>
                <w:webHidden/>
              </w:rPr>
              <w:t>4</w:t>
            </w:r>
            <w:r>
              <w:rPr>
                <w:noProof/>
                <w:webHidden/>
              </w:rPr>
              <w:fldChar w:fldCharType="end"/>
            </w:r>
          </w:hyperlink>
        </w:p>
        <w:p w14:paraId="5B02BCDA" w14:textId="30160DA8" w:rsidR="00CB312E" w:rsidRDefault="00CB312E">
          <w:pPr>
            <w:pStyle w:val="TOC2"/>
            <w:tabs>
              <w:tab w:val="right" w:leader="dot" w:pos="9016"/>
            </w:tabs>
            <w:rPr>
              <w:noProof/>
            </w:rPr>
          </w:pPr>
          <w:hyperlink w:anchor="_Toc224890870" w:history="1">
            <w:r w:rsidRPr="00FF0963">
              <w:rPr>
                <w:rStyle w:val="Hyperlink"/>
                <w:noProof/>
              </w:rPr>
              <w:t>3.1 Innovation Ambition Matrix</w:t>
            </w:r>
            <w:r>
              <w:rPr>
                <w:noProof/>
                <w:webHidden/>
              </w:rPr>
              <w:tab/>
            </w:r>
            <w:r>
              <w:rPr>
                <w:noProof/>
                <w:webHidden/>
              </w:rPr>
              <w:fldChar w:fldCharType="begin"/>
            </w:r>
            <w:r>
              <w:rPr>
                <w:noProof/>
                <w:webHidden/>
              </w:rPr>
              <w:instrText xml:space="preserve"> PAGEREF _Toc224890870 \h </w:instrText>
            </w:r>
            <w:r>
              <w:rPr>
                <w:noProof/>
                <w:webHidden/>
              </w:rPr>
            </w:r>
            <w:r>
              <w:rPr>
                <w:noProof/>
                <w:webHidden/>
              </w:rPr>
              <w:fldChar w:fldCharType="separate"/>
            </w:r>
            <w:r w:rsidR="00732BF8">
              <w:rPr>
                <w:noProof/>
                <w:webHidden/>
              </w:rPr>
              <w:t>4</w:t>
            </w:r>
            <w:r>
              <w:rPr>
                <w:noProof/>
                <w:webHidden/>
              </w:rPr>
              <w:fldChar w:fldCharType="end"/>
            </w:r>
          </w:hyperlink>
        </w:p>
        <w:p w14:paraId="1313CF2A" w14:textId="2D661007" w:rsidR="00CB312E" w:rsidRDefault="00CB312E">
          <w:pPr>
            <w:pStyle w:val="TOC2"/>
            <w:tabs>
              <w:tab w:val="right" w:leader="dot" w:pos="9016"/>
            </w:tabs>
            <w:rPr>
              <w:noProof/>
            </w:rPr>
          </w:pPr>
          <w:hyperlink w:anchor="_Toc224890871" w:history="1">
            <w:r w:rsidRPr="00FF0963">
              <w:rPr>
                <w:rStyle w:val="Hyperlink"/>
                <w:noProof/>
              </w:rPr>
              <w:t>3.2 Customer Journey Mapping: current customer journey</w:t>
            </w:r>
            <w:r>
              <w:rPr>
                <w:noProof/>
                <w:webHidden/>
              </w:rPr>
              <w:tab/>
            </w:r>
            <w:r>
              <w:rPr>
                <w:noProof/>
                <w:webHidden/>
              </w:rPr>
              <w:fldChar w:fldCharType="begin"/>
            </w:r>
            <w:r>
              <w:rPr>
                <w:noProof/>
                <w:webHidden/>
              </w:rPr>
              <w:instrText xml:space="preserve"> PAGEREF _Toc224890871 \h </w:instrText>
            </w:r>
            <w:r>
              <w:rPr>
                <w:noProof/>
                <w:webHidden/>
              </w:rPr>
            </w:r>
            <w:r>
              <w:rPr>
                <w:noProof/>
                <w:webHidden/>
              </w:rPr>
              <w:fldChar w:fldCharType="separate"/>
            </w:r>
            <w:r w:rsidR="00732BF8">
              <w:rPr>
                <w:noProof/>
                <w:webHidden/>
              </w:rPr>
              <w:t>6</w:t>
            </w:r>
            <w:r>
              <w:rPr>
                <w:noProof/>
                <w:webHidden/>
              </w:rPr>
              <w:fldChar w:fldCharType="end"/>
            </w:r>
          </w:hyperlink>
        </w:p>
        <w:p w14:paraId="79FF3B2C" w14:textId="68787626" w:rsidR="00CB312E" w:rsidRDefault="00CB312E">
          <w:pPr>
            <w:pStyle w:val="TOC2"/>
            <w:tabs>
              <w:tab w:val="right" w:leader="dot" w:pos="9016"/>
            </w:tabs>
            <w:rPr>
              <w:noProof/>
            </w:rPr>
          </w:pPr>
          <w:hyperlink w:anchor="_Toc224890872" w:history="1">
            <w:r w:rsidRPr="00FF0963">
              <w:rPr>
                <w:rStyle w:val="Hyperlink"/>
                <w:noProof/>
              </w:rPr>
              <w:t>3.3 Pain points, gain points and digital innovation opportunities</w:t>
            </w:r>
            <w:r>
              <w:rPr>
                <w:noProof/>
                <w:webHidden/>
              </w:rPr>
              <w:tab/>
            </w:r>
            <w:r>
              <w:rPr>
                <w:noProof/>
                <w:webHidden/>
              </w:rPr>
              <w:fldChar w:fldCharType="begin"/>
            </w:r>
            <w:r>
              <w:rPr>
                <w:noProof/>
                <w:webHidden/>
              </w:rPr>
              <w:instrText xml:space="preserve"> PAGEREF _Toc224890872 \h </w:instrText>
            </w:r>
            <w:r>
              <w:rPr>
                <w:noProof/>
                <w:webHidden/>
              </w:rPr>
            </w:r>
            <w:r>
              <w:rPr>
                <w:noProof/>
                <w:webHidden/>
              </w:rPr>
              <w:fldChar w:fldCharType="separate"/>
            </w:r>
            <w:r w:rsidR="00732BF8">
              <w:rPr>
                <w:noProof/>
                <w:webHidden/>
              </w:rPr>
              <w:t>8</w:t>
            </w:r>
            <w:r>
              <w:rPr>
                <w:noProof/>
                <w:webHidden/>
              </w:rPr>
              <w:fldChar w:fldCharType="end"/>
            </w:r>
          </w:hyperlink>
        </w:p>
        <w:p w14:paraId="4F8DFAAC" w14:textId="0917E0B1" w:rsidR="00CB312E" w:rsidRDefault="00CB312E">
          <w:pPr>
            <w:pStyle w:val="TOC1"/>
            <w:tabs>
              <w:tab w:val="right" w:leader="dot" w:pos="9016"/>
            </w:tabs>
            <w:rPr>
              <w:noProof/>
            </w:rPr>
          </w:pPr>
          <w:hyperlink w:anchor="_Toc224890873" w:history="1">
            <w:r w:rsidRPr="00FF0963">
              <w:rPr>
                <w:rStyle w:val="Hyperlink"/>
                <w:noProof/>
              </w:rPr>
              <w:t>4. Part 2: Proposed Digital Transformation Initiative</w:t>
            </w:r>
            <w:r>
              <w:rPr>
                <w:noProof/>
                <w:webHidden/>
              </w:rPr>
              <w:tab/>
            </w:r>
            <w:r>
              <w:rPr>
                <w:noProof/>
                <w:webHidden/>
              </w:rPr>
              <w:fldChar w:fldCharType="begin"/>
            </w:r>
            <w:r>
              <w:rPr>
                <w:noProof/>
                <w:webHidden/>
              </w:rPr>
              <w:instrText xml:space="preserve"> PAGEREF _Toc224890873 \h </w:instrText>
            </w:r>
            <w:r>
              <w:rPr>
                <w:noProof/>
                <w:webHidden/>
              </w:rPr>
            </w:r>
            <w:r>
              <w:rPr>
                <w:noProof/>
                <w:webHidden/>
              </w:rPr>
              <w:fldChar w:fldCharType="separate"/>
            </w:r>
            <w:r w:rsidR="00732BF8">
              <w:rPr>
                <w:noProof/>
                <w:webHidden/>
              </w:rPr>
              <w:t>8</w:t>
            </w:r>
            <w:r>
              <w:rPr>
                <w:noProof/>
                <w:webHidden/>
              </w:rPr>
              <w:fldChar w:fldCharType="end"/>
            </w:r>
          </w:hyperlink>
        </w:p>
        <w:p w14:paraId="14D683B6" w14:textId="1E8D5D98" w:rsidR="00CB312E" w:rsidRDefault="00CB312E">
          <w:pPr>
            <w:pStyle w:val="TOC2"/>
            <w:tabs>
              <w:tab w:val="right" w:leader="dot" w:pos="9016"/>
            </w:tabs>
            <w:rPr>
              <w:noProof/>
            </w:rPr>
          </w:pPr>
          <w:hyperlink w:anchor="_Toc224890874" w:history="1">
            <w:r w:rsidRPr="00FF0963">
              <w:rPr>
                <w:rStyle w:val="Hyperlink"/>
                <w:noProof/>
              </w:rPr>
              <w:t>4.1 Proposed initiative: Tesco SmartShopper AI Ecosystem</w:t>
            </w:r>
            <w:r>
              <w:rPr>
                <w:noProof/>
                <w:webHidden/>
              </w:rPr>
              <w:tab/>
            </w:r>
            <w:r>
              <w:rPr>
                <w:noProof/>
                <w:webHidden/>
              </w:rPr>
              <w:fldChar w:fldCharType="begin"/>
            </w:r>
            <w:r>
              <w:rPr>
                <w:noProof/>
                <w:webHidden/>
              </w:rPr>
              <w:instrText xml:space="preserve"> PAGEREF _Toc224890874 \h </w:instrText>
            </w:r>
            <w:r>
              <w:rPr>
                <w:noProof/>
                <w:webHidden/>
              </w:rPr>
            </w:r>
            <w:r>
              <w:rPr>
                <w:noProof/>
                <w:webHidden/>
              </w:rPr>
              <w:fldChar w:fldCharType="separate"/>
            </w:r>
            <w:r w:rsidR="00732BF8">
              <w:rPr>
                <w:noProof/>
                <w:webHidden/>
              </w:rPr>
              <w:t>8</w:t>
            </w:r>
            <w:r>
              <w:rPr>
                <w:noProof/>
                <w:webHidden/>
              </w:rPr>
              <w:fldChar w:fldCharType="end"/>
            </w:r>
          </w:hyperlink>
        </w:p>
        <w:p w14:paraId="04878DD3" w14:textId="16632657" w:rsidR="00CB312E" w:rsidRDefault="00CB312E">
          <w:pPr>
            <w:pStyle w:val="TOC2"/>
            <w:tabs>
              <w:tab w:val="right" w:leader="dot" w:pos="9016"/>
            </w:tabs>
            <w:rPr>
              <w:noProof/>
            </w:rPr>
          </w:pPr>
          <w:hyperlink w:anchor="_Toc224890875" w:history="1">
            <w:r w:rsidRPr="00FF0963">
              <w:rPr>
                <w:rStyle w:val="Hyperlink"/>
                <w:noProof/>
              </w:rPr>
              <w:t>4.2 Updated customer journey map</w:t>
            </w:r>
            <w:r>
              <w:rPr>
                <w:noProof/>
                <w:webHidden/>
              </w:rPr>
              <w:tab/>
            </w:r>
            <w:r>
              <w:rPr>
                <w:noProof/>
                <w:webHidden/>
              </w:rPr>
              <w:fldChar w:fldCharType="begin"/>
            </w:r>
            <w:r>
              <w:rPr>
                <w:noProof/>
                <w:webHidden/>
              </w:rPr>
              <w:instrText xml:space="preserve"> PAGEREF _Toc224890875 \h </w:instrText>
            </w:r>
            <w:r>
              <w:rPr>
                <w:noProof/>
                <w:webHidden/>
              </w:rPr>
            </w:r>
            <w:r>
              <w:rPr>
                <w:noProof/>
                <w:webHidden/>
              </w:rPr>
              <w:fldChar w:fldCharType="separate"/>
            </w:r>
            <w:r w:rsidR="00732BF8">
              <w:rPr>
                <w:noProof/>
                <w:webHidden/>
              </w:rPr>
              <w:t>9</w:t>
            </w:r>
            <w:r>
              <w:rPr>
                <w:noProof/>
                <w:webHidden/>
              </w:rPr>
              <w:fldChar w:fldCharType="end"/>
            </w:r>
          </w:hyperlink>
        </w:p>
        <w:p w14:paraId="5F588DAD" w14:textId="1C85D8E0" w:rsidR="00CB312E" w:rsidRDefault="00CB312E">
          <w:pPr>
            <w:pStyle w:val="TOC2"/>
            <w:tabs>
              <w:tab w:val="right" w:leader="dot" w:pos="9016"/>
            </w:tabs>
            <w:rPr>
              <w:noProof/>
            </w:rPr>
          </w:pPr>
          <w:hyperlink w:anchor="_Toc224890876" w:history="1">
            <w:r w:rsidRPr="00FF0963">
              <w:rPr>
                <w:rStyle w:val="Hyperlink"/>
                <w:noProof/>
              </w:rPr>
              <w:t>4.3 Organisational benefits of the proposed initiative</w:t>
            </w:r>
            <w:r>
              <w:rPr>
                <w:noProof/>
                <w:webHidden/>
              </w:rPr>
              <w:tab/>
            </w:r>
            <w:r>
              <w:rPr>
                <w:noProof/>
                <w:webHidden/>
              </w:rPr>
              <w:fldChar w:fldCharType="begin"/>
            </w:r>
            <w:r>
              <w:rPr>
                <w:noProof/>
                <w:webHidden/>
              </w:rPr>
              <w:instrText xml:space="preserve"> PAGEREF _Toc224890876 \h </w:instrText>
            </w:r>
            <w:r>
              <w:rPr>
                <w:noProof/>
                <w:webHidden/>
              </w:rPr>
            </w:r>
            <w:r>
              <w:rPr>
                <w:noProof/>
                <w:webHidden/>
              </w:rPr>
              <w:fldChar w:fldCharType="separate"/>
            </w:r>
            <w:r w:rsidR="00732BF8">
              <w:rPr>
                <w:noProof/>
                <w:webHidden/>
              </w:rPr>
              <w:t>9</w:t>
            </w:r>
            <w:r>
              <w:rPr>
                <w:noProof/>
                <w:webHidden/>
              </w:rPr>
              <w:fldChar w:fldCharType="end"/>
            </w:r>
          </w:hyperlink>
        </w:p>
        <w:p w14:paraId="633FFE43" w14:textId="61F0EFBA" w:rsidR="00CB312E" w:rsidRDefault="00CB312E">
          <w:pPr>
            <w:pStyle w:val="TOC2"/>
            <w:tabs>
              <w:tab w:val="right" w:leader="dot" w:pos="9016"/>
            </w:tabs>
            <w:rPr>
              <w:noProof/>
            </w:rPr>
          </w:pPr>
          <w:hyperlink w:anchor="_Toc224890877" w:history="1">
            <w:r w:rsidRPr="00FF0963">
              <w:rPr>
                <w:rStyle w:val="Hyperlink"/>
                <w:noProof/>
              </w:rPr>
              <w:t>4.4 Measuring impact and success</w:t>
            </w:r>
            <w:r>
              <w:rPr>
                <w:noProof/>
                <w:webHidden/>
              </w:rPr>
              <w:tab/>
            </w:r>
            <w:r>
              <w:rPr>
                <w:noProof/>
                <w:webHidden/>
              </w:rPr>
              <w:fldChar w:fldCharType="begin"/>
            </w:r>
            <w:r>
              <w:rPr>
                <w:noProof/>
                <w:webHidden/>
              </w:rPr>
              <w:instrText xml:space="preserve"> PAGEREF _Toc224890877 \h </w:instrText>
            </w:r>
            <w:r>
              <w:rPr>
                <w:noProof/>
                <w:webHidden/>
              </w:rPr>
            </w:r>
            <w:r>
              <w:rPr>
                <w:noProof/>
                <w:webHidden/>
              </w:rPr>
              <w:fldChar w:fldCharType="separate"/>
            </w:r>
            <w:r w:rsidR="00732BF8">
              <w:rPr>
                <w:noProof/>
                <w:webHidden/>
              </w:rPr>
              <w:t>10</w:t>
            </w:r>
            <w:r>
              <w:rPr>
                <w:noProof/>
                <w:webHidden/>
              </w:rPr>
              <w:fldChar w:fldCharType="end"/>
            </w:r>
          </w:hyperlink>
        </w:p>
        <w:p w14:paraId="290A3711" w14:textId="656823C0" w:rsidR="00CB312E" w:rsidRDefault="00CB312E">
          <w:pPr>
            <w:pStyle w:val="TOC2"/>
            <w:tabs>
              <w:tab w:val="right" w:leader="dot" w:pos="9016"/>
            </w:tabs>
            <w:rPr>
              <w:noProof/>
            </w:rPr>
          </w:pPr>
          <w:hyperlink w:anchor="_Toc224890878" w:history="1">
            <w:r w:rsidRPr="00FF0963">
              <w:rPr>
                <w:rStyle w:val="Hyperlink"/>
                <w:noProof/>
              </w:rPr>
              <w:t>4.5 Implementation considerations and risks</w:t>
            </w:r>
            <w:r>
              <w:rPr>
                <w:noProof/>
                <w:webHidden/>
              </w:rPr>
              <w:tab/>
            </w:r>
            <w:r>
              <w:rPr>
                <w:noProof/>
                <w:webHidden/>
              </w:rPr>
              <w:fldChar w:fldCharType="begin"/>
            </w:r>
            <w:r>
              <w:rPr>
                <w:noProof/>
                <w:webHidden/>
              </w:rPr>
              <w:instrText xml:space="preserve"> PAGEREF _Toc224890878 \h </w:instrText>
            </w:r>
            <w:r>
              <w:rPr>
                <w:noProof/>
                <w:webHidden/>
              </w:rPr>
            </w:r>
            <w:r>
              <w:rPr>
                <w:noProof/>
                <w:webHidden/>
              </w:rPr>
              <w:fldChar w:fldCharType="separate"/>
            </w:r>
            <w:r w:rsidR="00732BF8">
              <w:rPr>
                <w:noProof/>
                <w:webHidden/>
              </w:rPr>
              <w:t>10</w:t>
            </w:r>
            <w:r>
              <w:rPr>
                <w:noProof/>
                <w:webHidden/>
              </w:rPr>
              <w:fldChar w:fldCharType="end"/>
            </w:r>
          </w:hyperlink>
        </w:p>
        <w:p w14:paraId="07EF6224" w14:textId="3A234DF4" w:rsidR="00CB312E" w:rsidRDefault="00CB312E">
          <w:pPr>
            <w:pStyle w:val="TOC1"/>
            <w:tabs>
              <w:tab w:val="right" w:leader="dot" w:pos="9016"/>
            </w:tabs>
            <w:rPr>
              <w:noProof/>
            </w:rPr>
          </w:pPr>
          <w:hyperlink w:anchor="_Toc224890879" w:history="1">
            <w:r w:rsidRPr="00FF0963">
              <w:rPr>
                <w:rStyle w:val="Hyperlink"/>
                <w:noProof/>
              </w:rPr>
              <w:t>5. Conclusion</w:t>
            </w:r>
            <w:r>
              <w:rPr>
                <w:noProof/>
                <w:webHidden/>
              </w:rPr>
              <w:tab/>
            </w:r>
            <w:r>
              <w:rPr>
                <w:noProof/>
                <w:webHidden/>
              </w:rPr>
              <w:fldChar w:fldCharType="begin"/>
            </w:r>
            <w:r>
              <w:rPr>
                <w:noProof/>
                <w:webHidden/>
              </w:rPr>
              <w:instrText xml:space="preserve"> PAGEREF _Toc224890879 \h </w:instrText>
            </w:r>
            <w:r>
              <w:rPr>
                <w:noProof/>
                <w:webHidden/>
              </w:rPr>
            </w:r>
            <w:r>
              <w:rPr>
                <w:noProof/>
                <w:webHidden/>
              </w:rPr>
              <w:fldChar w:fldCharType="separate"/>
            </w:r>
            <w:r w:rsidR="00732BF8">
              <w:rPr>
                <w:noProof/>
                <w:webHidden/>
              </w:rPr>
              <w:t>11</w:t>
            </w:r>
            <w:r>
              <w:rPr>
                <w:noProof/>
                <w:webHidden/>
              </w:rPr>
              <w:fldChar w:fldCharType="end"/>
            </w:r>
          </w:hyperlink>
        </w:p>
        <w:p w14:paraId="0594C630" w14:textId="79FFAF93" w:rsidR="00CB312E" w:rsidRDefault="00CB312E">
          <w:pPr>
            <w:pStyle w:val="TOC1"/>
            <w:tabs>
              <w:tab w:val="right" w:leader="dot" w:pos="9016"/>
            </w:tabs>
            <w:rPr>
              <w:noProof/>
            </w:rPr>
          </w:pPr>
          <w:hyperlink w:anchor="_Toc224890880" w:history="1">
            <w:r w:rsidRPr="00FF0963">
              <w:rPr>
                <w:rStyle w:val="Hyperlink"/>
                <w:noProof/>
              </w:rPr>
              <w:t>References</w:t>
            </w:r>
            <w:r>
              <w:rPr>
                <w:noProof/>
                <w:webHidden/>
              </w:rPr>
              <w:tab/>
            </w:r>
            <w:r>
              <w:rPr>
                <w:noProof/>
                <w:webHidden/>
              </w:rPr>
              <w:fldChar w:fldCharType="begin"/>
            </w:r>
            <w:r>
              <w:rPr>
                <w:noProof/>
                <w:webHidden/>
              </w:rPr>
              <w:instrText xml:space="preserve"> PAGEREF _Toc224890880 \h </w:instrText>
            </w:r>
            <w:r>
              <w:rPr>
                <w:noProof/>
                <w:webHidden/>
              </w:rPr>
            </w:r>
            <w:r>
              <w:rPr>
                <w:noProof/>
                <w:webHidden/>
              </w:rPr>
              <w:fldChar w:fldCharType="separate"/>
            </w:r>
            <w:r w:rsidR="00732BF8">
              <w:rPr>
                <w:noProof/>
                <w:webHidden/>
              </w:rPr>
              <w:t>11</w:t>
            </w:r>
            <w:r>
              <w:rPr>
                <w:noProof/>
                <w:webHidden/>
              </w:rPr>
              <w:fldChar w:fldCharType="end"/>
            </w:r>
          </w:hyperlink>
          <w:r w:rsidR="00C76F17">
            <w:t>-12</w:t>
          </w:r>
        </w:p>
        <w:p w14:paraId="3244D5B7" w14:textId="5BD2F760" w:rsidR="00CB312E" w:rsidRDefault="00CB312E">
          <w:r>
            <w:rPr>
              <w:b/>
              <w:bCs/>
            </w:rPr>
            <w:fldChar w:fldCharType="end"/>
          </w:r>
        </w:p>
      </w:sdtContent>
    </w:sdt>
    <w:p w14:paraId="19847C52" w14:textId="77777777" w:rsidR="00CB312E" w:rsidRDefault="00CB312E" w:rsidP="00CB312E">
      <w:pPr>
        <w:jc w:val="center"/>
        <w:rPr>
          <w:b/>
          <w:bCs/>
        </w:rPr>
      </w:pPr>
    </w:p>
    <w:p w14:paraId="0680B969" w14:textId="77777777" w:rsidR="00CB312E" w:rsidRDefault="00CB312E" w:rsidP="00CB312E">
      <w:pPr>
        <w:jc w:val="center"/>
        <w:rPr>
          <w:b/>
          <w:bCs/>
        </w:rPr>
      </w:pPr>
    </w:p>
    <w:p w14:paraId="59D25FD3" w14:textId="77777777" w:rsidR="00CB312E" w:rsidRDefault="00CB312E" w:rsidP="00CB312E">
      <w:pPr>
        <w:jc w:val="center"/>
        <w:rPr>
          <w:b/>
          <w:bCs/>
        </w:rPr>
      </w:pPr>
    </w:p>
    <w:p w14:paraId="4F88B2DA" w14:textId="77777777" w:rsidR="00CB312E" w:rsidRDefault="00CB312E" w:rsidP="00CB312E">
      <w:pPr>
        <w:jc w:val="center"/>
        <w:rPr>
          <w:b/>
          <w:bCs/>
        </w:rPr>
      </w:pPr>
    </w:p>
    <w:p w14:paraId="6AB99F6B" w14:textId="77777777" w:rsidR="00CB312E" w:rsidRDefault="00CB312E" w:rsidP="00CB312E">
      <w:pPr>
        <w:jc w:val="center"/>
        <w:rPr>
          <w:b/>
          <w:bCs/>
        </w:rPr>
      </w:pPr>
    </w:p>
    <w:p w14:paraId="0813508F" w14:textId="77777777" w:rsidR="00CB312E" w:rsidRPr="00CB312E" w:rsidRDefault="00CB312E" w:rsidP="00CB312E">
      <w:pPr>
        <w:rPr>
          <w:b/>
          <w:bCs/>
        </w:rPr>
      </w:pPr>
    </w:p>
    <w:p w14:paraId="7187D47B" w14:textId="77777777" w:rsidR="00E01A09" w:rsidRDefault="00E01A09" w:rsidP="00CB312E">
      <w:pPr>
        <w:pStyle w:val="Heading1"/>
      </w:pPr>
      <w:bookmarkStart w:id="4" w:name="_Toc224890867"/>
    </w:p>
    <w:p w14:paraId="07B2C499" w14:textId="77777777" w:rsidR="00E01A09" w:rsidRDefault="00E01A09" w:rsidP="00CB312E">
      <w:pPr>
        <w:pStyle w:val="Heading1"/>
      </w:pPr>
    </w:p>
    <w:p w14:paraId="71EE2DAA" w14:textId="77777777" w:rsidR="00E01A09" w:rsidRPr="00E01A09" w:rsidRDefault="00E01A09" w:rsidP="00E01A09"/>
    <w:p w14:paraId="5EBA2984" w14:textId="1FB1EBE0" w:rsidR="00CB312E" w:rsidRPr="000A05EB" w:rsidRDefault="00CB312E" w:rsidP="00CB312E">
      <w:pPr>
        <w:pStyle w:val="Heading1"/>
        <w:rPr>
          <w:color w:val="auto"/>
        </w:rPr>
      </w:pPr>
      <w:r w:rsidRPr="000A05EB">
        <w:rPr>
          <w:color w:val="auto"/>
        </w:rPr>
        <w:lastRenderedPageBreak/>
        <w:t>1. Introduction</w:t>
      </w:r>
      <w:bookmarkEnd w:id="4"/>
    </w:p>
    <w:p w14:paraId="72C755F5" w14:textId="77777777" w:rsidR="003775B8" w:rsidRPr="003775B8" w:rsidRDefault="003775B8" w:rsidP="003775B8">
      <w:pPr>
        <w:pStyle w:val="Heading1"/>
        <w:rPr>
          <w:rFonts w:ascii="Arial" w:hAnsi="Arial" w:cs="Arial"/>
          <w:color w:val="auto"/>
          <w:sz w:val="22"/>
          <w:szCs w:val="22"/>
        </w:rPr>
      </w:pPr>
      <w:bookmarkStart w:id="5" w:name="_Toc224890868"/>
      <w:r w:rsidRPr="003775B8">
        <w:rPr>
          <w:rFonts w:ascii="Arial" w:hAnsi="Arial" w:cs="Arial"/>
          <w:color w:val="auto"/>
          <w:sz w:val="22"/>
          <w:szCs w:val="22"/>
        </w:rPr>
        <w:t>In modern retail environments, success relies not only on operational efficiency but also on an organization’s ability to understand customers and translate that insight into innovation. This is especially relevant in the UK grocery sector, where consumers increasingly demand convenience, value, speed, flexibility, and seamless integration between physical and digital channels. Incremental improvements are no longer sufficient; retailers must innovate in ways that are desirable, feasible, and commercially viable. In this context, design thinking has become important, as it places empathy, problem definition, ideation, and experimentation at the centre of innovation (Brown, 2008; Liedtka, 2018).</w:t>
      </w:r>
    </w:p>
    <w:p w14:paraId="6439803A" w14:textId="77777777" w:rsidR="003775B8" w:rsidRPr="003775B8" w:rsidRDefault="003775B8" w:rsidP="003775B8">
      <w:pPr>
        <w:pStyle w:val="Heading1"/>
        <w:rPr>
          <w:rFonts w:ascii="Arial" w:hAnsi="Arial" w:cs="Arial"/>
          <w:color w:val="auto"/>
          <w:sz w:val="22"/>
          <w:szCs w:val="22"/>
        </w:rPr>
      </w:pPr>
      <w:r w:rsidRPr="003775B8">
        <w:rPr>
          <w:rFonts w:ascii="Arial" w:hAnsi="Arial" w:cs="Arial"/>
          <w:color w:val="auto"/>
          <w:sz w:val="22"/>
          <w:szCs w:val="22"/>
        </w:rPr>
        <w:t>Tesco plc provides a strong case for analysis due to its market leadership and digital development. Tesco’s 2025 Annual Report highlights Group sales of £63.6 billion, adjusted operating profit of £3,128 million, and online sales growth of 10.2%, with average online orders reaching 1.3 million per week. The company reported a UK market share of 28.3%, with continued gains and expansion of services such as Whoosh rapid delivery (Tesco plc, 2025a; Tesco plc, 2025b; Kantar, 2025). These figures indicate effective innovation but do not eliminate the need for further customer-centred development. Scale can support innovation, yet it may also encourage reliance on existing models rather than transformation.</w:t>
      </w:r>
    </w:p>
    <w:p w14:paraId="0CF92463" w14:textId="77777777" w:rsidR="003775B8" w:rsidRPr="003775B8" w:rsidRDefault="003775B8" w:rsidP="003775B8">
      <w:pPr>
        <w:pStyle w:val="Heading1"/>
        <w:rPr>
          <w:rFonts w:ascii="Arial" w:hAnsi="Arial" w:cs="Arial"/>
          <w:color w:val="auto"/>
          <w:sz w:val="22"/>
          <w:szCs w:val="22"/>
        </w:rPr>
      </w:pPr>
      <w:r w:rsidRPr="003775B8">
        <w:rPr>
          <w:rFonts w:ascii="Arial" w:hAnsi="Arial" w:cs="Arial"/>
          <w:color w:val="auto"/>
          <w:sz w:val="22"/>
          <w:szCs w:val="22"/>
        </w:rPr>
        <w:t>This report examines Tesco using the Innovation Ambition Matrix and Customer Journey Mapping. The former evaluates innovation across core, adjacent, and transformational categories, identifying Tesco’s current position and ambitions (Nagji and Tuff, 2012). The latter is used to understand the customer experience, identify pain points, and highlight opportunities for digital innovation (Lemon and Verhoef, 2016).</w:t>
      </w:r>
    </w:p>
    <w:p w14:paraId="4CF5B258" w14:textId="77777777" w:rsidR="003775B8" w:rsidRPr="003775B8" w:rsidRDefault="003775B8" w:rsidP="003775B8">
      <w:pPr>
        <w:pStyle w:val="Heading1"/>
        <w:rPr>
          <w:rFonts w:ascii="Arial" w:hAnsi="Arial" w:cs="Arial"/>
          <w:color w:val="auto"/>
          <w:sz w:val="22"/>
          <w:szCs w:val="22"/>
        </w:rPr>
      </w:pPr>
      <w:r w:rsidRPr="003775B8">
        <w:rPr>
          <w:rFonts w:ascii="Arial" w:hAnsi="Arial" w:cs="Arial"/>
          <w:color w:val="auto"/>
          <w:sz w:val="22"/>
          <w:szCs w:val="22"/>
        </w:rPr>
        <w:t>Based on this analysis, the report proposes the Tesco SmartShopper AI Ecosystem. Grounded in design thinking, it addresses customer frustrations rather than focusing on technology alone. It aims to enhance the customer journey through predictive basket support, inventory confidence, intelligent fulfilment choice, personalised substitution, and post-purchase learning. The report argues that Tesco’s next phase of innovation should move beyond isolated improvements towards a more adaptive, human-centred retail experience.</w:t>
      </w:r>
    </w:p>
    <w:p w14:paraId="474581C5" w14:textId="77777777" w:rsidR="00CB312E" w:rsidRPr="000A05EB" w:rsidRDefault="00CB312E" w:rsidP="00CB312E">
      <w:pPr>
        <w:pStyle w:val="Heading1"/>
        <w:rPr>
          <w:color w:val="auto"/>
        </w:rPr>
      </w:pPr>
      <w:r w:rsidRPr="000A05EB">
        <w:rPr>
          <w:color w:val="auto"/>
        </w:rPr>
        <w:t>2. Company Overview</w:t>
      </w:r>
      <w:bookmarkEnd w:id="5"/>
    </w:p>
    <w:p w14:paraId="28CDD6D1" w14:textId="77777777" w:rsidR="00224EC2" w:rsidRPr="005114C3" w:rsidRDefault="00224EC2" w:rsidP="00CB312E">
      <w:pPr>
        <w:rPr>
          <w:rFonts w:ascii="Arial" w:hAnsi="Arial" w:cs="Arial"/>
        </w:rPr>
      </w:pPr>
      <w:r w:rsidRPr="005114C3">
        <w:rPr>
          <w:rFonts w:ascii="Arial" w:hAnsi="Arial" w:cs="Arial"/>
        </w:rPr>
        <w:t>Tesco plc stands as the largest grocery retailer in the United Kingdom, operating through a diverse array of supermarkets, convenience stores, online grocery services, and wholesale operations via Booker, along with Tesco Mobile and associated consumer services. The company's extensive scale provides it with substantial competitive advantages in areas such as sourcing, fulfillment, store reach, and customer data. According to Tesco's 2025 Annual Report, the business is characterized as a multinational grocery retailer catering to millions of customers weekly, both in physical stores and online, bolstered by a comprehensive ecosystem that encompasses Clubcard, One Stop, Booker, and dunnhumby (Tesco plc, 2025a). This extensive range is crucial for fostering innovation, as it positions Tesco not merely as a retailer but also as a platform business, equipped with physical, digital, and analytical assets that can be integrated in various configurations.</w:t>
      </w:r>
    </w:p>
    <w:p w14:paraId="46C0C698" w14:textId="2846378D" w:rsidR="00CB312E" w:rsidRPr="005114C3" w:rsidRDefault="00CB312E" w:rsidP="00CB312E">
      <w:pPr>
        <w:rPr>
          <w:rFonts w:ascii="Arial" w:hAnsi="Arial" w:cs="Arial"/>
        </w:rPr>
      </w:pPr>
      <w:r w:rsidRPr="005114C3">
        <w:rPr>
          <w:rFonts w:ascii="Arial" w:hAnsi="Arial" w:cs="Arial"/>
        </w:rPr>
        <w:lastRenderedPageBreak/>
        <w:t xml:space="preserve">Tesco’s strategic position in the UK remains strong. In its 2025 Annual Report, Tesco reported UK market share of 28.3%, and Kantar later reported Tesco accounting for 28.4% of all grocery sales over the 12 weeks to 7 September 2025. This indicates continued strength in a highly competitive market. However, high market share does not automatically create future-proof advantage. Christensen (2016) argues that incumbent firms often excel at sustaining innovation while finding it harder to commit to more disruptive change. This is particularly relevant in grocery retail, where established firms can become highly optimised around current operations and short-term metrics. </w:t>
      </w:r>
    </w:p>
    <w:p w14:paraId="6C8F8AB6" w14:textId="77777777" w:rsidR="00CB312E" w:rsidRPr="005114C3" w:rsidRDefault="00CB312E" w:rsidP="00CB312E">
      <w:pPr>
        <w:rPr>
          <w:rFonts w:ascii="Arial" w:hAnsi="Arial" w:cs="Arial"/>
        </w:rPr>
      </w:pPr>
      <w:r w:rsidRPr="005114C3">
        <w:rPr>
          <w:rFonts w:ascii="Arial" w:hAnsi="Arial" w:cs="Arial"/>
        </w:rPr>
        <w:t xml:space="preserve">A major source of Tesco’s strength is its digital ecosystem. Clubcard enables the organisation to collect behavioural data, personalise offers and support targeted communication. Its online grocery platform extends Tesco’s reach beyond the physical store, while Whoosh rapid delivery supports new convenience missions. Tesco’s October 2025 interim results statement reported that Whoosh sales were up 59% and that the service covered over 70% of UK households. This suggests Tesco is not simply adding digital features to a store-led model; it is building an omnichannel retail system in which stores, fulfilment, loyalty and digital engagement work together (Tesco plc, 2025b). Verhoef, Kannan and Inman (2015) argue that this integration of channels is a defining requirement of successful modern retailing. </w:t>
      </w:r>
    </w:p>
    <w:p w14:paraId="3EB29A79" w14:textId="77777777" w:rsidR="00AB39EC" w:rsidRPr="005114C3" w:rsidRDefault="00AB39EC" w:rsidP="00CB312E">
      <w:pPr>
        <w:rPr>
          <w:rFonts w:ascii="Arial" w:hAnsi="Arial" w:cs="Arial"/>
        </w:rPr>
      </w:pPr>
      <w:r w:rsidRPr="005114C3">
        <w:rPr>
          <w:rFonts w:ascii="Arial" w:hAnsi="Arial" w:cs="Arial"/>
        </w:rPr>
        <w:t>Despite these advantages, Tesco encounters various challenges. Firstly, it functions within a price-sensitive market where discount retailers like Aldi and Lidl consistently draw in consumers. Secondly, customer expectations are increasingly influenced by digital-first competitors and platform companies that establish norms around convenience, speed, and personalisation. Thirdly, the nature of grocery shopping is evolving: many consumers seek not just low prices, but also less effort, increased confidence in substitutions, and a seamless transition between delivery, click-and-collect, and in-store shopping. These challenges indicate that Tesco cannot depend solely on operational excellence. It must also innovate with the customer’s perspective in mind.</w:t>
      </w:r>
    </w:p>
    <w:p w14:paraId="7AD19321" w14:textId="0C33EA5D" w:rsidR="00CB312E" w:rsidRPr="005114C3" w:rsidRDefault="00CB312E" w:rsidP="00CB312E">
      <w:pPr>
        <w:rPr>
          <w:rFonts w:ascii="Arial" w:hAnsi="Arial" w:cs="Arial"/>
        </w:rPr>
      </w:pPr>
      <w:r w:rsidRPr="005114C3">
        <w:rPr>
          <w:rFonts w:ascii="Arial" w:hAnsi="Arial" w:cs="Arial"/>
        </w:rPr>
        <w:t>From a design thinking perspective, Tesco is therefore an ideal case. It already has strong assets and evidence of innovation, yet it still faces unresolved customer pain points. The central question is not whether Tesco is innovative at all, but whether it is innovative in a sufficiently human-centred and ambitious way. That makes it possible to evaluate both what Tesco is doing now and what it should do next.</w:t>
      </w:r>
    </w:p>
    <w:p w14:paraId="5506578B" w14:textId="77777777" w:rsidR="00CB312E" w:rsidRPr="000A05EB" w:rsidRDefault="00CB312E" w:rsidP="00CB312E">
      <w:pPr>
        <w:pStyle w:val="Heading1"/>
        <w:rPr>
          <w:color w:val="auto"/>
        </w:rPr>
      </w:pPr>
      <w:bookmarkStart w:id="6" w:name="_Toc224890869"/>
      <w:r w:rsidRPr="000A05EB">
        <w:rPr>
          <w:color w:val="auto"/>
        </w:rPr>
        <w:t>3. Part 1: Analysis and Assessment</w:t>
      </w:r>
      <w:bookmarkEnd w:id="6"/>
    </w:p>
    <w:p w14:paraId="6F594164" w14:textId="77777777" w:rsidR="00CB312E" w:rsidRPr="000A05EB" w:rsidRDefault="00CB312E" w:rsidP="00CB312E">
      <w:pPr>
        <w:pStyle w:val="Heading2"/>
        <w:rPr>
          <w:color w:val="auto"/>
        </w:rPr>
      </w:pPr>
      <w:bookmarkStart w:id="7" w:name="_Toc224890870"/>
      <w:r w:rsidRPr="000A05EB">
        <w:rPr>
          <w:color w:val="auto"/>
        </w:rPr>
        <w:t>3.1 Innovation Ambition Matrix</w:t>
      </w:r>
      <w:bookmarkEnd w:id="7"/>
    </w:p>
    <w:p w14:paraId="7AC9EC6B" w14:textId="77777777" w:rsidR="00943078" w:rsidRPr="005114C3" w:rsidRDefault="00943078" w:rsidP="00CB312E">
      <w:pPr>
        <w:rPr>
          <w:rFonts w:ascii="Arial" w:hAnsi="Arial" w:cs="Arial"/>
        </w:rPr>
      </w:pPr>
      <w:r w:rsidRPr="005114C3">
        <w:rPr>
          <w:rFonts w:ascii="Arial" w:hAnsi="Arial" w:cs="Arial"/>
        </w:rPr>
        <w:t>The Innovation Ambition Matrix, created by Nagji and Tuff (2012), categorizes innovation activities into three distinct types: core, adjacent, and transformational. Core innovation focuses on enhancing current offerings for existing customers. Adjacent innovation broadens existing capabilities into related markets, services, or segments. Transformational innovation, on the other hand, develops entirely new offerings or business models. This framework is valuable as it enables organizations to evaluate whether they are simply enhancing the present or also committing resources to future relevance.</w:t>
      </w:r>
    </w:p>
    <w:p w14:paraId="6A15C6FC" w14:textId="355AE32C" w:rsidR="00CB312E" w:rsidRPr="005114C3" w:rsidRDefault="00CB312E" w:rsidP="00CB312E">
      <w:pPr>
        <w:rPr>
          <w:rFonts w:ascii="Arial" w:hAnsi="Arial" w:cs="Arial"/>
          <w:b/>
          <w:bCs/>
        </w:rPr>
      </w:pPr>
      <w:r w:rsidRPr="005114C3">
        <w:rPr>
          <w:rFonts w:ascii="Arial" w:hAnsi="Arial" w:cs="Arial"/>
          <w:b/>
          <w:bCs/>
        </w:rPr>
        <w:t>Core innovation</w:t>
      </w:r>
    </w:p>
    <w:p w14:paraId="607FA4C9" w14:textId="77777777" w:rsidR="00CB312E" w:rsidRPr="005114C3" w:rsidRDefault="00CB312E" w:rsidP="00CB312E">
      <w:pPr>
        <w:rPr>
          <w:rFonts w:ascii="Arial" w:hAnsi="Arial" w:cs="Arial"/>
        </w:rPr>
      </w:pPr>
      <w:r w:rsidRPr="005114C3">
        <w:rPr>
          <w:rFonts w:ascii="Arial" w:hAnsi="Arial" w:cs="Arial"/>
        </w:rPr>
        <w:t xml:space="preserve">Tesco’s innovation portfolio is strongest in core innovation. This includes continuous improvements to the Tesco app, online shopping interface, self-checkout systems, delivery </w:t>
      </w:r>
      <w:r w:rsidRPr="005114C3">
        <w:rPr>
          <w:rFonts w:ascii="Arial" w:hAnsi="Arial" w:cs="Arial"/>
        </w:rPr>
        <w:lastRenderedPageBreak/>
        <w:t>operations, loyalty integration and store processes. These innovations make Tesco’s existing business model more efficient and convenient, which is critical in grocery retail because margins are relatively low and customer interactions are frequent. Small improvements in speed, basket conversion, fulfilment accuracy or ease of use can therefore create substantial aggregate value.</w:t>
      </w:r>
    </w:p>
    <w:p w14:paraId="1BE19ACC" w14:textId="77777777" w:rsidR="00CB312E" w:rsidRPr="005114C3" w:rsidRDefault="00CB312E" w:rsidP="00CB312E">
      <w:pPr>
        <w:rPr>
          <w:rFonts w:ascii="Arial" w:hAnsi="Arial" w:cs="Arial"/>
        </w:rPr>
      </w:pPr>
      <w:r w:rsidRPr="005114C3">
        <w:rPr>
          <w:rFonts w:ascii="Arial" w:hAnsi="Arial" w:cs="Arial"/>
        </w:rPr>
        <w:t>The Clubcard ecosystem is a particularly important example of Tesco’s core innovation. Clubcard does more than reward repeat purchase; it acts as a customer insight system that helps Tesco tailor prices, promotions and engagement. McKinsey &amp; Company (2023) argues that effective personalisation can improve customer satisfaction and increase commercial performance when it is based on strong data infrastructure. Tesco’s use of Clubcard clearly reflects this logic. However, within the Innovation Ambition Matrix it still belongs mainly to core innovation because it improves Tesco’s existing retail model rather than redefining it.</w:t>
      </w:r>
    </w:p>
    <w:p w14:paraId="38FC4D8A" w14:textId="77777777" w:rsidR="00CB312E" w:rsidRPr="005114C3" w:rsidRDefault="00CB312E" w:rsidP="00CB312E">
      <w:pPr>
        <w:rPr>
          <w:rFonts w:ascii="Arial" w:hAnsi="Arial" w:cs="Arial"/>
        </w:rPr>
      </w:pPr>
      <w:r w:rsidRPr="005114C3">
        <w:rPr>
          <w:rFonts w:ascii="Arial" w:hAnsi="Arial" w:cs="Arial"/>
        </w:rPr>
        <w:t xml:space="preserve">Core innovation is closely linked to what March (1991) calls </w:t>
      </w:r>
      <w:r w:rsidRPr="005114C3">
        <w:rPr>
          <w:rFonts w:ascii="Arial" w:hAnsi="Arial" w:cs="Arial"/>
          <w:b/>
          <w:bCs/>
        </w:rPr>
        <w:t>exploitation</w:t>
      </w:r>
      <w:r w:rsidRPr="005114C3">
        <w:rPr>
          <w:rFonts w:ascii="Arial" w:hAnsi="Arial" w:cs="Arial"/>
        </w:rPr>
        <w:t>: the refinement and extension of current capabilities. Exploitation is necessary because organisations need reliability and efficiency to perform well in the present. Tesco’s market position suggests that it has been effective in exploiting its strengths. Yet there is also a limitation. When a company becomes highly focused on improving what already exists, it may become less willing to pursue ideas that initially appear more uncertain or disruptive.</w:t>
      </w:r>
    </w:p>
    <w:p w14:paraId="42378146" w14:textId="77777777" w:rsidR="00CB312E" w:rsidRPr="005114C3" w:rsidRDefault="00CB312E" w:rsidP="00CB312E">
      <w:pPr>
        <w:rPr>
          <w:rFonts w:ascii="Arial" w:hAnsi="Arial" w:cs="Arial"/>
        </w:rPr>
      </w:pPr>
      <w:r w:rsidRPr="005114C3">
        <w:rPr>
          <w:rFonts w:ascii="Arial" w:hAnsi="Arial" w:cs="Arial"/>
        </w:rPr>
        <w:t>From a design thinking and innovation perspective, Tesco’s strength in core innovation is positive but incomplete. It shows the company is responsive and disciplined, but it does not necessarily prove that Tesco is rethinking customer problems deeply enough. A retailer can improve interfaces and processes without fully reimagining the experience from the customer’s point of view. In that sense, core innovation may maintain competitiveness, but it does not always create distinctive future advantage.</w:t>
      </w:r>
    </w:p>
    <w:p w14:paraId="6667219C" w14:textId="77777777" w:rsidR="00CB312E" w:rsidRPr="005114C3" w:rsidRDefault="00CB312E" w:rsidP="00CB312E">
      <w:pPr>
        <w:rPr>
          <w:rFonts w:ascii="Arial" w:hAnsi="Arial" w:cs="Arial"/>
          <w:b/>
          <w:bCs/>
        </w:rPr>
      </w:pPr>
      <w:r w:rsidRPr="005114C3">
        <w:rPr>
          <w:rFonts w:ascii="Arial" w:hAnsi="Arial" w:cs="Arial"/>
          <w:b/>
          <w:bCs/>
        </w:rPr>
        <w:t>Adjacent innovation</w:t>
      </w:r>
    </w:p>
    <w:p w14:paraId="1D814CF1" w14:textId="77777777" w:rsidR="00CB312E" w:rsidRPr="005114C3" w:rsidRDefault="00CB312E" w:rsidP="00CB312E">
      <w:pPr>
        <w:rPr>
          <w:rFonts w:ascii="Arial" w:hAnsi="Arial" w:cs="Arial"/>
        </w:rPr>
      </w:pPr>
      <w:r w:rsidRPr="005114C3">
        <w:rPr>
          <w:rFonts w:ascii="Arial" w:hAnsi="Arial" w:cs="Arial"/>
        </w:rPr>
        <w:t xml:space="preserve">Tesco also demonstrates meaningful adjacent innovation. Adjacent innovation uses existing strengths in new contexts, and Tesco’s Whoosh service is the clearest example. Whoosh applies Tesco’s store network, customer base and supply chain to a new shopping mission: rapid fulfilment for urgent or top-up grocery needs. Rather than replacing Tesco’s main business, it extends the company into a related form of convenience retailing. Tesco’s 2025 interim statement reported strong growth in Whoosh sales and wider household coverage, indicating that this service has moved beyond experimentation and become a strategically relevant proposition. </w:t>
      </w:r>
    </w:p>
    <w:p w14:paraId="04718947" w14:textId="77777777" w:rsidR="00CB312E" w:rsidRPr="005114C3" w:rsidRDefault="00CB312E" w:rsidP="00CB312E">
      <w:pPr>
        <w:rPr>
          <w:rFonts w:ascii="Arial" w:hAnsi="Arial" w:cs="Arial"/>
        </w:rPr>
      </w:pPr>
      <w:r w:rsidRPr="005114C3">
        <w:rPr>
          <w:rFonts w:ascii="Arial" w:hAnsi="Arial" w:cs="Arial"/>
        </w:rPr>
        <w:t>A second example of adjacent innovation is Tesco’s use of stores as omnichannel fulfilment hubs. Stores no longer function purely as places where customers browse and pay. They now support online picking, click-and-collect and rapid delivery. This is an adjacent shift because Tesco is using the same store estate in new ways. Verhoef, Kannan and Inman (2015) note that omnichannel retail changes the role of stores and requires organisations to think in terms of integrated journeys rather than isolated channels. Tesco’s infrastructure gives it a strong basis for this.</w:t>
      </w:r>
    </w:p>
    <w:p w14:paraId="12AC2676" w14:textId="77777777" w:rsidR="00CB312E" w:rsidRPr="005114C3" w:rsidRDefault="00CB312E" w:rsidP="00CB312E">
      <w:pPr>
        <w:rPr>
          <w:rFonts w:ascii="Arial" w:hAnsi="Arial" w:cs="Arial"/>
        </w:rPr>
      </w:pPr>
      <w:r w:rsidRPr="005114C3">
        <w:rPr>
          <w:rFonts w:ascii="Arial" w:hAnsi="Arial" w:cs="Arial"/>
        </w:rPr>
        <w:t xml:space="preserve">Adjacent innovation is important because it shows some willingness to explore beyond the core. O’Reilly and Tushman (2013) argue that successful firms must develop </w:t>
      </w:r>
      <w:r w:rsidRPr="005114C3">
        <w:rPr>
          <w:rFonts w:ascii="Arial" w:hAnsi="Arial" w:cs="Arial"/>
          <w:b/>
          <w:bCs/>
        </w:rPr>
        <w:t>organisational ambidexterity</w:t>
      </w:r>
      <w:r w:rsidRPr="005114C3">
        <w:rPr>
          <w:rFonts w:ascii="Arial" w:hAnsi="Arial" w:cs="Arial"/>
        </w:rPr>
        <w:t xml:space="preserve">, balancing exploitation of the core with exploration of new opportunities. Tesco’s adjacent innovations suggest it is capable of this balance to some extent. However, adjacent innovation also creates challenges. Rapid delivery, for example, can be operationally expensive. It may increase labour complexity, transport costs and pressure on </w:t>
      </w:r>
      <w:r w:rsidRPr="005114C3">
        <w:rPr>
          <w:rFonts w:ascii="Arial" w:hAnsi="Arial" w:cs="Arial"/>
        </w:rPr>
        <w:lastRenderedPageBreak/>
        <w:t>in-store stock management. Therefore, adjacent innovation must be designed carefully if it is to create value rather than merely add complexity.</w:t>
      </w:r>
    </w:p>
    <w:p w14:paraId="714C4326" w14:textId="77777777" w:rsidR="00CB312E" w:rsidRPr="005114C3" w:rsidRDefault="00CB312E" w:rsidP="00CB312E">
      <w:pPr>
        <w:rPr>
          <w:rFonts w:ascii="Arial" w:hAnsi="Arial" w:cs="Arial"/>
        </w:rPr>
      </w:pPr>
      <w:r w:rsidRPr="005114C3">
        <w:rPr>
          <w:rFonts w:ascii="Arial" w:hAnsi="Arial" w:cs="Arial"/>
        </w:rPr>
        <w:t>From a design thinking perspective, adjacent innovation becomes stronger when it responds directly to customer jobs-to-be-done. Whoosh succeeds not because it is technologically impressive in itself, but because it serves specific customer situations: forgotten ingredients, urgent household needs and convenience-led shopping. This indicates that some of Tesco’s adjacent innovation is already customer-centred. Even so, many adjacent initiatives still expand Tesco’s offer without necessarily resolving the most persistent friction points within the overall customer journey.</w:t>
      </w:r>
    </w:p>
    <w:p w14:paraId="15B8F12F" w14:textId="77777777" w:rsidR="00CB312E" w:rsidRPr="005114C3" w:rsidRDefault="00CB312E" w:rsidP="00CB312E">
      <w:pPr>
        <w:rPr>
          <w:rFonts w:ascii="Arial" w:hAnsi="Arial" w:cs="Arial"/>
          <w:b/>
          <w:bCs/>
        </w:rPr>
      </w:pPr>
      <w:r w:rsidRPr="005114C3">
        <w:rPr>
          <w:rFonts w:ascii="Arial" w:hAnsi="Arial" w:cs="Arial"/>
          <w:b/>
          <w:bCs/>
        </w:rPr>
        <w:t>Transformational innovation</w:t>
      </w:r>
    </w:p>
    <w:p w14:paraId="73094C99" w14:textId="77777777" w:rsidR="00CB312E" w:rsidRPr="005114C3" w:rsidRDefault="00CB312E" w:rsidP="00CB312E">
      <w:pPr>
        <w:rPr>
          <w:rFonts w:ascii="Arial" w:hAnsi="Arial" w:cs="Arial"/>
        </w:rPr>
      </w:pPr>
      <w:r w:rsidRPr="005114C3">
        <w:rPr>
          <w:rFonts w:ascii="Arial" w:hAnsi="Arial" w:cs="Arial"/>
        </w:rPr>
        <w:t>Transformational innovation is the weakest area in Tesco’s current portfolio. Transformational innovation involves creating substantially new propositions or business models that alter how value is created and delivered. Tesco has capabilities that could support this, including rich customer data, digital infrastructure, broad channel access and analytical resources through dunnhumby. Yet most visible innovation still focuses on improving or extending the current retail model rather than reinventing it.</w:t>
      </w:r>
    </w:p>
    <w:p w14:paraId="46CC7015" w14:textId="77777777" w:rsidR="00CB312E" w:rsidRPr="005114C3" w:rsidRDefault="00CB312E" w:rsidP="00CB312E">
      <w:pPr>
        <w:rPr>
          <w:rFonts w:ascii="Arial" w:hAnsi="Arial" w:cs="Arial"/>
        </w:rPr>
      </w:pPr>
      <w:r w:rsidRPr="005114C3">
        <w:rPr>
          <w:rFonts w:ascii="Arial" w:hAnsi="Arial" w:cs="Arial"/>
        </w:rPr>
        <w:t>This is a common challenge for incumbents. Christensen (2016) argues that established firms often struggle with disruptive innovation because their success metrics, processes and incentives are oriented toward current customers and current margins. Bharadwaj et al. (2013) similarly argue that digital strategy should not be treated as a support function; it should reshape the logic of the business itself. In Tesco’s case, AI and analytics are visible, but they are mostly applied to optimisation, targeting and efficiency rather than to a new retail experience.</w:t>
      </w:r>
    </w:p>
    <w:p w14:paraId="2BF4C20D" w14:textId="77777777" w:rsidR="00CB312E" w:rsidRPr="005114C3" w:rsidRDefault="00CB312E" w:rsidP="00CB312E">
      <w:pPr>
        <w:rPr>
          <w:rFonts w:ascii="Arial" w:hAnsi="Arial" w:cs="Arial"/>
        </w:rPr>
      </w:pPr>
      <w:r w:rsidRPr="005114C3">
        <w:rPr>
          <w:rFonts w:ascii="Arial" w:hAnsi="Arial" w:cs="Arial"/>
        </w:rPr>
        <w:t>From a design thinking perspective, transformational innovation would require Tesco to go further than improving separate touchpoints. It would require the company to redefine the experience around deeper customer needs such as reducing planning effort, building trust in fulfilment, anticipating household requirements and making channels feel genuinely seamless. Tesco appears to have the assets to do this, but it has not yet fully translated those assets into a clearly transformative customer proposition.</w:t>
      </w:r>
    </w:p>
    <w:p w14:paraId="67C54031" w14:textId="77777777" w:rsidR="00CB312E" w:rsidRPr="005114C3" w:rsidRDefault="00CB312E" w:rsidP="00CB312E">
      <w:pPr>
        <w:rPr>
          <w:rFonts w:ascii="Arial" w:hAnsi="Arial" w:cs="Arial"/>
          <w:b/>
          <w:bCs/>
        </w:rPr>
      </w:pPr>
      <w:r w:rsidRPr="005114C3">
        <w:rPr>
          <w:rFonts w:ascii="Arial" w:hAnsi="Arial" w:cs="Arial"/>
          <w:b/>
          <w:bCs/>
        </w:rPr>
        <w:t>Evaluation of Tesco’s innovation portfolio</w:t>
      </w:r>
    </w:p>
    <w:p w14:paraId="153C7EFB" w14:textId="77777777" w:rsidR="00CB312E" w:rsidRPr="005114C3" w:rsidRDefault="00CB312E" w:rsidP="00CB312E">
      <w:pPr>
        <w:rPr>
          <w:rFonts w:ascii="Arial" w:hAnsi="Arial" w:cs="Arial"/>
        </w:rPr>
      </w:pPr>
      <w:r w:rsidRPr="005114C3">
        <w:rPr>
          <w:rFonts w:ascii="Arial" w:hAnsi="Arial" w:cs="Arial"/>
        </w:rPr>
        <w:t>Overall, Tesco’s innovation profile is weighted toward core innovation, supported by a meaningful but narrower layer of adjacent innovation, while transformational innovation remains underdeveloped. This balance is understandable in grocery retail, where reliability, scale and operational control matter. However, from a Design Thinking and Innovation perspective, the portfolio also reveals a gap. Tesco is effective at improving its current model, yet it is less ambitious in using customer insight to create more radical new experiences.</w:t>
      </w:r>
    </w:p>
    <w:p w14:paraId="4C817B2D" w14:textId="784B1B74" w:rsidR="00CB312E" w:rsidRPr="005114C3" w:rsidRDefault="00CB312E" w:rsidP="00CB312E">
      <w:pPr>
        <w:rPr>
          <w:rFonts w:ascii="Arial" w:hAnsi="Arial" w:cs="Arial"/>
        </w:rPr>
      </w:pPr>
      <w:r w:rsidRPr="005114C3">
        <w:rPr>
          <w:rFonts w:ascii="Arial" w:hAnsi="Arial" w:cs="Arial"/>
        </w:rPr>
        <w:t>The implication is not that Tesco should reduce core innovation. Instead, Tesco should use the stability and data generated by the core to support more ambitious, customer-centred experimentation. The Innovation Ambition Matrix therefore suggests that Tesco’s future opportunity lies in moving selected customer problems from incremental improvement into deeper innovation design.</w:t>
      </w:r>
    </w:p>
    <w:p w14:paraId="1E5F57E6" w14:textId="77777777" w:rsidR="00CB312E" w:rsidRPr="000A05EB" w:rsidRDefault="00CB312E" w:rsidP="00CB312E">
      <w:pPr>
        <w:pStyle w:val="Heading2"/>
        <w:rPr>
          <w:color w:val="auto"/>
        </w:rPr>
      </w:pPr>
      <w:bookmarkStart w:id="8" w:name="_Toc224890871"/>
      <w:r w:rsidRPr="000A05EB">
        <w:rPr>
          <w:color w:val="auto"/>
        </w:rPr>
        <w:t>3.2 Customer Journey Mapping: current customer journey</w:t>
      </w:r>
      <w:bookmarkEnd w:id="8"/>
    </w:p>
    <w:p w14:paraId="4ABBD145" w14:textId="77777777" w:rsidR="00CB312E" w:rsidRPr="000A05EB" w:rsidRDefault="00CB312E" w:rsidP="00CB312E">
      <w:pPr>
        <w:rPr>
          <w:rFonts w:ascii="Arial" w:hAnsi="Arial" w:cs="Arial"/>
        </w:rPr>
      </w:pPr>
      <w:r w:rsidRPr="005114C3">
        <w:rPr>
          <w:rFonts w:ascii="Arial" w:hAnsi="Arial" w:cs="Arial"/>
        </w:rPr>
        <w:t xml:space="preserve">Customer Journey Mapping is a core design thinking tool because it helps organisations understand the experience from the customer’s perspective rather than from the firm’s </w:t>
      </w:r>
      <w:r w:rsidRPr="000A05EB">
        <w:rPr>
          <w:rFonts w:ascii="Arial" w:hAnsi="Arial" w:cs="Arial"/>
        </w:rPr>
        <w:lastRenderedPageBreak/>
        <w:t>internal structure. Lemon and Verhoef (2016) argue that customer experience emerges across the entire journey and is shaped by multiple touchpoints before, during and after purchase. For Tesco, this is particularly important because grocery shopping is frequent, routine and highly sensitive to friction. Seemingly small problems such as poor substitutions, uncertainty about stock or excessive planning effort can have a strong impact on trust and repeat behaviour.</w:t>
      </w:r>
    </w:p>
    <w:p w14:paraId="22581F2E" w14:textId="77777777" w:rsidR="00CB312E" w:rsidRPr="000A05EB" w:rsidRDefault="00CB312E" w:rsidP="00CB312E">
      <w:pPr>
        <w:rPr>
          <w:rFonts w:ascii="Arial" w:hAnsi="Arial" w:cs="Arial"/>
        </w:rPr>
      </w:pPr>
      <w:r w:rsidRPr="000A05EB">
        <w:rPr>
          <w:rFonts w:ascii="Arial" w:hAnsi="Arial" w:cs="Arial"/>
        </w:rPr>
        <w:t>Tesco’s current customer journey can be mapped across six stages: awareness, consideration, planning, purchase, fulfilment or in-store experience, and post-purchase relationship.</w:t>
      </w:r>
    </w:p>
    <w:p w14:paraId="29B0FCC2" w14:textId="77777777" w:rsidR="00CB312E" w:rsidRPr="000A05EB" w:rsidRDefault="00CB312E" w:rsidP="00CB312E">
      <w:pPr>
        <w:rPr>
          <w:rFonts w:ascii="Arial" w:hAnsi="Arial" w:cs="Arial"/>
        </w:rPr>
      </w:pPr>
      <w:r w:rsidRPr="000A05EB">
        <w:rPr>
          <w:rFonts w:ascii="Arial" w:hAnsi="Arial" w:cs="Arial"/>
        </w:rPr>
        <w:t>Awareness</w:t>
      </w:r>
    </w:p>
    <w:p w14:paraId="05DD582D" w14:textId="77777777" w:rsidR="00CB312E" w:rsidRPr="000A05EB" w:rsidRDefault="00CB312E" w:rsidP="00CB312E">
      <w:pPr>
        <w:rPr>
          <w:rFonts w:ascii="Arial" w:hAnsi="Arial" w:cs="Arial"/>
        </w:rPr>
      </w:pPr>
      <w:r w:rsidRPr="000A05EB">
        <w:rPr>
          <w:rFonts w:ascii="Arial" w:hAnsi="Arial" w:cs="Arial"/>
        </w:rPr>
        <w:t>At the awareness stage, Tesco benefits from strong brand recognition, a visible store estate and extensive promotion-led communication. Clubcard pricing and value messaging are particularly important in attracting attention in a cost-conscious market. The gain point here is reassurance: Tesco is familiar, widely accessible and often perceived as good value. However, awareness is still driven mainly by broad communication rather than highly contextual personal relevance. Customers may know Tesco well, but that does not necessarily mean Tesco is surfacing the right message at the right moment for the right need.</w:t>
      </w:r>
    </w:p>
    <w:p w14:paraId="178C6495" w14:textId="77777777" w:rsidR="00CB312E" w:rsidRPr="000A05EB" w:rsidRDefault="00CB312E" w:rsidP="00CB312E">
      <w:pPr>
        <w:rPr>
          <w:rFonts w:ascii="Arial" w:hAnsi="Arial" w:cs="Arial"/>
        </w:rPr>
      </w:pPr>
      <w:r w:rsidRPr="000A05EB">
        <w:rPr>
          <w:rFonts w:ascii="Arial" w:hAnsi="Arial" w:cs="Arial"/>
        </w:rPr>
        <w:t>Consideration</w:t>
      </w:r>
    </w:p>
    <w:p w14:paraId="7FFB5E60" w14:textId="77777777" w:rsidR="00CB312E" w:rsidRPr="000A05EB" w:rsidRDefault="00CB312E" w:rsidP="00CB312E">
      <w:pPr>
        <w:rPr>
          <w:rFonts w:ascii="Arial" w:hAnsi="Arial" w:cs="Arial"/>
        </w:rPr>
      </w:pPr>
      <w:r w:rsidRPr="000A05EB">
        <w:rPr>
          <w:rFonts w:ascii="Arial" w:hAnsi="Arial" w:cs="Arial"/>
        </w:rPr>
        <w:t>In the consideration stage, customers compare Tesco with competitors on criteria such as price, convenience, location, range and delivery options. Tesco performs well because it offers multiple shopping routes and a broad assortment. Clubcard promotions can also make Tesco appear more attractive at the moment of decision. Yet this stage contains uncertainty. Customers may still question whether Tesco offers the best total basket value when compared with discount retailers, or whether a chosen online basket will actually be fulfilled as expected. Therefore, although Tesco is competitive, the journey contains hidden friction in the form of doubt.</w:t>
      </w:r>
    </w:p>
    <w:p w14:paraId="69607631" w14:textId="77777777" w:rsidR="00CB312E" w:rsidRPr="000A05EB" w:rsidRDefault="00CB312E" w:rsidP="00CB312E">
      <w:pPr>
        <w:rPr>
          <w:rFonts w:ascii="Arial" w:hAnsi="Arial" w:cs="Arial"/>
        </w:rPr>
      </w:pPr>
      <w:r w:rsidRPr="000A05EB">
        <w:rPr>
          <w:rFonts w:ascii="Arial" w:hAnsi="Arial" w:cs="Arial"/>
        </w:rPr>
        <w:t>Planning</w:t>
      </w:r>
    </w:p>
    <w:p w14:paraId="34A3369B" w14:textId="77777777" w:rsidR="00CB312E" w:rsidRPr="000A05EB" w:rsidRDefault="00CB312E" w:rsidP="00CB312E">
      <w:pPr>
        <w:rPr>
          <w:rFonts w:ascii="Arial" w:hAnsi="Arial" w:cs="Arial"/>
        </w:rPr>
      </w:pPr>
      <w:r w:rsidRPr="000A05EB">
        <w:rPr>
          <w:rFonts w:ascii="Arial" w:hAnsi="Arial" w:cs="Arial"/>
        </w:rPr>
        <w:t>Planning is a particularly important stage in grocery retail because many customers build baskets around routines, budgets and recurring household needs. Tesco supports planning through saved favourites, previous orders and account history. These are useful features, but the experience remains relatively transactional. Customers still spend time searching, remembering, checking promotions and thinking through alternatives. From a design thinking perspective, this indicates an unmet need around reduced cognitive effort. The issue is not simply convenience in a general sense; it is the burden of repeated basket-building.</w:t>
      </w:r>
    </w:p>
    <w:p w14:paraId="747294FF" w14:textId="77777777" w:rsidR="00CB312E" w:rsidRPr="000A05EB" w:rsidRDefault="00CB312E" w:rsidP="00CB312E">
      <w:pPr>
        <w:rPr>
          <w:rFonts w:ascii="Arial" w:hAnsi="Arial" w:cs="Arial"/>
        </w:rPr>
      </w:pPr>
      <w:r w:rsidRPr="000A05EB">
        <w:rPr>
          <w:rFonts w:ascii="Arial" w:hAnsi="Arial" w:cs="Arial"/>
        </w:rPr>
        <w:t>Purchase</w:t>
      </w:r>
    </w:p>
    <w:p w14:paraId="6ACAFFC8" w14:textId="77777777" w:rsidR="00CB312E" w:rsidRPr="000A05EB" w:rsidRDefault="00CB312E" w:rsidP="00CB312E">
      <w:pPr>
        <w:rPr>
          <w:rFonts w:ascii="Arial" w:hAnsi="Arial" w:cs="Arial"/>
        </w:rPr>
      </w:pPr>
      <w:r w:rsidRPr="000A05EB">
        <w:rPr>
          <w:rFonts w:ascii="Arial" w:hAnsi="Arial" w:cs="Arial"/>
        </w:rPr>
        <w:t>Tesco’s purchase stage is omnichannel. Customers can buy in-store, via standard online delivery, through click-and-collect or through Whoosh. This flexibility is a major gain point because it allows different shopping missions to be served. However, the interface between these options is not always intelligent from the customer’s point of view. The customer often still has to decide which method is most suitable rather than being guided by Tesco. That means choice exists, but not always clarity. In design thinking terms, the experience can be described as capable but not fully anticipatory.</w:t>
      </w:r>
    </w:p>
    <w:p w14:paraId="08C39352" w14:textId="77777777" w:rsidR="00CB312E" w:rsidRPr="000A05EB" w:rsidRDefault="00CB312E" w:rsidP="00CB312E">
      <w:pPr>
        <w:rPr>
          <w:rFonts w:ascii="Arial" w:hAnsi="Arial" w:cs="Arial"/>
        </w:rPr>
      </w:pPr>
      <w:r w:rsidRPr="000A05EB">
        <w:rPr>
          <w:rFonts w:ascii="Arial" w:hAnsi="Arial" w:cs="Arial"/>
        </w:rPr>
        <w:t>Fulfilment or in-store experience</w:t>
      </w:r>
    </w:p>
    <w:p w14:paraId="51F76769" w14:textId="77777777" w:rsidR="00CB312E" w:rsidRPr="005114C3" w:rsidRDefault="00CB312E" w:rsidP="00CB312E">
      <w:pPr>
        <w:rPr>
          <w:rFonts w:ascii="Arial" w:hAnsi="Arial" w:cs="Arial"/>
        </w:rPr>
      </w:pPr>
      <w:r w:rsidRPr="005114C3">
        <w:rPr>
          <w:rFonts w:ascii="Arial" w:hAnsi="Arial" w:cs="Arial"/>
        </w:rPr>
        <w:lastRenderedPageBreak/>
        <w:t>In the fulfilment stage, trust becomes especially important. Customers want the products they selected, delivered at the expected time and in acceptable condition. Tesco has strong infrastructure and reach, but this stage still generates pain points around substitutions, stock availability, freshness and slot quality. In store, self-service and convenience are strengths, but the connection between online planning and in-store reality can still feel weak. For example, a customer may see a product online, expect availability, and then encounter inconsistency at fulfilment. This undermines confidence.</w:t>
      </w:r>
    </w:p>
    <w:p w14:paraId="1B4710F2" w14:textId="77777777" w:rsidR="00CB312E" w:rsidRPr="005114C3" w:rsidRDefault="00CB312E" w:rsidP="00CB312E">
      <w:pPr>
        <w:rPr>
          <w:rFonts w:ascii="Arial" w:hAnsi="Arial" w:cs="Arial"/>
          <w:b/>
          <w:bCs/>
        </w:rPr>
      </w:pPr>
      <w:r w:rsidRPr="005114C3">
        <w:rPr>
          <w:rFonts w:ascii="Arial" w:hAnsi="Arial" w:cs="Arial"/>
          <w:b/>
          <w:bCs/>
        </w:rPr>
        <w:t>Post-purchase relationship</w:t>
      </w:r>
    </w:p>
    <w:p w14:paraId="14E87973" w14:textId="290D24D7" w:rsidR="00CB312E" w:rsidRPr="005114C3" w:rsidRDefault="00CB312E" w:rsidP="00CB312E">
      <w:pPr>
        <w:rPr>
          <w:rFonts w:ascii="Arial" w:hAnsi="Arial" w:cs="Arial"/>
        </w:rPr>
      </w:pPr>
      <w:r w:rsidRPr="005114C3">
        <w:rPr>
          <w:rFonts w:ascii="Arial" w:hAnsi="Arial" w:cs="Arial"/>
        </w:rPr>
        <w:t>Tesco’s post-purchase stage is strengthened by Clubcard and frequent customer interaction. Tesco knows a great deal about how and when people shop. However, the relationship remains stronger in reward mechanisms than in adaptive learning. Customers may receive future offers, but they are less likely to feel that Tesco has learned meaningfully from a bad substitution, delivery problem or repeated preference. This is a missed opportunity because design thinking does not end at purchase; it should inform ongoing iteration and service refinement.</w:t>
      </w:r>
    </w:p>
    <w:p w14:paraId="3587DBB6" w14:textId="77777777" w:rsidR="00CB312E" w:rsidRPr="000A05EB" w:rsidRDefault="00CB312E" w:rsidP="00CB312E">
      <w:pPr>
        <w:pStyle w:val="Heading2"/>
        <w:rPr>
          <w:color w:val="auto"/>
        </w:rPr>
      </w:pPr>
      <w:bookmarkStart w:id="9" w:name="_Toc224890872"/>
      <w:r w:rsidRPr="000A05EB">
        <w:rPr>
          <w:color w:val="auto"/>
        </w:rPr>
        <w:t>3.3 Pain points, gain points and digital innovation opportunities</w:t>
      </w:r>
      <w:bookmarkEnd w:id="9"/>
    </w:p>
    <w:p w14:paraId="3804B207" w14:textId="77777777" w:rsidR="00CB312E" w:rsidRPr="000A05EB" w:rsidRDefault="00CB312E" w:rsidP="00CB312E">
      <w:pPr>
        <w:rPr>
          <w:rFonts w:ascii="Arial" w:hAnsi="Arial" w:cs="Arial"/>
        </w:rPr>
      </w:pPr>
      <w:r w:rsidRPr="000A05EB">
        <w:rPr>
          <w:rFonts w:ascii="Arial" w:hAnsi="Arial" w:cs="Arial"/>
        </w:rPr>
        <w:t>From a design thinking perspective, the value of mapping the current journey is that it reveals real customer problems that can become starting points for innovation. Tesco already delivers several important gain points: brand trust, channel flexibility, broad access, loyalty integration and convenience. These strengths help explain Tesco’s leadership position. Nevertheless, the journey also reveals recurring pain points that matter precisely because grocery retail is habitual and repetitive.</w:t>
      </w:r>
    </w:p>
    <w:p w14:paraId="272E9960" w14:textId="77777777" w:rsidR="00CB312E" w:rsidRPr="000A05EB" w:rsidRDefault="00CB312E" w:rsidP="00CB312E">
      <w:pPr>
        <w:rPr>
          <w:rFonts w:ascii="Arial" w:hAnsi="Arial" w:cs="Arial"/>
        </w:rPr>
      </w:pPr>
      <w:r w:rsidRPr="000A05EB">
        <w:rPr>
          <w:rFonts w:ascii="Arial" w:hAnsi="Arial" w:cs="Arial"/>
        </w:rPr>
        <w:t>The first major pain point is uncertainty. Customers cannot always be sure that the basket they build is the basket they will receive. This applies especially to stock availability and substitutions. The second pain point is effort. Basket planning still requires time, memory and repeated manual decision-making. The third is fragmentation. Tesco offers many channels, but they do not always feel like one coherent journey. The fourth is limited adaptive learning. Tesco collects large amounts of data, yet customers do not always experience the service as genuinely learning from past friction.</w:t>
      </w:r>
    </w:p>
    <w:p w14:paraId="41BEC1C1" w14:textId="77777777" w:rsidR="00CB312E" w:rsidRPr="000A05EB" w:rsidRDefault="00CB312E" w:rsidP="00CB312E">
      <w:pPr>
        <w:rPr>
          <w:rFonts w:ascii="Arial" w:hAnsi="Arial" w:cs="Arial"/>
        </w:rPr>
      </w:pPr>
      <w:r w:rsidRPr="000A05EB">
        <w:rPr>
          <w:rFonts w:ascii="Arial" w:hAnsi="Arial" w:cs="Arial"/>
        </w:rPr>
        <w:t>These pain points create significant innovation opportunities. A design thinking approach would interpret them not as isolated complaints, but as signs of unmet needs: the need for confidence, lower effort, better guidance and more personalised service. This directly informs the next section, where a customer-centred digital transformation initiative is proposed.</w:t>
      </w:r>
    </w:p>
    <w:p w14:paraId="4E1BE6B3" w14:textId="385E2488" w:rsidR="00CB312E" w:rsidRPr="00D759DC" w:rsidRDefault="00CB312E" w:rsidP="00CB312E">
      <w:pPr>
        <w:rPr>
          <w:rFonts w:ascii="Arial" w:hAnsi="Arial" w:cs="Arial"/>
        </w:rPr>
      </w:pPr>
    </w:p>
    <w:p w14:paraId="1F6E35D9" w14:textId="77777777" w:rsidR="00CB312E" w:rsidRPr="000A05EB" w:rsidRDefault="00CB312E" w:rsidP="00CB312E">
      <w:pPr>
        <w:pStyle w:val="Heading1"/>
        <w:rPr>
          <w:color w:val="auto"/>
        </w:rPr>
      </w:pPr>
      <w:bookmarkStart w:id="10" w:name="_Toc224890873"/>
      <w:r w:rsidRPr="000A05EB">
        <w:rPr>
          <w:color w:val="auto"/>
        </w:rPr>
        <w:t>4. Part 2: Proposed Digital Transformation Initiative</w:t>
      </w:r>
      <w:bookmarkEnd w:id="10"/>
    </w:p>
    <w:p w14:paraId="621490FC" w14:textId="77777777" w:rsidR="00CB312E" w:rsidRPr="000A05EB" w:rsidRDefault="00CB312E" w:rsidP="00CB312E">
      <w:pPr>
        <w:pStyle w:val="Heading2"/>
        <w:rPr>
          <w:color w:val="auto"/>
        </w:rPr>
      </w:pPr>
      <w:bookmarkStart w:id="11" w:name="_Toc224890874"/>
      <w:r w:rsidRPr="000A05EB">
        <w:rPr>
          <w:color w:val="auto"/>
        </w:rPr>
        <w:t>4.1 Proposed initiative: Tesco SmartShopper AI Ecosystem</w:t>
      </w:r>
      <w:bookmarkEnd w:id="11"/>
    </w:p>
    <w:p w14:paraId="4A0AF481" w14:textId="77777777" w:rsidR="00CB312E" w:rsidRPr="000A05EB" w:rsidRDefault="00CB312E" w:rsidP="00CB312E">
      <w:pPr>
        <w:rPr>
          <w:rFonts w:ascii="Arial" w:hAnsi="Arial" w:cs="Arial"/>
        </w:rPr>
      </w:pPr>
      <w:r w:rsidRPr="000A05EB">
        <w:rPr>
          <w:rFonts w:ascii="Arial" w:hAnsi="Arial" w:cs="Arial"/>
        </w:rPr>
        <w:t>Based on the customer journey analysis, this report proposes the Tesco SmartShopper AI Ecosystem as a new digital transformation initiative. This proposal has been developed through a design thinking logic: empathising with customer frustrations, defining the core journey problems, and generating a solution concept that improves desirability, usability and value.</w:t>
      </w:r>
    </w:p>
    <w:p w14:paraId="2152D45A" w14:textId="77777777" w:rsidR="00CB312E" w:rsidRPr="000A05EB" w:rsidRDefault="00CB312E" w:rsidP="00CB312E">
      <w:pPr>
        <w:rPr>
          <w:rFonts w:ascii="Arial" w:hAnsi="Arial" w:cs="Arial"/>
        </w:rPr>
      </w:pPr>
      <w:r w:rsidRPr="000A05EB">
        <w:rPr>
          <w:rFonts w:ascii="Arial" w:hAnsi="Arial" w:cs="Arial"/>
        </w:rPr>
        <w:lastRenderedPageBreak/>
        <w:t>The initiative has five linked elements.</w:t>
      </w:r>
    </w:p>
    <w:p w14:paraId="01A95239" w14:textId="77777777" w:rsidR="00CB312E" w:rsidRPr="000A05EB" w:rsidRDefault="00CB312E" w:rsidP="00CB312E">
      <w:pPr>
        <w:rPr>
          <w:rFonts w:ascii="Arial" w:hAnsi="Arial" w:cs="Arial"/>
        </w:rPr>
      </w:pPr>
      <w:r w:rsidRPr="000A05EB">
        <w:rPr>
          <w:rFonts w:ascii="Arial" w:hAnsi="Arial" w:cs="Arial"/>
        </w:rPr>
        <w:t>The first is an AI basket assistant. Rather than requiring customers to build every shop from scratch, Tesco would generate suggested baskets based on purchase history, household routines, dietary preferences, seasonality and promotions. Customers could then edit rather than create from zero. This directly addresses planning effort.</w:t>
      </w:r>
    </w:p>
    <w:p w14:paraId="57C3F9CC" w14:textId="77777777" w:rsidR="00CB312E" w:rsidRPr="000A05EB" w:rsidRDefault="00CB312E" w:rsidP="00CB312E">
      <w:pPr>
        <w:rPr>
          <w:rFonts w:ascii="Arial" w:hAnsi="Arial" w:cs="Arial"/>
        </w:rPr>
      </w:pPr>
      <w:r w:rsidRPr="000A05EB">
        <w:rPr>
          <w:rFonts w:ascii="Arial" w:hAnsi="Arial" w:cs="Arial"/>
        </w:rPr>
        <w:t>The second is inventory confidence visibility. Instead of displaying simple availability signals, Tesco would show the likelihood of successful fulfilment based on local stock conditions, time of order and substitution risk. This targets the emotional problem of uncertainty.</w:t>
      </w:r>
    </w:p>
    <w:p w14:paraId="1452DD95" w14:textId="77777777" w:rsidR="00CB312E" w:rsidRPr="000A05EB" w:rsidRDefault="00CB312E" w:rsidP="00CB312E">
      <w:pPr>
        <w:rPr>
          <w:rFonts w:ascii="Arial" w:hAnsi="Arial" w:cs="Arial"/>
        </w:rPr>
      </w:pPr>
      <w:r w:rsidRPr="000A05EB">
        <w:rPr>
          <w:rFonts w:ascii="Arial" w:hAnsi="Arial" w:cs="Arial"/>
        </w:rPr>
        <w:t>The third is intelligent fulfilment recommendation. Tesco would recommend standard delivery, click-and-collect, Whoosh or in-store purchase depending on urgency, basket size, local capacity and customer history. This would make channel choice easier and more responsive.</w:t>
      </w:r>
    </w:p>
    <w:p w14:paraId="4A0B4D3C" w14:textId="77777777" w:rsidR="00CB312E" w:rsidRPr="000A05EB" w:rsidRDefault="00CB312E" w:rsidP="00CB312E">
      <w:pPr>
        <w:rPr>
          <w:rFonts w:ascii="Arial" w:hAnsi="Arial" w:cs="Arial"/>
        </w:rPr>
      </w:pPr>
      <w:r w:rsidRPr="000A05EB">
        <w:rPr>
          <w:rFonts w:ascii="Arial" w:hAnsi="Arial" w:cs="Arial"/>
        </w:rPr>
        <w:t>The fourth is a smart substitution system. Customers could set richer rules, such as “never substitute fresh produce,” “allow brand changes only within dietary limits,” or “protect price if upgrading.” Tesco would then learn from accepted and rejected substitutions.</w:t>
      </w:r>
    </w:p>
    <w:p w14:paraId="2E9EC1CD" w14:textId="77777777" w:rsidR="00CB312E" w:rsidRPr="000A05EB" w:rsidRDefault="00CB312E" w:rsidP="00CB312E">
      <w:pPr>
        <w:rPr>
          <w:rFonts w:ascii="Arial" w:hAnsi="Arial" w:cs="Arial"/>
        </w:rPr>
      </w:pPr>
      <w:r w:rsidRPr="000A05EB">
        <w:rPr>
          <w:rFonts w:ascii="Arial" w:hAnsi="Arial" w:cs="Arial"/>
        </w:rPr>
        <w:t>The fifth is an integrated feedback loop. After each order, Tesco would invite quick, structured feedback that directly informs future recommendations, substitutions and fulfilment options. In this way, the system would learn over time and the experience would become more adaptive.</w:t>
      </w:r>
    </w:p>
    <w:p w14:paraId="3EB5CD81" w14:textId="5FC2D1AC" w:rsidR="00CB312E" w:rsidRPr="000A05EB" w:rsidRDefault="00CB312E" w:rsidP="00CB312E">
      <w:pPr>
        <w:rPr>
          <w:rFonts w:ascii="Arial" w:hAnsi="Arial" w:cs="Arial"/>
        </w:rPr>
      </w:pPr>
      <w:r w:rsidRPr="000A05EB">
        <w:rPr>
          <w:rFonts w:ascii="Arial" w:hAnsi="Arial" w:cs="Arial"/>
        </w:rPr>
        <w:t>This initiative is not simply a technology upgrade. It is a redesign of the customer journey around reduced effort, increased trust and stronger relevance.</w:t>
      </w:r>
    </w:p>
    <w:p w14:paraId="5F999EA2" w14:textId="77777777" w:rsidR="00CB312E" w:rsidRPr="000A05EB" w:rsidRDefault="00CB312E" w:rsidP="00CB312E">
      <w:pPr>
        <w:pStyle w:val="Heading2"/>
        <w:rPr>
          <w:rFonts w:ascii="Arial" w:hAnsi="Arial" w:cs="Arial"/>
          <w:b/>
          <w:bCs/>
          <w:color w:val="auto"/>
        </w:rPr>
      </w:pPr>
      <w:bookmarkStart w:id="12" w:name="_Toc224890875"/>
      <w:r w:rsidRPr="000A05EB">
        <w:rPr>
          <w:rFonts w:ascii="Arial" w:hAnsi="Arial" w:cs="Arial"/>
          <w:b/>
          <w:bCs/>
          <w:color w:val="auto"/>
        </w:rPr>
        <w:t>4.2 Updated customer journey map</w:t>
      </w:r>
      <w:bookmarkEnd w:id="12"/>
    </w:p>
    <w:p w14:paraId="2367A5B7" w14:textId="77777777" w:rsidR="00CB312E" w:rsidRPr="000A05EB" w:rsidRDefault="00CB312E" w:rsidP="00CB312E">
      <w:pPr>
        <w:rPr>
          <w:rFonts w:ascii="Arial" w:hAnsi="Arial" w:cs="Arial"/>
        </w:rPr>
      </w:pPr>
      <w:r w:rsidRPr="000A05EB">
        <w:rPr>
          <w:rFonts w:ascii="Arial" w:hAnsi="Arial" w:cs="Arial"/>
        </w:rPr>
        <w:t>In the awareness stage, the SmartShopper ecosystem would replace broad promotional entry points with more contextual prompts, such as “your weekly basket is ready,” “top-up essentials available in 20 minutes,” or “your usual school lunch items are on offer.” Awareness becomes more personally meaningful.</w:t>
      </w:r>
    </w:p>
    <w:p w14:paraId="5A4D106E" w14:textId="77777777" w:rsidR="00CB312E" w:rsidRPr="000A05EB" w:rsidRDefault="00CB312E" w:rsidP="00CB312E">
      <w:pPr>
        <w:rPr>
          <w:rFonts w:ascii="Arial" w:hAnsi="Arial" w:cs="Arial"/>
        </w:rPr>
      </w:pPr>
      <w:r w:rsidRPr="000A05EB">
        <w:rPr>
          <w:rFonts w:ascii="Arial" w:hAnsi="Arial" w:cs="Arial"/>
        </w:rPr>
        <w:t>In the consideration stage, customers would see a suggested basket already aligned to their likely needs, budget and preferences. Inventory confidence information would reduce anxiety before purchase, improving trust.</w:t>
      </w:r>
    </w:p>
    <w:p w14:paraId="597C3994" w14:textId="77777777" w:rsidR="00CB312E" w:rsidRPr="000A05EB" w:rsidRDefault="00CB312E" w:rsidP="00CB312E">
      <w:pPr>
        <w:rPr>
          <w:rFonts w:ascii="Arial" w:hAnsi="Arial" w:cs="Arial"/>
        </w:rPr>
      </w:pPr>
      <w:r w:rsidRPr="000A05EB">
        <w:rPr>
          <w:rFonts w:ascii="Arial" w:hAnsi="Arial" w:cs="Arial"/>
        </w:rPr>
        <w:t>In the planning and purchase stages, Tesco would reduce decision burden. Customers could approve a suggested basket, edit only what they need, set substitution preferences once, and accept a recommended fulfilment route. This transforms shopping from repetitive assembly into guided adjustment.</w:t>
      </w:r>
    </w:p>
    <w:p w14:paraId="0DB9D902" w14:textId="77777777" w:rsidR="00CB312E" w:rsidRPr="000A05EB" w:rsidRDefault="00CB312E" w:rsidP="00CB312E">
      <w:pPr>
        <w:rPr>
          <w:rFonts w:ascii="Arial" w:hAnsi="Arial" w:cs="Arial"/>
        </w:rPr>
      </w:pPr>
      <w:r w:rsidRPr="000A05EB">
        <w:rPr>
          <w:rFonts w:ascii="Arial" w:hAnsi="Arial" w:cs="Arial"/>
        </w:rPr>
        <w:t>In the fulfilment stage, Tesco would communicate more proactively. If product risk emerges, alternatives could be suggested earlier. Better substitution intelligence would also make fulfilment feel more respectful of customer preferences.</w:t>
      </w:r>
    </w:p>
    <w:p w14:paraId="3DCBD623" w14:textId="4FF29A10" w:rsidR="00CB312E" w:rsidRPr="000A05EB" w:rsidRDefault="00CB312E" w:rsidP="00CB312E">
      <w:pPr>
        <w:rPr>
          <w:rFonts w:ascii="Arial" w:hAnsi="Arial" w:cs="Arial"/>
        </w:rPr>
      </w:pPr>
      <w:r w:rsidRPr="000A05EB">
        <w:rPr>
          <w:rFonts w:ascii="Arial" w:hAnsi="Arial" w:cs="Arial"/>
        </w:rPr>
        <w:t>In the post-purchase stage, Tesco would convert feedback into visible service learning. The customer would experience the system as becoming better over time, which is central to long-term loyalty.</w:t>
      </w:r>
    </w:p>
    <w:p w14:paraId="4FE2BF7A" w14:textId="77777777" w:rsidR="00CB312E" w:rsidRPr="00D759DC" w:rsidRDefault="00CB312E" w:rsidP="00CB312E">
      <w:pPr>
        <w:pStyle w:val="Heading2"/>
        <w:rPr>
          <w:rFonts w:ascii="Arial" w:hAnsi="Arial" w:cs="Arial"/>
        </w:rPr>
      </w:pPr>
      <w:bookmarkStart w:id="13" w:name="_Toc224890876"/>
      <w:r w:rsidRPr="00D759DC">
        <w:rPr>
          <w:rFonts w:ascii="Arial" w:hAnsi="Arial" w:cs="Arial"/>
        </w:rPr>
        <w:t>4.3 Organisational benefits of the proposed initiative</w:t>
      </w:r>
      <w:bookmarkEnd w:id="13"/>
    </w:p>
    <w:p w14:paraId="48D87F17" w14:textId="77777777" w:rsidR="00CB312E" w:rsidRPr="000A05EB" w:rsidRDefault="00CB312E" w:rsidP="00CB312E">
      <w:pPr>
        <w:rPr>
          <w:rFonts w:ascii="Arial" w:hAnsi="Arial" w:cs="Arial"/>
        </w:rPr>
      </w:pPr>
      <w:r w:rsidRPr="000A05EB">
        <w:rPr>
          <w:rFonts w:ascii="Arial" w:hAnsi="Arial" w:cs="Arial"/>
        </w:rPr>
        <w:t xml:space="preserve">The first major benefit is improved customer experience. Lemon and Verhoef (2016) stress that customer experience depends on the totality of the journey. The SmartShopper </w:t>
      </w:r>
      <w:r w:rsidRPr="000A05EB">
        <w:rPr>
          <w:rFonts w:ascii="Arial" w:hAnsi="Arial" w:cs="Arial"/>
        </w:rPr>
        <w:lastRenderedPageBreak/>
        <w:t>ecosystem directly reduces uncertainty, effort and fragmentation, which are Tesco’s main current weaknesses.</w:t>
      </w:r>
    </w:p>
    <w:p w14:paraId="3490720B" w14:textId="77777777" w:rsidR="00CB312E" w:rsidRPr="000A05EB" w:rsidRDefault="00CB312E" w:rsidP="00CB312E">
      <w:pPr>
        <w:rPr>
          <w:rFonts w:ascii="Arial" w:hAnsi="Arial" w:cs="Arial"/>
        </w:rPr>
      </w:pPr>
      <w:r w:rsidRPr="000A05EB">
        <w:rPr>
          <w:rFonts w:ascii="Arial" w:hAnsi="Arial" w:cs="Arial"/>
        </w:rPr>
        <w:t>The second benefit is greater customer loyalty and retention. If customers experience Tesco as easier, more predictable and more personalised, they are more likely to return, consolidate spend and deepen their relationship with the brand. McKinsey &amp; Company (2020) argues that personalisation in retail can improve differentiation and lifetime value when executed well.</w:t>
      </w:r>
    </w:p>
    <w:p w14:paraId="2473DDEC" w14:textId="77777777" w:rsidR="00CB312E" w:rsidRPr="000A05EB" w:rsidRDefault="00CB312E" w:rsidP="00CB312E">
      <w:pPr>
        <w:rPr>
          <w:rFonts w:ascii="Arial" w:hAnsi="Arial" w:cs="Arial"/>
        </w:rPr>
      </w:pPr>
      <w:r w:rsidRPr="000A05EB">
        <w:rPr>
          <w:rFonts w:ascii="Arial" w:hAnsi="Arial" w:cs="Arial"/>
        </w:rPr>
        <w:t>The third benefit is operational efficiency. Better recommendations and substitution logic should reduce service failures, complaints and inefficient fulfilment choices. This means the initiative is not only desirable for customers but also feasible and commercially viable for Tesco.</w:t>
      </w:r>
    </w:p>
    <w:p w14:paraId="0C157CFB" w14:textId="77777777" w:rsidR="00CB312E" w:rsidRPr="000A05EB" w:rsidRDefault="00CB312E" w:rsidP="00CB312E">
      <w:pPr>
        <w:rPr>
          <w:rFonts w:ascii="Arial" w:hAnsi="Arial" w:cs="Arial"/>
        </w:rPr>
      </w:pPr>
      <w:r w:rsidRPr="000A05EB">
        <w:rPr>
          <w:rFonts w:ascii="Arial" w:hAnsi="Arial" w:cs="Arial"/>
        </w:rPr>
        <w:t>The fourth benefit is stronger innovation capability. Design thinking encourages organisations to innovate from customer insight rather than departmental logic. By building the SmartShopper ecosystem, Tesco would strengthen its ability to connect data, empathy and experimentation.</w:t>
      </w:r>
    </w:p>
    <w:p w14:paraId="521C2C8A" w14:textId="0D03A44D" w:rsidR="00CB312E" w:rsidRPr="000A05EB" w:rsidRDefault="00CB312E" w:rsidP="00CB312E">
      <w:pPr>
        <w:rPr>
          <w:rFonts w:ascii="Arial" w:hAnsi="Arial" w:cs="Arial"/>
        </w:rPr>
      </w:pPr>
      <w:r w:rsidRPr="000A05EB">
        <w:rPr>
          <w:rFonts w:ascii="Arial" w:hAnsi="Arial" w:cs="Arial"/>
        </w:rPr>
        <w:t>The fifth benefit is competitive differentiation. Tesco already has scale and channel reach, but those strengths become more defensible when integrated into a coherent customer-centred system. Competitors may match individual features, but fewer can combine physical footprint, loyalty data, rapid delivery and AI-supported service design at this scale.</w:t>
      </w:r>
    </w:p>
    <w:p w14:paraId="1DE58CBE" w14:textId="77777777" w:rsidR="00CB312E" w:rsidRPr="000A05EB" w:rsidRDefault="00CB312E" w:rsidP="00CB312E">
      <w:pPr>
        <w:pStyle w:val="Heading2"/>
        <w:rPr>
          <w:b/>
          <w:bCs/>
          <w:color w:val="auto"/>
        </w:rPr>
      </w:pPr>
      <w:bookmarkStart w:id="14" w:name="_Toc224890877"/>
      <w:r w:rsidRPr="000A05EB">
        <w:rPr>
          <w:b/>
          <w:bCs/>
          <w:color w:val="auto"/>
        </w:rPr>
        <w:t>4.4 Measuring impact and success</w:t>
      </w:r>
      <w:bookmarkEnd w:id="14"/>
    </w:p>
    <w:p w14:paraId="0A550A00" w14:textId="77777777" w:rsidR="00CB312E" w:rsidRPr="000A05EB" w:rsidRDefault="00CB312E" w:rsidP="00CB312E">
      <w:pPr>
        <w:rPr>
          <w:rFonts w:ascii="Arial" w:hAnsi="Arial" w:cs="Arial"/>
        </w:rPr>
      </w:pPr>
      <w:r w:rsidRPr="000A05EB">
        <w:rPr>
          <w:rFonts w:ascii="Arial" w:hAnsi="Arial" w:cs="Arial"/>
        </w:rPr>
        <w:t>The success of the initiative should be assessed through customer, operational and commercial measures.</w:t>
      </w:r>
    </w:p>
    <w:p w14:paraId="7B6D6595" w14:textId="77777777" w:rsidR="00CB312E" w:rsidRPr="000A05EB" w:rsidRDefault="00CB312E" w:rsidP="00CB312E">
      <w:pPr>
        <w:rPr>
          <w:rFonts w:ascii="Arial" w:hAnsi="Arial" w:cs="Arial"/>
        </w:rPr>
      </w:pPr>
      <w:r w:rsidRPr="000A05EB">
        <w:rPr>
          <w:rFonts w:ascii="Arial" w:hAnsi="Arial" w:cs="Arial"/>
        </w:rPr>
        <w:t>Customer measures should include Net Promoter Score, basket completion rate, repeat online purchase rate, substitution acceptance rate, app task-completion time and complaint reduction. These indicators show whether the journey is becoming easier and more trusted.</w:t>
      </w:r>
    </w:p>
    <w:p w14:paraId="2EDEFF30" w14:textId="77777777" w:rsidR="00CB312E" w:rsidRPr="000A05EB" w:rsidRDefault="00CB312E" w:rsidP="00CB312E">
      <w:pPr>
        <w:rPr>
          <w:rFonts w:ascii="Arial" w:hAnsi="Arial" w:cs="Arial"/>
        </w:rPr>
      </w:pPr>
      <w:r w:rsidRPr="000A05EB">
        <w:rPr>
          <w:rFonts w:ascii="Arial" w:hAnsi="Arial" w:cs="Arial"/>
        </w:rPr>
        <w:t>Operational measures should include fulfilment accuracy, percentage of orders routed to the most suitable fulfilment method, service recovery incidents, stock-confidence accuracy and cost per order. These show whether the initiative is improving process quality as well as experience.</w:t>
      </w:r>
    </w:p>
    <w:p w14:paraId="3BF0AA3B" w14:textId="77777777" w:rsidR="00CB312E" w:rsidRPr="000A05EB" w:rsidRDefault="00CB312E" w:rsidP="00CB312E">
      <w:pPr>
        <w:rPr>
          <w:rFonts w:ascii="Arial" w:hAnsi="Arial" w:cs="Arial"/>
        </w:rPr>
      </w:pPr>
      <w:r w:rsidRPr="000A05EB">
        <w:rPr>
          <w:rFonts w:ascii="Arial" w:hAnsi="Arial" w:cs="Arial"/>
        </w:rPr>
        <w:t>Commercial measures should include average basket value, online conversion rate, digital customer retention, recommendation-driven incremental sales and return on digital investment. This is important because innovation should not be judged only by usage but by meaningful outcomes.</w:t>
      </w:r>
    </w:p>
    <w:p w14:paraId="3D967786" w14:textId="60252B86" w:rsidR="00CB312E" w:rsidRPr="000A05EB" w:rsidRDefault="00CB312E" w:rsidP="00CB312E">
      <w:pPr>
        <w:rPr>
          <w:rFonts w:ascii="Arial" w:hAnsi="Arial" w:cs="Arial"/>
        </w:rPr>
      </w:pPr>
      <w:r w:rsidRPr="000A05EB">
        <w:rPr>
          <w:rFonts w:ascii="Arial" w:hAnsi="Arial" w:cs="Arial"/>
        </w:rPr>
        <w:t>A design thinking approach also requires qualitative evaluation. Tesco should supplement metrics with customer interviews, pilot feedback and usability testing to ensure the system is solving the right problems in the right way.</w:t>
      </w:r>
    </w:p>
    <w:p w14:paraId="50743009" w14:textId="77777777" w:rsidR="00CB312E" w:rsidRPr="000A05EB" w:rsidRDefault="00CB312E" w:rsidP="00CB312E">
      <w:pPr>
        <w:pStyle w:val="Heading2"/>
        <w:rPr>
          <w:b/>
          <w:bCs/>
          <w:color w:val="auto"/>
        </w:rPr>
      </w:pPr>
      <w:bookmarkStart w:id="15" w:name="_Toc224890878"/>
      <w:r w:rsidRPr="000A05EB">
        <w:rPr>
          <w:b/>
          <w:bCs/>
          <w:color w:val="auto"/>
        </w:rPr>
        <w:t>4.5 Implementation considerations and risks</w:t>
      </w:r>
      <w:bookmarkEnd w:id="15"/>
    </w:p>
    <w:p w14:paraId="1463B9BD" w14:textId="77777777" w:rsidR="00CB312E" w:rsidRPr="000A05EB" w:rsidRDefault="00CB312E" w:rsidP="00CB312E">
      <w:pPr>
        <w:rPr>
          <w:rFonts w:ascii="Arial" w:hAnsi="Arial" w:cs="Arial"/>
        </w:rPr>
      </w:pPr>
      <w:r w:rsidRPr="000A05EB">
        <w:rPr>
          <w:rFonts w:ascii="Arial" w:hAnsi="Arial" w:cs="Arial"/>
        </w:rPr>
        <w:t>Although the proposal is strategically attractive, implementation would require careful management. The first requirement is data integration. Tesco would need to connect loyalty data, inventory systems, app behaviour, fulfilment data and feedback loops in near real time.</w:t>
      </w:r>
    </w:p>
    <w:p w14:paraId="50D953C9" w14:textId="77777777" w:rsidR="00CB312E" w:rsidRPr="000A05EB" w:rsidRDefault="00CB312E" w:rsidP="00CB312E">
      <w:pPr>
        <w:rPr>
          <w:rFonts w:ascii="Arial" w:hAnsi="Arial" w:cs="Arial"/>
        </w:rPr>
      </w:pPr>
      <w:r w:rsidRPr="000A05EB">
        <w:rPr>
          <w:rFonts w:ascii="Arial" w:hAnsi="Arial" w:cs="Arial"/>
        </w:rPr>
        <w:t>The second requirement is customer trust and transparency. AI-supported recommendations will be better accepted if customers understand them and retain control. Tesco should therefore make preferences editable and recommendation logic visible at a simple level.</w:t>
      </w:r>
    </w:p>
    <w:p w14:paraId="3C7034D7" w14:textId="77777777" w:rsidR="00CB312E" w:rsidRPr="000A05EB" w:rsidRDefault="00CB312E" w:rsidP="00CB312E">
      <w:pPr>
        <w:rPr>
          <w:rFonts w:ascii="Arial" w:hAnsi="Arial" w:cs="Arial"/>
        </w:rPr>
      </w:pPr>
      <w:r w:rsidRPr="000A05EB">
        <w:rPr>
          <w:rFonts w:ascii="Arial" w:hAnsi="Arial" w:cs="Arial"/>
        </w:rPr>
        <w:lastRenderedPageBreak/>
        <w:t>The third requirement is phased piloting. Tesco should begin with a limited rollout focusing on the highest-friction issues, especially substitution preferences and planning support. Later phases could then extend into deeper fulfilment optimisation.</w:t>
      </w:r>
    </w:p>
    <w:p w14:paraId="37A7E862" w14:textId="77777777" w:rsidR="00CB312E" w:rsidRPr="000A05EB" w:rsidRDefault="00CB312E" w:rsidP="00CB312E">
      <w:pPr>
        <w:rPr>
          <w:rFonts w:ascii="Arial" w:hAnsi="Arial" w:cs="Arial"/>
        </w:rPr>
      </w:pPr>
      <w:r w:rsidRPr="000A05EB">
        <w:rPr>
          <w:rFonts w:ascii="Arial" w:hAnsi="Arial" w:cs="Arial"/>
        </w:rPr>
        <w:t>There are also risks. Recommendations may feel intrusive if they are poorly timed. Inaccurate inventory confidence could weaken trust. Organisationally, the initiative crosses digital, stores, supply chain and marketing functions, which may create coordination challenges.</w:t>
      </w:r>
    </w:p>
    <w:p w14:paraId="4B0D73AC" w14:textId="13B6A775" w:rsidR="00CB312E" w:rsidRPr="000A05EB" w:rsidRDefault="00CB312E" w:rsidP="00CB312E">
      <w:pPr>
        <w:rPr>
          <w:rFonts w:ascii="Arial" w:hAnsi="Arial" w:cs="Arial"/>
        </w:rPr>
      </w:pPr>
      <w:r w:rsidRPr="000A05EB">
        <w:rPr>
          <w:rFonts w:ascii="Arial" w:hAnsi="Arial" w:cs="Arial"/>
        </w:rPr>
        <w:t>However, these risks do not undermine the proposal. They reinforce the value of design thinking itself: prototype early, test with users, learn iteratively and refine the solution before full scaling.</w:t>
      </w:r>
    </w:p>
    <w:p w14:paraId="5E1B64A0" w14:textId="77777777" w:rsidR="00CB312E" w:rsidRPr="000A05EB" w:rsidRDefault="00CB312E" w:rsidP="00CB312E">
      <w:pPr>
        <w:pStyle w:val="Heading1"/>
        <w:rPr>
          <w:color w:val="auto"/>
        </w:rPr>
      </w:pPr>
      <w:bookmarkStart w:id="16" w:name="_Toc224890879"/>
      <w:r w:rsidRPr="000A05EB">
        <w:rPr>
          <w:color w:val="auto"/>
        </w:rPr>
        <w:t>5. Conclusion</w:t>
      </w:r>
      <w:bookmarkEnd w:id="16"/>
    </w:p>
    <w:p w14:paraId="5BF0317B" w14:textId="77777777" w:rsidR="00CB312E" w:rsidRPr="000A05EB" w:rsidRDefault="00CB312E" w:rsidP="00CB312E">
      <w:pPr>
        <w:rPr>
          <w:rFonts w:ascii="Arial" w:hAnsi="Arial" w:cs="Arial"/>
        </w:rPr>
      </w:pPr>
      <w:r w:rsidRPr="000A05EB">
        <w:rPr>
          <w:rFonts w:ascii="Arial" w:hAnsi="Arial" w:cs="Arial"/>
        </w:rPr>
        <w:t>This report has analysed Tesco plc through the Innovation Ambition Matrix and Customer Journey Mapping in order to evaluate the organisation from a Design Thinking and Innovation perspective. The analysis shows that Tesco is strong in core innovation and active in adjacent innovation, particularly through Clubcard, online grocery and Whoosh. However, it is less ambitious in transformational innovation, despite possessing the assets needed to pursue it.</w:t>
      </w:r>
    </w:p>
    <w:p w14:paraId="28A70FFB" w14:textId="77777777" w:rsidR="00CB312E" w:rsidRPr="000A05EB" w:rsidRDefault="00CB312E" w:rsidP="00CB312E">
      <w:pPr>
        <w:rPr>
          <w:rFonts w:ascii="Arial" w:hAnsi="Arial" w:cs="Arial"/>
        </w:rPr>
      </w:pPr>
      <w:r w:rsidRPr="000A05EB">
        <w:rPr>
          <w:rFonts w:ascii="Arial" w:hAnsi="Arial" w:cs="Arial"/>
        </w:rPr>
        <w:t>The customer journey analysis shows that Tesco already delivers important value through convenience, brand trust, broad access and loyalty integration. Yet it also reveals persistent pain points around uncertainty, effort, fragmentation and limited adaptive learning. These issues are significant because they affect not only satisfaction in single transactions but confidence in the overall Tesco experience.</w:t>
      </w:r>
    </w:p>
    <w:p w14:paraId="2C1CD0EC" w14:textId="77777777" w:rsidR="00CB312E" w:rsidRPr="000A05EB" w:rsidRDefault="00CB312E" w:rsidP="00CB312E">
      <w:pPr>
        <w:rPr>
          <w:rFonts w:ascii="Arial" w:hAnsi="Arial" w:cs="Arial"/>
        </w:rPr>
      </w:pPr>
      <w:r w:rsidRPr="000A05EB">
        <w:rPr>
          <w:rFonts w:ascii="Arial" w:hAnsi="Arial" w:cs="Arial"/>
        </w:rPr>
        <w:t>In response, the report proposed the Tesco SmartShopper AI Ecosystem as a customer-centred digital innovation initiative. The proposal is grounded in design thinking because it begins with empathy for recurring customer frustrations and translates them into a practical, strategically relevant solution. By combining predictive basket support, inventory confidence, fulfilment guidance, smart substitutions and post-purchase learning, Tesco could create a journey that is more seamless, more responsive and more differentiated.</w:t>
      </w:r>
    </w:p>
    <w:p w14:paraId="3BA42837" w14:textId="6142F105" w:rsidR="00CB312E" w:rsidRPr="000A05EB" w:rsidRDefault="00CB312E" w:rsidP="00CB312E">
      <w:pPr>
        <w:rPr>
          <w:rFonts w:ascii="Arial" w:hAnsi="Arial" w:cs="Arial"/>
        </w:rPr>
      </w:pPr>
      <w:r w:rsidRPr="000A05EB">
        <w:rPr>
          <w:rFonts w:ascii="Arial" w:hAnsi="Arial" w:cs="Arial"/>
        </w:rPr>
        <w:t>Overall, the report demonstrates that Tesco’s future advantage will depend not simply on adding more digital features, but on using design thinking to create better experiences from the customer’s point of view. Tesco already has the scale, data and infrastructure. The next challenge is to use those assets with greater innovation ambition and stronger human-centred design.</w:t>
      </w:r>
    </w:p>
    <w:p w14:paraId="23A789CB" w14:textId="77777777" w:rsidR="00CB312E" w:rsidRPr="000A05EB" w:rsidRDefault="00CB312E" w:rsidP="00CB312E">
      <w:pPr>
        <w:pStyle w:val="Heading1"/>
        <w:rPr>
          <w:b/>
          <w:bCs/>
          <w:color w:val="auto"/>
        </w:rPr>
      </w:pPr>
      <w:bookmarkStart w:id="17" w:name="_Toc224890880"/>
      <w:r w:rsidRPr="000A05EB">
        <w:rPr>
          <w:b/>
          <w:bCs/>
          <w:color w:val="auto"/>
        </w:rPr>
        <w:t>References</w:t>
      </w:r>
      <w:bookmarkEnd w:id="17"/>
    </w:p>
    <w:p w14:paraId="6D5DF2FB" w14:textId="77777777" w:rsidR="00CB312E" w:rsidRPr="000A05EB" w:rsidRDefault="00CB312E" w:rsidP="00CB312E">
      <w:pPr>
        <w:rPr>
          <w:rFonts w:ascii="Arial" w:hAnsi="Arial" w:cs="Arial"/>
        </w:rPr>
      </w:pPr>
      <w:r w:rsidRPr="000A05EB">
        <w:rPr>
          <w:rFonts w:ascii="Arial" w:hAnsi="Arial" w:cs="Arial"/>
        </w:rPr>
        <w:t xml:space="preserve">Bharadwaj, A., El Sawy, O.A., Pavlou, P.A. and Venkatraman, N. (2013) ‘Digital business strategy: toward a next generation of insights’, </w:t>
      </w:r>
      <w:r w:rsidRPr="000A05EB">
        <w:rPr>
          <w:rFonts w:ascii="Arial" w:hAnsi="Arial" w:cs="Arial"/>
          <w:i/>
          <w:iCs/>
        </w:rPr>
        <w:t>MIS Quarterly</w:t>
      </w:r>
      <w:r w:rsidRPr="000A05EB">
        <w:rPr>
          <w:rFonts w:ascii="Arial" w:hAnsi="Arial" w:cs="Arial"/>
        </w:rPr>
        <w:t>, 37(2), pp. 471–482.</w:t>
      </w:r>
    </w:p>
    <w:p w14:paraId="483F76E7" w14:textId="77777777" w:rsidR="00CB312E" w:rsidRPr="000A05EB" w:rsidRDefault="00CB312E" w:rsidP="00CB312E">
      <w:pPr>
        <w:rPr>
          <w:rFonts w:ascii="Arial" w:hAnsi="Arial" w:cs="Arial"/>
        </w:rPr>
      </w:pPr>
      <w:r w:rsidRPr="000A05EB">
        <w:rPr>
          <w:rFonts w:ascii="Arial" w:hAnsi="Arial" w:cs="Arial"/>
        </w:rPr>
        <w:t xml:space="preserve">Brown, T. (2008) ‘Design thinking’, </w:t>
      </w:r>
      <w:r w:rsidRPr="000A05EB">
        <w:rPr>
          <w:rFonts w:ascii="Arial" w:hAnsi="Arial" w:cs="Arial"/>
          <w:i/>
          <w:iCs/>
        </w:rPr>
        <w:t>Harvard Business Review</w:t>
      </w:r>
      <w:r w:rsidRPr="000A05EB">
        <w:rPr>
          <w:rFonts w:ascii="Arial" w:hAnsi="Arial" w:cs="Arial"/>
        </w:rPr>
        <w:t>, 86(6), pp. 84–92.</w:t>
      </w:r>
    </w:p>
    <w:p w14:paraId="45C14F2A" w14:textId="77777777" w:rsidR="00CB312E" w:rsidRPr="000A05EB" w:rsidRDefault="00CB312E" w:rsidP="00CB312E">
      <w:pPr>
        <w:rPr>
          <w:rFonts w:ascii="Arial" w:hAnsi="Arial" w:cs="Arial"/>
        </w:rPr>
      </w:pPr>
      <w:r w:rsidRPr="000A05EB">
        <w:rPr>
          <w:rFonts w:ascii="Arial" w:hAnsi="Arial" w:cs="Arial"/>
        </w:rPr>
        <w:t xml:space="preserve">Christensen, C.M. (2016) </w:t>
      </w:r>
      <w:r w:rsidRPr="000A05EB">
        <w:rPr>
          <w:rFonts w:ascii="Arial" w:hAnsi="Arial" w:cs="Arial"/>
          <w:i/>
          <w:iCs/>
        </w:rPr>
        <w:t>The Innovator’s Dilemma</w:t>
      </w:r>
      <w:r w:rsidRPr="000A05EB">
        <w:rPr>
          <w:rFonts w:ascii="Arial" w:hAnsi="Arial" w:cs="Arial"/>
        </w:rPr>
        <w:t>. Boston, MA: Harvard Business Review Press.</w:t>
      </w:r>
    </w:p>
    <w:p w14:paraId="2406D088" w14:textId="77777777" w:rsidR="00CB312E" w:rsidRPr="000A05EB" w:rsidRDefault="00CB312E" w:rsidP="00CB312E">
      <w:pPr>
        <w:rPr>
          <w:rFonts w:ascii="Arial" w:hAnsi="Arial" w:cs="Arial"/>
        </w:rPr>
      </w:pPr>
      <w:r w:rsidRPr="000A05EB">
        <w:rPr>
          <w:rFonts w:ascii="Arial" w:hAnsi="Arial" w:cs="Arial"/>
        </w:rPr>
        <w:t xml:space="preserve">Deloitte (2023) </w:t>
      </w:r>
      <w:r w:rsidRPr="000A05EB">
        <w:rPr>
          <w:rFonts w:ascii="Arial" w:hAnsi="Arial" w:cs="Arial"/>
          <w:i/>
          <w:iCs/>
        </w:rPr>
        <w:t>Retail Industry Outlook</w:t>
      </w:r>
      <w:r w:rsidRPr="000A05EB">
        <w:rPr>
          <w:rFonts w:ascii="Arial" w:hAnsi="Arial" w:cs="Arial"/>
        </w:rPr>
        <w:t>. London: Deloitte.</w:t>
      </w:r>
    </w:p>
    <w:p w14:paraId="347AB5D1" w14:textId="77777777" w:rsidR="00CB312E" w:rsidRPr="000A05EB" w:rsidRDefault="00CB312E" w:rsidP="00CB312E">
      <w:pPr>
        <w:rPr>
          <w:rFonts w:ascii="Arial" w:hAnsi="Arial" w:cs="Arial"/>
        </w:rPr>
      </w:pPr>
      <w:r w:rsidRPr="000A05EB">
        <w:rPr>
          <w:rFonts w:ascii="Arial" w:hAnsi="Arial" w:cs="Arial"/>
        </w:rPr>
        <w:lastRenderedPageBreak/>
        <w:t xml:space="preserve">EY (2023) </w:t>
      </w:r>
      <w:r w:rsidRPr="000A05EB">
        <w:rPr>
          <w:rFonts w:ascii="Arial" w:hAnsi="Arial" w:cs="Arial"/>
          <w:i/>
          <w:iCs/>
        </w:rPr>
        <w:t>Future Consumer Index</w:t>
      </w:r>
      <w:r w:rsidRPr="000A05EB">
        <w:rPr>
          <w:rFonts w:ascii="Arial" w:hAnsi="Arial" w:cs="Arial"/>
        </w:rPr>
        <w:t>. London: EY.</w:t>
      </w:r>
    </w:p>
    <w:p w14:paraId="629DE68B" w14:textId="77777777" w:rsidR="00CB312E" w:rsidRPr="000A05EB" w:rsidRDefault="00CB312E" w:rsidP="00CB312E">
      <w:pPr>
        <w:rPr>
          <w:rFonts w:ascii="Arial" w:hAnsi="Arial" w:cs="Arial"/>
        </w:rPr>
      </w:pPr>
      <w:r w:rsidRPr="000A05EB">
        <w:rPr>
          <w:rFonts w:ascii="Arial" w:hAnsi="Arial" w:cs="Arial"/>
        </w:rPr>
        <w:t>Kantar (2025) ‘Consumers seek value as Britain heads back to school’. Available at: Kantar UK insights website (Accessed: 20 March 2026).</w:t>
      </w:r>
    </w:p>
    <w:p w14:paraId="5EA2579C" w14:textId="77777777" w:rsidR="00CB312E" w:rsidRPr="000A05EB" w:rsidRDefault="00CB312E" w:rsidP="00CB312E">
      <w:pPr>
        <w:rPr>
          <w:rFonts w:ascii="Arial" w:hAnsi="Arial" w:cs="Arial"/>
        </w:rPr>
      </w:pPr>
      <w:r w:rsidRPr="000A05EB">
        <w:rPr>
          <w:rFonts w:ascii="Arial" w:hAnsi="Arial" w:cs="Arial"/>
        </w:rPr>
        <w:t xml:space="preserve">Lemon, K.N. and Verhoef, P.C. (2016) ‘Understanding customer experience throughout the customer journey’, </w:t>
      </w:r>
      <w:r w:rsidRPr="000A05EB">
        <w:rPr>
          <w:rFonts w:ascii="Arial" w:hAnsi="Arial" w:cs="Arial"/>
          <w:i/>
          <w:iCs/>
        </w:rPr>
        <w:t>Journal of Marketing</w:t>
      </w:r>
      <w:r w:rsidRPr="000A05EB">
        <w:rPr>
          <w:rFonts w:ascii="Arial" w:hAnsi="Arial" w:cs="Arial"/>
        </w:rPr>
        <w:t>, 80(6), pp. 69–96.</w:t>
      </w:r>
    </w:p>
    <w:p w14:paraId="1507D1D8" w14:textId="77777777" w:rsidR="00CB312E" w:rsidRPr="000A05EB" w:rsidRDefault="00CB312E" w:rsidP="00CB312E">
      <w:pPr>
        <w:rPr>
          <w:rFonts w:ascii="Arial" w:hAnsi="Arial" w:cs="Arial"/>
        </w:rPr>
      </w:pPr>
      <w:r w:rsidRPr="000A05EB">
        <w:rPr>
          <w:rFonts w:ascii="Arial" w:hAnsi="Arial" w:cs="Arial"/>
        </w:rPr>
        <w:t xml:space="preserve">Liedtka, J. (2018) ‘Why design thinking works’, </w:t>
      </w:r>
      <w:r w:rsidRPr="000A05EB">
        <w:rPr>
          <w:rFonts w:ascii="Arial" w:hAnsi="Arial" w:cs="Arial"/>
          <w:i/>
          <w:iCs/>
        </w:rPr>
        <w:t>Harvard Business Review</w:t>
      </w:r>
      <w:r w:rsidRPr="000A05EB">
        <w:rPr>
          <w:rFonts w:ascii="Arial" w:hAnsi="Arial" w:cs="Arial"/>
        </w:rPr>
        <w:t>, 96(5), pp. 72–79.</w:t>
      </w:r>
    </w:p>
    <w:p w14:paraId="6809FA99" w14:textId="77777777" w:rsidR="00CB312E" w:rsidRPr="000A05EB" w:rsidRDefault="00CB312E" w:rsidP="00CB312E">
      <w:pPr>
        <w:rPr>
          <w:rFonts w:ascii="Arial" w:hAnsi="Arial" w:cs="Arial"/>
        </w:rPr>
      </w:pPr>
      <w:r w:rsidRPr="000A05EB">
        <w:rPr>
          <w:rFonts w:ascii="Arial" w:hAnsi="Arial" w:cs="Arial"/>
        </w:rPr>
        <w:t xml:space="preserve">March, J.G. (1991) ‘Exploration and exploitation in organizational learning’, </w:t>
      </w:r>
      <w:r w:rsidRPr="000A05EB">
        <w:rPr>
          <w:rFonts w:ascii="Arial" w:hAnsi="Arial" w:cs="Arial"/>
          <w:i/>
          <w:iCs/>
        </w:rPr>
        <w:t>Organization Science</w:t>
      </w:r>
      <w:r w:rsidRPr="000A05EB">
        <w:rPr>
          <w:rFonts w:ascii="Arial" w:hAnsi="Arial" w:cs="Arial"/>
        </w:rPr>
        <w:t>, 2(1), pp. 71–87.</w:t>
      </w:r>
    </w:p>
    <w:p w14:paraId="61DFA316" w14:textId="77777777" w:rsidR="00CB312E" w:rsidRPr="000A05EB" w:rsidRDefault="00CB312E" w:rsidP="00CB312E">
      <w:pPr>
        <w:rPr>
          <w:rFonts w:ascii="Arial" w:hAnsi="Arial" w:cs="Arial"/>
        </w:rPr>
      </w:pPr>
      <w:r w:rsidRPr="000A05EB">
        <w:rPr>
          <w:rFonts w:ascii="Arial" w:hAnsi="Arial" w:cs="Arial"/>
        </w:rPr>
        <w:t xml:space="preserve">McKinsey &amp; Company (2020) </w:t>
      </w:r>
      <w:r w:rsidRPr="000A05EB">
        <w:rPr>
          <w:rFonts w:ascii="Arial" w:hAnsi="Arial" w:cs="Arial"/>
          <w:i/>
          <w:iCs/>
        </w:rPr>
        <w:t>Personalizing the Customer Experience: Driving Differentiation in Retail</w:t>
      </w:r>
      <w:r w:rsidRPr="000A05EB">
        <w:rPr>
          <w:rFonts w:ascii="Arial" w:hAnsi="Arial" w:cs="Arial"/>
        </w:rPr>
        <w:t>. New York: McKinsey &amp; Company.</w:t>
      </w:r>
    </w:p>
    <w:p w14:paraId="5B806539" w14:textId="77777777" w:rsidR="00CB312E" w:rsidRPr="000A05EB" w:rsidRDefault="00CB312E" w:rsidP="00CB312E">
      <w:pPr>
        <w:rPr>
          <w:rFonts w:ascii="Arial" w:hAnsi="Arial" w:cs="Arial"/>
        </w:rPr>
      </w:pPr>
      <w:r w:rsidRPr="000A05EB">
        <w:rPr>
          <w:rFonts w:ascii="Arial" w:hAnsi="Arial" w:cs="Arial"/>
        </w:rPr>
        <w:t xml:space="preserve">McKinsey &amp; Company (2023) </w:t>
      </w:r>
      <w:r w:rsidRPr="000A05EB">
        <w:rPr>
          <w:rFonts w:ascii="Arial" w:hAnsi="Arial" w:cs="Arial"/>
          <w:i/>
          <w:iCs/>
        </w:rPr>
        <w:t>What is Personalization?</w:t>
      </w:r>
      <w:r w:rsidRPr="000A05EB">
        <w:rPr>
          <w:rFonts w:ascii="Arial" w:hAnsi="Arial" w:cs="Arial"/>
        </w:rPr>
        <w:t xml:space="preserve"> New York: McKinsey &amp; Company.</w:t>
      </w:r>
    </w:p>
    <w:p w14:paraId="67B81A90" w14:textId="77777777" w:rsidR="00CB312E" w:rsidRPr="000A05EB" w:rsidRDefault="00CB312E" w:rsidP="00CB312E">
      <w:pPr>
        <w:rPr>
          <w:rFonts w:ascii="Arial" w:hAnsi="Arial" w:cs="Arial"/>
        </w:rPr>
      </w:pPr>
      <w:r w:rsidRPr="000A05EB">
        <w:rPr>
          <w:rFonts w:ascii="Arial" w:hAnsi="Arial" w:cs="Arial"/>
        </w:rPr>
        <w:t xml:space="preserve">Mintel (2024) </w:t>
      </w:r>
      <w:r w:rsidRPr="000A05EB">
        <w:rPr>
          <w:rFonts w:ascii="Arial" w:hAnsi="Arial" w:cs="Arial"/>
          <w:i/>
          <w:iCs/>
        </w:rPr>
        <w:t>UK Supermarkets Report</w:t>
      </w:r>
      <w:r w:rsidRPr="000A05EB">
        <w:rPr>
          <w:rFonts w:ascii="Arial" w:hAnsi="Arial" w:cs="Arial"/>
        </w:rPr>
        <w:t>. London: Mintel.</w:t>
      </w:r>
    </w:p>
    <w:p w14:paraId="1CE004DE" w14:textId="77777777" w:rsidR="00CB312E" w:rsidRPr="000A05EB" w:rsidRDefault="00CB312E" w:rsidP="00CB312E">
      <w:pPr>
        <w:rPr>
          <w:rFonts w:ascii="Arial" w:hAnsi="Arial" w:cs="Arial"/>
        </w:rPr>
      </w:pPr>
      <w:r w:rsidRPr="000A05EB">
        <w:rPr>
          <w:rFonts w:ascii="Arial" w:hAnsi="Arial" w:cs="Arial"/>
        </w:rPr>
        <w:t xml:space="preserve">Nagji, B. and Tuff, G. (2012) ‘Managing your innovation portfolio’, </w:t>
      </w:r>
      <w:r w:rsidRPr="000A05EB">
        <w:rPr>
          <w:rFonts w:ascii="Arial" w:hAnsi="Arial" w:cs="Arial"/>
          <w:i/>
          <w:iCs/>
        </w:rPr>
        <w:t>Harvard Business Review</w:t>
      </w:r>
      <w:r w:rsidRPr="000A05EB">
        <w:rPr>
          <w:rFonts w:ascii="Arial" w:hAnsi="Arial" w:cs="Arial"/>
        </w:rPr>
        <w:t>, 90(5), pp. 66–74.</w:t>
      </w:r>
    </w:p>
    <w:p w14:paraId="59278A78" w14:textId="77777777" w:rsidR="00CB312E" w:rsidRPr="000A05EB" w:rsidRDefault="00CB312E" w:rsidP="00CB312E">
      <w:pPr>
        <w:rPr>
          <w:rFonts w:ascii="Arial" w:hAnsi="Arial" w:cs="Arial"/>
        </w:rPr>
      </w:pPr>
      <w:r w:rsidRPr="000A05EB">
        <w:rPr>
          <w:rFonts w:ascii="Arial" w:hAnsi="Arial" w:cs="Arial"/>
        </w:rPr>
        <w:t xml:space="preserve">Norman, D. (2013) </w:t>
      </w:r>
      <w:r w:rsidRPr="000A05EB">
        <w:rPr>
          <w:rFonts w:ascii="Arial" w:hAnsi="Arial" w:cs="Arial"/>
          <w:i/>
          <w:iCs/>
        </w:rPr>
        <w:t>The Design of Everyday Things</w:t>
      </w:r>
      <w:r w:rsidRPr="000A05EB">
        <w:rPr>
          <w:rFonts w:ascii="Arial" w:hAnsi="Arial" w:cs="Arial"/>
        </w:rPr>
        <w:t>. Revised and expanded edition. New York: Basic Books.</w:t>
      </w:r>
    </w:p>
    <w:p w14:paraId="5CF804EB" w14:textId="77777777" w:rsidR="00CB312E" w:rsidRPr="000A05EB" w:rsidRDefault="00CB312E" w:rsidP="00CB312E">
      <w:pPr>
        <w:rPr>
          <w:rFonts w:ascii="Arial" w:hAnsi="Arial" w:cs="Arial"/>
        </w:rPr>
      </w:pPr>
      <w:r w:rsidRPr="000A05EB">
        <w:rPr>
          <w:rFonts w:ascii="Arial" w:hAnsi="Arial" w:cs="Arial"/>
        </w:rPr>
        <w:t xml:space="preserve">O’Reilly, C.A. and Tushman, M.L. (2013) ‘Organizational ambidexterity: past, present, and future’, </w:t>
      </w:r>
      <w:r w:rsidRPr="000A05EB">
        <w:rPr>
          <w:rFonts w:ascii="Arial" w:hAnsi="Arial" w:cs="Arial"/>
          <w:i/>
          <w:iCs/>
        </w:rPr>
        <w:t>Academy of Management Perspectives</w:t>
      </w:r>
      <w:r w:rsidRPr="000A05EB">
        <w:rPr>
          <w:rFonts w:ascii="Arial" w:hAnsi="Arial" w:cs="Arial"/>
        </w:rPr>
        <w:t>, 27(4), pp. 324–338.</w:t>
      </w:r>
    </w:p>
    <w:p w14:paraId="31E197B8" w14:textId="77777777" w:rsidR="00CB312E" w:rsidRPr="000A05EB" w:rsidRDefault="00CB312E" w:rsidP="00CB312E">
      <w:pPr>
        <w:rPr>
          <w:rFonts w:ascii="Arial" w:hAnsi="Arial" w:cs="Arial"/>
        </w:rPr>
      </w:pPr>
      <w:r w:rsidRPr="000A05EB">
        <w:rPr>
          <w:rFonts w:ascii="Arial" w:hAnsi="Arial" w:cs="Arial"/>
        </w:rPr>
        <w:t xml:space="preserve">Tesco plc (2025a) </w:t>
      </w:r>
      <w:r w:rsidRPr="000A05EB">
        <w:rPr>
          <w:rFonts w:ascii="Arial" w:hAnsi="Arial" w:cs="Arial"/>
          <w:i/>
          <w:iCs/>
        </w:rPr>
        <w:t>Annual Report and Financial Statements 2025</w:t>
      </w:r>
      <w:r w:rsidRPr="000A05EB">
        <w:rPr>
          <w:rFonts w:ascii="Arial" w:hAnsi="Arial" w:cs="Arial"/>
        </w:rPr>
        <w:t>. Welwyn Garden City: Tesco plc.</w:t>
      </w:r>
    </w:p>
    <w:p w14:paraId="36863A59" w14:textId="77777777" w:rsidR="00CB312E" w:rsidRPr="000A05EB" w:rsidRDefault="00CB312E" w:rsidP="00CB312E">
      <w:pPr>
        <w:rPr>
          <w:rFonts w:ascii="Arial" w:hAnsi="Arial" w:cs="Arial"/>
        </w:rPr>
      </w:pPr>
      <w:r w:rsidRPr="000A05EB">
        <w:rPr>
          <w:rFonts w:ascii="Arial" w:hAnsi="Arial" w:cs="Arial"/>
        </w:rPr>
        <w:t xml:space="preserve">Tesco plc (2025b) </w:t>
      </w:r>
      <w:r w:rsidRPr="000A05EB">
        <w:rPr>
          <w:rFonts w:ascii="Arial" w:hAnsi="Arial" w:cs="Arial"/>
          <w:i/>
          <w:iCs/>
        </w:rPr>
        <w:t>Interim Results Trading Statement 2025/26</w:t>
      </w:r>
      <w:r w:rsidRPr="000A05EB">
        <w:rPr>
          <w:rFonts w:ascii="Arial" w:hAnsi="Arial" w:cs="Arial"/>
        </w:rPr>
        <w:t>. Welwyn Garden City: Tesco plc.</w:t>
      </w:r>
    </w:p>
    <w:p w14:paraId="56792D44" w14:textId="77777777" w:rsidR="00CB312E" w:rsidRPr="000A05EB" w:rsidRDefault="00CB312E" w:rsidP="00CB312E">
      <w:pPr>
        <w:rPr>
          <w:rFonts w:ascii="Arial" w:hAnsi="Arial" w:cs="Arial"/>
        </w:rPr>
      </w:pPr>
      <w:r w:rsidRPr="000A05EB">
        <w:rPr>
          <w:rFonts w:ascii="Arial" w:hAnsi="Arial" w:cs="Arial"/>
        </w:rPr>
        <w:t xml:space="preserve">Verhoef, P.C., Kannan, P.K. and Inman, J.J. (2015) ‘From multi-channel retailing to omni-channel retailing: introduction to the special issue on multi-channel retailing’, </w:t>
      </w:r>
      <w:r w:rsidRPr="000A05EB">
        <w:rPr>
          <w:rFonts w:ascii="Arial" w:hAnsi="Arial" w:cs="Arial"/>
          <w:i/>
          <w:iCs/>
        </w:rPr>
        <w:t>Journal of Retailing</w:t>
      </w:r>
      <w:r w:rsidRPr="000A05EB">
        <w:rPr>
          <w:rFonts w:ascii="Arial" w:hAnsi="Arial" w:cs="Arial"/>
        </w:rPr>
        <w:t>, 91(2), pp. 174–181.</w:t>
      </w:r>
    </w:p>
    <w:p w14:paraId="6C369D25" w14:textId="77777777" w:rsidR="003223EE" w:rsidRDefault="003223EE"/>
    <w:sectPr w:rsidR="003223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89F86" w14:textId="77777777" w:rsidR="000848F1" w:rsidRDefault="000848F1" w:rsidP="00E01A09">
      <w:pPr>
        <w:spacing w:after="0" w:line="240" w:lineRule="auto"/>
      </w:pPr>
      <w:r>
        <w:separator/>
      </w:r>
    </w:p>
  </w:endnote>
  <w:endnote w:type="continuationSeparator" w:id="0">
    <w:p w14:paraId="6D2C79D8" w14:textId="77777777" w:rsidR="000848F1" w:rsidRDefault="000848F1" w:rsidP="00E01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57385"/>
      <w:docPartObj>
        <w:docPartGallery w:val="Page Numbers (Bottom of Page)"/>
        <w:docPartUnique/>
      </w:docPartObj>
    </w:sdtPr>
    <w:sdtContent>
      <w:p w14:paraId="17DDD16E" w14:textId="779A7D7F" w:rsidR="00E01A09" w:rsidRDefault="00E01A09">
        <w:pPr>
          <w:pStyle w:val="Footer"/>
          <w:jc w:val="center"/>
        </w:pPr>
        <w:r>
          <w:fldChar w:fldCharType="begin"/>
        </w:r>
        <w:r>
          <w:instrText>PAGE   \* MERGEFORMAT</w:instrText>
        </w:r>
        <w:r>
          <w:fldChar w:fldCharType="separate"/>
        </w:r>
        <w:r>
          <w:t>2</w:t>
        </w:r>
        <w:r>
          <w:fldChar w:fldCharType="end"/>
        </w:r>
      </w:p>
    </w:sdtContent>
  </w:sdt>
  <w:p w14:paraId="48715EFB" w14:textId="77777777" w:rsidR="00E01A09" w:rsidRDefault="00E01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7E3B2" w14:textId="77777777" w:rsidR="000848F1" w:rsidRDefault="000848F1" w:rsidP="00E01A09">
      <w:pPr>
        <w:spacing w:after="0" w:line="240" w:lineRule="auto"/>
      </w:pPr>
      <w:r>
        <w:separator/>
      </w:r>
    </w:p>
  </w:footnote>
  <w:footnote w:type="continuationSeparator" w:id="0">
    <w:p w14:paraId="2A6E4768" w14:textId="77777777" w:rsidR="000848F1" w:rsidRDefault="000848F1" w:rsidP="00E01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0752"/>
    <w:multiLevelType w:val="multilevel"/>
    <w:tmpl w:val="F2F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5DE9"/>
    <w:multiLevelType w:val="multilevel"/>
    <w:tmpl w:val="DD8E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9705D"/>
    <w:multiLevelType w:val="multilevel"/>
    <w:tmpl w:val="C43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3F5325"/>
    <w:multiLevelType w:val="multilevel"/>
    <w:tmpl w:val="0D12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B37F1B"/>
    <w:multiLevelType w:val="multilevel"/>
    <w:tmpl w:val="E076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A624AF"/>
    <w:multiLevelType w:val="multilevel"/>
    <w:tmpl w:val="33DC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439237">
    <w:abstractNumId w:val="3"/>
  </w:num>
  <w:num w:numId="2" w16cid:durableId="210847272">
    <w:abstractNumId w:val="4"/>
  </w:num>
  <w:num w:numId="3" w16cid:durableId="1243639572">
    <w:abstractNumId w:val="2"/>
  </w:num>
  <w:num w:numId="4" w16cid:durableId="1617715342">
    <w:abstractNumId w:val="1"/>
  </w:num>
  <w:num w:numId="5" w16cid:durableId="646858659">
    <w:abstractNumId w:val="0"/>
  </w:num>
  <w:num w:numId="6" w16cid:durableId="2804286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2E"/>
    <w:rsid w:val="000525E9"/>
    <w:rsid w:val="000845D3"/>
    <w:rsid w:val="000848F1"/>
    <w:rsid w:val="000A05EB"/>
    <w:rsid w:val="00103542"/>
    <w:rsid w:val="00135BFD"/>
    <w:rsid w:val="001843CC"/>
    <w:rsid w:val="00224EC2"/>
    <w:rsid w:val="003223EE"/>
    <w:rsid w:val="003775B8"/>
    <w:rsid w:val="003C0692"/>
    <w:rsid w:val="00442B1E"/>
    <w:rsid w:val="005114C3"/>
    <w:rsid w:val="00732BF8"/>
    <w:rsid w:val="007B2114"/>
    <w:rsid w:val="00943078"/>
    <w:rsid w:val="00A67842"/>
    <w:rsid w:val="00A67DC8"/>
    <w:rsid w:val="00AB39EC"/>
    <w:rsid w:val="00C76F17"/>
    <w:rsid w:val="00C83730"/>
    <w:rsid w:val="00CB312E"/>
    <w:rsid w:val="00D2495F"/>
    <w:rsid w:val="00D516F0"/>
    <w:rsid w:val="00D759DC"/>
    <w:rsid w:val="00E01A09"/>
    <w:rsid w:val="00F6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343DB"/>
  <w15:chartTrackingRefBased/>
  <w15:docId w15:val="{83BCA692-249B-49B7-9F10-A48EC70F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3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3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12E"/>
    <w:rPr>
      <w:rFonts w:eastAsiaTheme="majorEastAsia" w:cstheme="majorBidi"/>
      <w:color w:val="272727" w:themeColor="text1" w:themeTint="D8"/>
    </w:rPr>
  </w:style>
  <w:style w:type="paragraph" w:styleId="Title">
    <w:name w:val="Title"/>
    <w:basedOn w:val="Normal"/>
    <w:next w:val="Normal"/>
    <w:link w:val="TitleChar"/>
    <w:uiPriority w:val="10"/>
    <w:qFormat/>
    <w:rsid w:val="00CB3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12E"/>
    <w:pPr>
      <w:spacing w:before="160"/>
      <w:jc w:val="center"/>
    </w:pPr>
    <w:rPr>
      <w:i/>
      <w:iCs/>
      <w:color w:val="404040" w:themeColor="text1" w:themeTint="BF"/>
    </w:rPr>
  </w:style>
  <w:style w:type="character" w:customStyle="1" w:styleId="QuoteChar">
    <w:name w:val="Quote Char"/>
    <w:basedOn w:val="DefaultParagraphFont"/>
    <w:link w:val="Quote"/>
    <w:uiPriority w:val="29"/>
    <w:rsid w:val="00CB312E"/>
    <w:rPr>
      <w:i/>
      <w:iCs/>
      <w:color w:val="404040" w:themeColor="text1" w:themeTint="BF"/>
    </w:rPr>
  </w:style>
  <w:style w:type="paragraph" w:styleId="ListParagraph">
    <w:name w:val="List Paragraph"/>
    <w:basedOn w:val="Normal"/>
    <w:uiPriority w:val="34"/>
    <w:qFormat/>
    <w:rsid w:val="00CB312E"/>
    <w:pPr>
      <w:ind w:left="720"/>
      <w:contextualSpacing/>
    </w:pPr>
  </w:style>
  <w:style w:type="character" w:styleId="IntenseEmphasis">
    <w:name w:val="Intense Emphasis"/>
    <w:basedOn w:val="DefaultParagraphFont"/>
    <w:uiPriority w:val="21"/>
    <w:qFormat/>
    <w:rsid w:val="00CB312E"/>
    <w:rPr>
      <w:i/>
      <w:iCs/>
      <w:color w:val="0F4761" w:themeColor="accent1" w:themeShade="BF"/>
    </w:rPr>
  </w:style>
  <w:style w:type="paragraph" w:styleId="IntenseQuote">
    <w:name w:val="Intense Quote"/>
    <w:basedOn w:val="Normal"/>
    <w:next w:val="Normal"/>
    <w:link w:val="IntenseQuoteChar"/>
    <w:uiPriority w:val="30"/>
    <w:qFormat/>
    <w:rsid w:val="00CB3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12E"/>
    <w:rPr>
      <w:i/>
      <w:iCs/>
      <w:color w:val="0F4761" w:themeColor="accent1" w:themeShade="BF"/>
    </w:rPr>
  </w:style>
  <w:style w:type="character" w:styleId="IntenseReference">
    <w:name w:val="Intense Reference"/>
    <w:basedOn w:val="DefaultParagraphFont"/>
    <w:uiPriority w:val="32"/>
    <w:qFormat/>
    <w:rsid w:val="00CB312E"/>
    <w:rPr>
      <w:b/>
      <w:bCs/>
      <w:smallCaps/>
      <w:color w:val="0F4761" w:themeColor="accent1" w:themeShade="BF"/>
      <w:spacing w:val="5"/>
    </w:rPr>
  </w:style>
  <w:style w:type="paragraph" w:styleId="TOCHeading">
    <w:name w:val="TOC Heading"/>
    <w:basedOn w:val="Heading1"/>
    <w:next w:val="Normal"/>
    <w:uiPriority w:val="39"/>
    <w:unhideWhenUsed/>
    <w:qFormat/>
    <w:rsid w:val="00CB312E"/>
    <w:pPr>
      <w:spacing w:before="240" w:after="0"/>
      <w:outlineLvl w:val="9"/>
    </w:pPr>
    <w:rPr>
      <w:kern w:val="0"/>
      <w:sz w:val="32"/>
      <w:szCs w:val="32"/>
      <w:lang w:eastAsia="en-GB"/>
    </w:rPr>
  </w:style>
  <w:style w:type="paragraph" w:styleId="TOC1">
    <w:name w:val="toc 1"/>
    <w:basedOn w:val="Normal"/>
    <w:next w:val="Normal"/>
    <w:autoRedefine/>
    <w:uiPriority w:val="39"/>
    <w:unhideWhenUsed/>
    <w:rsid w:val="00CB312E"/>
    <w:pPr>
      <w:spacing w:after="100"/>
    </w:pPr>
  </w:style>
  <w:style w:type="paragraph" w:styleId="TOC2">
    <w:name w:val="toc 2"/>
    <w:basedOn w:val="Normal"/>
    <w:next w:val="Normal"/>
    <w:autoRedefine/>
    <w:uiPriority w:val="39"/>
    <w:unhideWhenUsed/>
    <w:rsid w:val="00CB312E"/>
    <w:pPr>
      <w:spacing w:after="100"/>
      <w:ind w:left="220"/>
    </w:pPr>
  </w:style>
  <w:style w:type="character" w:styleId="Hyperlink">
    <w:name w:val="Hyperlink"/>
    <w:basedOn w:val="DefaultParagraphFont"/>
    <w:uiPriority w:val="99"/>
    <w:unhideWhenUsed/>
    <w:rsid w:val="00CB312E"/>
    <w:rPr>
      <w:color w:val="467886" w:themeColor="hyperlink"/>
      <w:u w:val="single"/>
    </w:rPr>
  </w:style>
  <w:style w:type="paragraph" w:styleId="Header">
    <w:name w:val="header"/>
    <w:basedOn w:val="Normal"/>
    <w:link w:val="HeaderChar"/>
    <w:uiPriority w:val="99"/>
    <w:unhideWhenUsed/>
    <w:rsid w:val="00E01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A09"/>
  </w:style>
  <w:style w:type="paragraph" w:styleId="Footer">
    <w:name w:val="footer"/>
    <w:basedOn w:val="Normal"/>
    <w:link w:val="FooterChar"/>
    <w:uiPriority w:val="99"/>
    <w:unhideWhenUsed/>
    <w:rsid w:val="00E01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AA8BD-50CB-466D-AC78-DEC89E484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4948</Words>
  <Characters>28204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Kavaliauskaite</dc:creator>
  <cp:keywords/>
  <dc:description/>
  <cp:lastModifiedBy>Simona Kavaliauskaite</cp:lastModifiedBy>
  <cp:revision>17</cp:revision>
  <dcterms:created xsi:type="dcterms:W3CDTF">2026-03-20T09:01:00Z</dcterms:created>
  <dcterms:modified xsi:type="dcterms:W3CDTF">2026-03-23T09:15:00Z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63e66f06-7e31-45fd-8be9-00288273f137</vt:lpwstr>
  </property>
</Properties>
</file>