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AA6157" w14:textId="10CAAB4D" w:rsidR="00D4588D" w:rsidRPr="00D4588D" w:rsidRDefault="00D4588D" w:rsidP="00D4588D">
      <w:pPr>
        <w:spacing w:line="360" w:lineRule="auto"/>
        <w:rPr>
          <w:rFonts w:ascii="Times New Roman" w:hAnsi="Times New Roman" w:cs="Times New Roman"/>
          <w:b/>
          <w:bCs/>
          <w:sz w:val="28"/>
          <w:szCs w:val="28"/>
        </w:rPr>
      </w:pPr>
      <w:r w:rsidRPr="00D4588D">
        <w:rPr>
          <w:rFonts w:ascii="Times New Roman" w:hAnsi="Times New Roman" w:cs="Times New Roman"/>
          <w:b/>
          <w:bCs/>
          <w:sz w:val="28"/>
          <w:szCs w:val="28"/>
        </w:rPr>
        <w:t xml:space="preserve">International Meetings </w:t>
      </w:r>
      <w:r w:rsidRPr="00D4588D">
        <w:rPr>
          <w:rFonts w:ascii="Times New Roman" w:hAnsi="Times New Roman" w:cs="Times New Roman"/>
          <w:b/>
          <w:bCs/>
          <w:sz w:val="28"/>
          <w:szCs w:val="28"/>
        </w:rPr>
        <w:t>Management for</w:t>
      </w:r>
      <w:r w:rsidRPr="00D4588D">
        <w:rPr>
          <w:rFonts w:ascii="Times New Roman" w:hAnsi="Times New Roman" w:cs="Times New Roman"/>
          <w:b/>
          <w:bCs/>
          <w:sz w:val="28"/>
          <w:szCs w:val="28"/>
        </w:rPr>
        <w:t xml:space="preserve"> </w:t>
      </w:r>
      <w:r w:rsidR="00EC3536" w:rsidRPr="00D4588D">
        <w:rPr>
          <w:rFonts w:ascii="Times New Roman" w:hAnsi="Times New Roman" w:cs="Times New Roman"/>
          <w:b/>
          <w:bCs/>
          <w:sz w:val="28"/>
          <w:szCs w:val="28"/>
        </w:rPr>
        <w:t>the Hotel</w:t>
      </w:r>
      <w:r w:rsidRPr="00D4588D">
        <w:rPr>
          <w:rFonts w:ascii="Times New Roman" w:hAnsi="Times New Roman" w:cs="Times New Roman"/>
          <w:b/>
          <w:bCs/>
          <w:sz w:val="28"/>
          <w:szCs w:val="28"/>
        </w:rPr>
        <w:t xml:space="preserve"> Industry</w:t>
      </w:r>
    </w:p>
    <w:p w14:paraId="0B2FB8A0" w14:textId="3E36E61C" w:rsidR="00D4588D" w:rsidRDefault="00D4588D" w:rsidP="00D4588D">
      <w:pPr>
        <w:spacing w:line="360" w:lineRule="auto"/>
        <w:rPr>
          <w:rFonts w:ascii="Times New Roman" w:hAnsi="Times New Roman" w:cs="Times New Roman"/>
          <w:b/>
          <w:bCs/>
          <w:sz w:val="28"/>
          <w:szCs w:val="28"/>
        </w:rPr>
      </w:pPr>
      <w:r w:rsidRPr="00D4588D">
        <w:rPr>
          <w:rFonts w:ascii="Times New Roman" w:hAnsi="Times New Roman" w:cs="Times New Roman"/>
          <w:b/>
          <w:bCs/>
          <w:sz w:val="28"/>
          <w:szCs w:val="28"/>
        </w:rPr>
        <w:t>BMIH6007</w:t>
      </w:r>
    </w:p>
    <w:p w14:paraId="5B51C53E" w14:textId="715273B4" w:rsidR="00D4588D" w:rsidRDefault="00EC3536" w:rsidP="00D4588D">
      <w:pPr>
        <w:spacing w:line="360" w:lineRule="auto"/>
        <w:rPr>
          <w:rFonts w:ascii="Times New Roman" w:hAnsi="Times New Roman" w:cs="Times New Roman"/>
          <w:b/>
          <w:bCs/>
          <w:sz w:val="28"/>
          <w:szCs w:val="28"/>
        </w:rPr>
      </w:pPr>
      <w:r w:rsidRPr="00D4588D">
        <w:rPr>
          <w:rFonts w:ascii="Times New Roman" w:hAnsi="Times New Roman" w:cs="Times New Roman"/>
          <w:b/>
          <w:bCs/>
          <w:sz w:val="28"/>
          <w:szCs w:val="28"/>
        </w:rPr>
        <w:t>Lecturer:</w:t>
      </w:r>
      <w:r w:rsidR="00D4588D" w:rsidRPr="00D4588D">
        <w:rPr>
          <w:rFonts w:ascii="Times New Roman" w:hAnsi="Times New Roman" w:cs="Times New Roman"/>
          <w:b/>
          <w:bCs/>
          <w:sz w:val="28"/>
          <w:szCs w:val="28"/>
        </w:rPr>
        <w:t xml:space="preserve"> Kathryn Flynn</w:t>
      </w:r>
    </w:p>
    <w:p w14:paraId="3544809B" w14:textId="3C954919" w:rsidR="00D4588D" w:rsidRDefault="00D4588D" w:rsidP="00D4588D">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Report </w:t>
      </w:r>
    </w:p>
    <w:p w14:paraId="24AF263F" w14:textId="77777777" w:rsidR="00D4588D" w:rsidRDefault="00D4588D" w:rsidP="00D4588D">
      <w:pPr>
        <w:spacing w:line="360" w:lineRule="auto"/>
        <w:rPr>
          <w:rFonts w:ascii="Times New Roman" w:hAnsi="Times New Roman" w:cs="Times New Roman"/>
          <w:b/>
          <w:bCs/>
          <w:sz w:val="28"/>
          <w:szCs w:val="28"/>
        </w:rPr>
      </w:pPr>
    </w:p>
    <w:p w14:paraId="34D6AB84" w14:textId="77777777" w:rsidR="00D4588D" w:rsidRDefault="00D4588D" w:rsidP="00D4588D">
      <w:pPr>
        <w:spacing w:line="360" w:lineRule="auto"/>
        <w:rPr>
          <w:rFonts w:ascii="Times New Roman" w:hAnsi="Times New Roman" w:cs="Times New Roman"/>
          <w:b/>
          <w:bCs/>
          <w:sz w:val="28"/>
          <w:szCs w:val="28"/>
        </w:rPr>
      </w:pPr>
    </w:p>
    <w:p w14:paraId="5897E15F" w14:textId="77777777" w:rsidR="00D4588D" w:rsidRDefault="00D4588D" w:rsidP="00D4588D">
      <w:pPr>
        <w:spacing w:line="360" w:lineRule="auto"/>
        <w:rPr>
          <w:rFonts w:ascii="Times New Roman" w:hAnsi="Times New Roman" w:cs="Times New Roman"/>
          <w:b/>
          <w:bCs/>
          <w:sz w:val="28"/>
          <w:szCs w:val="28"/>
        </w:rPr>
      </w:pPr>
    </w:p>
    <w:p w14:paraId="29E1493F" w14:textId="26D710D8" w:rsidR="00D4588D" w:rsidRPr="00D4588D" w:rsidRDefault="00D4588D" w:rsidP="00D4588D">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Student id: </w:t>
      </w:r>
      <w:r w:rsidRPr="00D4588D">
        <w:rPr>
          <w:rFonts w:ascii="Times New Roman" w:hAnsi="Times New Roman" w:cs="Times New Roman"/>
          <w:b/>
          <w:bCs/>
          <w:sz w:val="28"/>
          <w:szCs w:val="28"/>
        </w:rPr>
        <w:t>2234760</w:t>
      </w:r>
    </w:p>
    <w:p w14:paraId="07B77F33" w14:textId="41C195F8" w:rsidR="00D4588D" w:rsidRDefault="00D4588D" w:rsidP="00D4588D">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Student name: </w:t>
      </w:r>
      <w:r w:rsidRPr="00D4588D">
        <w:rPr>
          <w:rFonts w:ascii="Times New Roman" w:hAnsi="Times New Roman" w:cs="Times New Roman"/>
          <w:b/>
          <w:bCs/>
          <w:sz w:val="28"/>
          <w:szCs w:val="28"/>
        </w:rPr>
        <w:t>Constantin Alexandru Toma</w:t>
      </w:r>
    </w:p>
    <w:p w14:paraId="1CF29759" w14:textId="77777777" w:rsidR="00D4588D" w:rsidRDefault="00D4588D" w:rsidP="00D4588D">
      <w:pPr>
        <w:spacing w:line="360" w:lineRule="auto"/>
        <w:rPr>
          <w:rFonts w:ascii="Times New Roman" w:hAnsi="Times New Roman" w:cs="Times New Roman"/>
          <w:b/>
          <w:bCs/>
          <w:sz w:val="28"/>
          <w:szCs w:val="28"/>
        </w:rPr>
      </w:pPr>
    </w:p>
    <w:p w14:paraId="4F7D18C4" w14:textId="77777777" w:rsidR="00D4588D" w:rsidRDefault="00D4588D" w:rsidP="00D4588D">
      <w:pPr>
        <w:spacing w:line="360" w:lineRule="auto"/>
        <w:rPr>
          <w:rFonts w:ascii="Times New Roman" w:hAnsi="Times New Roman" w:cs="Times New Roman"/>
          <w:b/>
          <w:bCs/>
          <w:sz w:val="28"/>
          <w:szCs w:val="28"/>
        </w:rPr>
      </w:pPr>
    </w:p>
    <w:p w14:paraId="69804807" w14:textId="77777777" w:rsidR="00D4588D" w:rsidRDefault="00D4588D" w:rsidP="00D4588D">
      <w:pPr>
        <w:spacing w:line="360" w:lineRule="auto"/>
        <w:rPr>
          <w:rFonts w:ascii="Times New Roman" w:hAnsi="Times New Roman" w:cs="Times New Roman"/>
          <w:b/>
          <w:bCs/>
          <w:sz w:val="28"/>
          <w:szCs w:val="28"/>
        </w:rPr>
      </w:pPr>
    </w:p>
    <w:p w14:paraId="46AA638B" w14:textId="77777777" w:rsidR="00D4588D" w:rsidRDefault="00D4588D" w:rsidP="00D4588D">
      <w:pPr>
        <w:spacing w:line="360" w:lineRule="auto"/>
        <w:rPr>
          <w:rFonts w:ascii="Times New Roman" w:hAnsi="Times New Roman" w:cs="Times New Roman"/>
          <w:b/>
          <w:bCs/>
          <w:sz w:val="28"/>
          <w:szCs w:val="28"/>
        </w:rPr>
      </w:pPr>
    </w:p>
    <w:p w14:paraId="1A2B245D" w14:textId="77777777" w:rsidR="00D4588D" w:rsidRDefault="00D4588D" w:rsidP="00D4588D">
      <w:pPr>
        <w:spacing w:line="360" w:lineRule="auto"/>
        <w:rPr>
          <w:rFonts w:ascii="Times New Roman" w:hAnsi="Times New Roman" w:cs="Times New Roman"/>
          <w:b/>
          <w:bCs/>
          <w:sz w:val="28"/>
          <w:szCs w:val="28"/>
        </w:rPr>
      </w:pPr>
    </w:p>
    <w:p w14:paraId="2D6E68B7" w14:textId="77777777" w:rsidR="00D4588D" w:rsidRDefault="00D4588D" w:rsidP="00D4588D">
      <w:pPr>
        <w:spacing w:line="360" w:lineRule="auto"/>
        <w:rPr>
          <w:rFonts w:ascii="Times New Roman" w:hAnsi="Times New Roman" w:cs="Times New Roman"/>
          <w:b/>
          <w:bCs/>
          <w:sz w:val="28"/>
          <w:szCs w:val="28"/>
        </w:rPr>
      </w:pPr>
    </w:p>
    <w:p w14:paraId="36E45080" w14:textId="77777777" w:rsidR="00D4588D" w:rsidRDefault="00D4588D" w:rsidP="00D4588D">
      <w:pPr>
        <w:spacing w:line="360" w:lineRule="auto"/>
        <w:rPr>
          <w:rFonts w:ascii="Times New Roman" w:hAnsi="Times New Roman" w:cs="Times New Roman"/>
          <w:b/>
          <w:bCs/>
          <w:sz w:val="28"/>
          <w:szCs w:val="28"/>
        </w:rPr>
      </w:pPr>
    </w:p>
    <w:p w14:paraId="0DF22248" w14:textId="77777777" w:rsidR="00D4588D" w:rsidRDefault="00D4588D" w:rsidP="00D4588D">
      <w:pPr>
        <w:spacing w:line="360" w:lineRule="auto"/>
        <w:rPr>
          <w:rFonts w:ascii="Times New Roman" w:hAnsi="Times New Roman" w:cs="Times New Roman"/>
          <w:b/>
          <w:bCs/>
          <w:sz w:val="28"/>
          <w:szCs w:val="28"/>
        </w:rPr>
      </w:pPr>
    </w:p>
    <w:p w14:paraId="060D1586" w14:textId="77777777" w:rsidR="00D4588D" w:rsidRDefault="00D4588D" w:rsidP="00D4588D">
      <w:pPr>
        <w:spacing w:line="360" w:lineRule="auto"/>
        <w:rPr>
          <w:rFonts w:ascii="Times New Roman" w:hAnsi="Times New Roman" w:cs="Times New Roman"/>
          <w:b/>
          <w:bCs/>
          <w:sz w:val="28"/>
          <w:szCs w:val="28"/>
        </w:rPr>
      </w:pPr>
    </w:p>
    <w:p w14:paraId="67D3B0CE" w14:textId="77777777" w:rsidR="00D4588D" w:rsidRDefault="00D4588D" w:rsidP="00D4588D">
      <w:pPr>
        <w:spacing w:line="360" w:lineRule="auto"/>
        <w:rPr>
          <w:rFonts w:ascii="Times New Roman" w:hAnsi="Times New Roman" w:cs="Times New Roman"/>
          <w:b/>
          <w:bCs/>
          <w:sz w:val="28"/>
          <w:szCs w:val="28"/>
        </w:rPr>
      </w:pPr>
    </w:p>
    <w:p w14:paraId="176C3047" w14:textId="77777777" w:rsidR="00D4588D" w:rsidRDefault="00D4588D" w:rsidP="00D4588D">
      <w:pPr>
        <w:spacing w:line="360" w:lineRule="auto"/>
        <w:rPr>
          <w:rFonts w:ascii="Times New Roman" w:hAnsi="Times New Roman" w:cs="Times New Roman"/>
          <w:b/>
          <w:bCs/>
          <w:sz w:val="28"/>
          <w:szCs w:val="28"/>
        </w:rPr>
      </w:pPr>
    </w:p>
    <w:p w14:paraId="7FCE91DA" w14:textId="77777777" w:rsidR="00D4588D" w:rsidRDefault="00D4588D" w:rsidP="00D4588D">
      <w:pPr>
        <w:spacing w:line="360" w:lineRule="auto"/>
        <w:rPr>
          <w:rFonts w:ascii="Times New Roman" w:hAnsi="Times New Roman" w:cs="Times New Roman"/>
          <w:b/>
          <w:bCs/>
          <w:sz w:val="28"/>
          <w:szCs w:val="28"/>
        </w:rPr>
      </w:pPr>
    </w:p>
    <w:p w14:paraId="4A6C1D26" w14:textId="77777777" w:rsidR="00D4588D" w:rsidRDefault="00D4588D" w:rsidP="00D4588D">
      <w:pPr>
        <w:spacing w:line="360" w:lineRule="auto"/>
        <w:rPr>
          <w:rFonts w:ascii="Times New Roman" w:hAnsi="Times New Roman" w:cs="Times New Roman"/>
          <w:b/>
          <w:bCs/>
          <w:sz w:val="28"/>
          <w:szCs w:val="28"/>
        </w:rPr>
      </w:pPr>
    </w:p>
    <w:sdt>
      <w:sdtPr>
        <w:id w:val="-118789895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AA6CB24" w14:textId="135C724D" w:rsidR="00EC3536" w:rsidRDefault="00EC3536">
          <w:pPr>
            <w:pStyle w:val="TOCHeading"/>
          </w:pPr>
          <w:r>
            <w:t>Table of Contents</w:t>
          </w:r>
        </w:p>
        <w:p w14:paraId="7004DBA0" w14:textId="2477788E" w:rsidR="00EC3536" w:rsidRDefault="00EC3536">
          <w:pPr>
            <w:pStyle w:val="TOC1"/>
            <w:tabs>
              <w:tab w:val="left" w:pos="480"/>
              <w:tab w:val="right" w:leader="dot" w:pos="9016"/>
            </w:tabs>
            <w:rPr>
              <w:noProof/>
            </w:rPr>
          </w:pPr>
          <w:r>
            <w:fldChar w:fldCharType="begin"/>
          </w:r>
          <w:r>
            <w:instrText xml:space="preserve"> TOC \o "1-3" \h \z \u </w:instrText>
          </w:r>
          <w:r>
            <w:fldChar w:fldCharType="separate"/>
          </w:r>
          <w:hyperlink w:anchor="_Toc191676500" w:history="1">
            <w:r w:rsidRPr="00740FC6">
              <w:rPr>
                <w:rStyle w:val="Hyperlink"/>
                <w:rFonts w:ascii="Times New Roman" w:hAnsi="Times New Roman" w:cs="Times New Roman"/>
                <w:noProof/>
              </w:rPr>
              <w:t>1.</w:t>
            </w:r>
            <w:r>
              <w:rPr>
                <w:noProof/>
              </w:rPr>
              <w:tab/>
            </w:r>
            <w:r w:rsidRPr="00740FC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_Toc191676500 \h </w:instrText>
            </w:r>
            <w:r>
              <w:rPr>
                <w:noProof/>
                <w:webHidden/>
              </w:rPr>
            </w:r>
            <w:r>
              <w:rPr>
                <w:noProof/>
                <w:webHidden/>
              </w:rPr>
              <w:fldChar w:fldCharType="separate"/>
            </w:r>
            <w:r w:rsidR="00D54876">
              <w:rPr>
                <w:noProof/>
                <w:webHidden/>
              </w:rPr>
              <w:t>3</w:t>
            </w:r>
            <w:r>
              <w:rPr>
                <w:noProof/>
                <w:webHidden/>
              </w:rPr>
              <w:fldChar w:fldCharType="end"/>
            </w:r>
          </w:hyperlink>
        </w:p>
        <w:p w14:paraId="056A7B78" w14:textId="62CEB34A" w:rsidR="00EC3536" w:rsidRDefault="00EC3536">
          <w:pPr>
            <w:pStyle w:val="TOC1"/>
            <w:tabs>
              <w:tab w:val="left" w:pos="480"/>
              <w:tab w:val="right" w:leader="dot" w:pos="9016"/>
            </w:tabs>
            <w:rPr>
              <w:noProof/>
            </w:rPr>
          </w:pPr>
          <w:hyperlink w:anchor="_Toc191676501" w:history="1">
            <w:r w:rsidRPr="00740FC6">
              <w:rPr>
                <w:rStyle w:val="Hyperlink"/>
                <w:rFonts w:ascii="Times New Roman" w:hAnsi="Times New Roman" w:cs="Times New Roman"/>
                <w:noProof/>
              </w:rPr>
              <w:t>2.</w:t>
            </w:r>
            <w:r>
              <w:rPr>
                <w:noProof/>
              </w:rPr>
              <w:tab/>
            </w:r>
            <w:r w:rsidRPr="00740FC6">
              <w:rPr>
                <w:rStyle w:val="Hyperlink"/>
                <w:rFonts w:ascii="Times New Roman" w:hAnsi="Times New Roman" w:cs="Times New Roman"/>
                <w:noProof/>
              </w:rPr>
              <w:t>THE FLOW OF EVENTS</w:t>
            </w:r>
            <w:r>
              <w:rPr>
                <w:noProof/>
                <w:webHidden/>
              </w:rPr>
              <w:tab/>
            </w:r>
            <w:r>
              <w:rPr>
                <w:noProof/>
                <w:webHidden/>
              </w:rPr>
              <w:fldChar w:fldCharType="begin"/>
            </w:r>
            <w:r>
              <w:rPr>
                <w:noProof/>
                <w:webHidden/>
              </w:rPr>
              <w:instrText xml:space="preserve"> PAGEREF _Toc191676501 \h </w:instrText>
            </w:r>
            <w:r>
              <w:rPr>
                <w:noProof/>
                <w:webHidden/>
              </w:rPr>
            </w:r>
            <w:r>
              <w:rPr>
                <w:noProof/>
                <w:webHidden/>
              </w:rPr>
              <w:fldChar w:fldCharType="separate"/>
            </w:r>
            <w:r w:rsidR="00D54876">
              <w:rPr>
                <w:noProof/>
                <w:webHidden/>
              </w:rPr>
              <w:t>3</w:t>
            </w:r>
            <w:r>
              <w:rPr>
                <w:noProof/>
                <w:webHidden/>
              </w:rPr>
              <w:fldChar w:fldCharType="end"/>
            </w:r>
          </w:hyperlink>
        </w:p>
        <w:p w14:paraId="610F6543" w14:textId="3C8D3EA3" w:rsidR="00EC3536" w:rsidRDefault="00EC3536">
          <w:pPr>
            <w:pStyle w:val="TOC1"/>
            <w:tabs>
              <w:tab w:val="left" w:pos="480"/>
              <w:tab w:val="right" w:leader="dot" w:pos="9016"/>
            </w:tabs>
            <w:rPr>
              <w:noProof/>
            </w:rPr>
          </w:pPr>
          <w:hyperlink w:anchor="_Toc191676502" w:history="1">
            <w:r w:rsidRPr="00740FC6">
              <w:rPr>
                <w:rStyle w:val="Hyperlink"/>
                <w:rFonts w:ascii="Times New Roman" w:hAnsi="Times New Roman" w:cs="Times New Roman"/>
                <w:noProof/>
              </w:rPr>
              <w:t>3.</w:t>
            </w:r>
            <w:r>
              <w:rPr>
                <w:noProof/>
              </w:rPr>
              <w:tab/>
            </w:r>
            <w:r w:rsidRPr="00740FC6">
              <w:rPr>
                <w:rStyle w:val="Hyperlink"/>
                <w:rFonts w:ascii="Times New Roman" w:hAnsi="Times New Roman" w:cs="Times New Roman"/>
                <w:noProof/>
              </w:rPr>
              <w:t>EVENT IDEA</w:t>
            </w:r>
            <w:r>
              <w:rPr>
                <w:noProof/>
                <w:webHidden/>
              </w:rPr>
              <w:tab/>
            </w:r>
            <w:r>
              <w:rPr>
                <w:noProof/>
                <w:webHidden/>
              </w:rPr>
              <w:fldChar w:fldCharType="begin"/>
            </w:r>
            <w:r>
              <w:rPr>
                <w:noProof/>
                <w:webHidden/>
              </w:rPr>
              <w:instrText xml:space="preserve"> PAGEREF _Toc191676502 \h </w:instrText>
            </w:r>
            <w:r>
              <w:rPr>
                <w:noProof/>
                <w:webHidden/>
              </w:rPr>
            </w:r>
            <w:r>
              <w:rPr>
                <w:noProof/>
                <w:webHidden/>
              </w:rPr>
              <w:fldChar w:fldCharType="separate"/>
            </w:r>
            <w:r w:rsidR="00D54876">
              <w:rPr>
                <w:noProof/>
                <w:webHidden/>
              </w:rPr>
              <w:t>4</w:t>
            </w:r>
            <w:r>
              <w:rPr>
                <w:noProof/>
                <w:webHidden/>
              </w:rPr>
              <w:fldChar w:fldCharType="end"/>
            </w:r>
          </w:hyperlink>
        </w:p>
        <w:p w14:paraId="26AC9DCC" w14:textId="13A72592" w:rsidR="00EC3536" w:rsidRDefault="00EC3536">
          <w:pPr>
            <w:pStyle w:val="TOC1"/>
            <w:tabs>
              <w:tab w:val="left" w:pos="480"/>
              <w:tab w:val="right" w:leader="dot" w:pos="9016"/>
            </w:tabs>
            <w:rPr>
              <w:noProof/>
            </w:rPr>
          </w:pPr>
          <w:hyperlink w:anchor="_Toc191676503" w:history="1">
            <w:r w:rsidRPr="00740FC6">
              <w:rPr>
                <w:rStyle w:val="Hyperlink"/>
                <w:rFonts w:ascii="Times New Roman" w:hAnsi="Times New Roman" w:cs="Times New Roman"/>
                <w:noProof/>
              </w:rPr>
              <w:t>4.</w:t>
            </w:r>
            <w:r>
              <w:rPr>
                <w:noProof/>
              </w:rPr>
              <w:tab/>
            </w:r>
            <w:r w:rsidRPr="00740FC6">
              <w:rPr>
                <w:rStyle w:val="Hyperlink"/>
                <w:rFonts w:ascii="Times New Roman" w:hAnsi="Times New Roman" w:cs="Times New Roman"/>
                <w:noProof/>
              </w:rPr>
              <w:t>AIM AND OBJECTIVES</w:t>
            </w:r>
            <w:r>
              <w:rPr>
                <w:noProof/>
                <w:webHidden/>
              </w:rPr>
              <w:tab/>
            </w:r>
            <w:r>
              <w:rPr>
                <w:noProof/>
                <w:webHidden/>
              </w:rPr>
              <w:fldChar w:fldCharType="begin"/>
            </w:r>
            <w:r>
              <w:rPr>
                <w:noProof/>
                <w:webHidden/>
              </w:rPr>
              <w:instrText xml:space="preserve"> PAGEREF _Toc191676503 \h </w:instrText>
            </w:r>
            <w:r>
              <w:rPr>
                <w:noProof/>
                <w:webHidden/>
              </w:rPr>
            </w:r>
            <w:r>
              <w:rPr>
                <w:noProof/>
                <w:webHidden/>
              </w:rPr>
              <w:fldChar w:fldCharType="separate"/>
            </w:r>
            <w:r w:rsidR="00D54876">
              <w:rPr>
                <w:noProof/>
                <w:webHidden/>
              </w:rPr>
              <w:t>6</w:t>
            </w:r>
            <w:r>
              <w:rPr>
                <w:noProof/>
                <w:webHidden/>
              </w:rPr>
              <w:fldChar w:fldCharType="end"/>
            </w:r>
          </w:hyperlink>
        </w:p>
        <w:p w14:paraId="472E6883" w14:textId="0B09CA0A" w:rsidR="00EC3536" w:rsidRDefault="00EC3536">
          <w:pPr>
            <w:pStyle w:val="TOC1"/>
            <w:tabs>
              <w:tab w:val="left" w:pos="480"/>
              <w:tab w:val="right" w:leader="dot" w:pos="9016"/>
            </w:tabs>
            <w:rPr>
              <w:noProof/>
            </w:rPr>
          </w:pPr>
          <w:hyperlink w:anchor="_Toc191676504" w:history="1">
            <w:r w:rsidRPr="00740FC6">
              <w:rPr>
                <w:rStyle w:val="Hyperlink"/>
                <w:rFonts w:ascii="Times New Roman" w:hAnsi="Times New Roman" w:cs="Times New Roman"/>
                <w:noProof/>
              </w:rPr>
              <w:t>5.</w:t>
            </w:r>
            <w:r>
              <w:rPr>
                <w:noProof/>
              </w:rPr>
              <w:tab/>
            </w:r>
            <w:r w:rsidRPr="00740FC6">
              <w:rPr>
                <w:rStyle w:val="Hyperlink"/>
                <w:rFonts w:ascii="Times New Roman" w:hAnsi="Times New Roman" w:cs="Times New Roman"/>
                <w:noProof/>
              </w:rPr>
              <w:t>EVENT MANAGEMENT</w:t>
            </w:r>
            <w:r>
              <w:rPr>
                <w:noProof/>
                <w:webHidden/>
              </w:rPr>
              <w:tab/>
            </w:r>
            <w:r>
              <w:rPr>
                <w:noProof/>
                <w:webHidden/>
              </w:rPr>
              <w:fldChar w:fldCharType="begin"/>
            </w:r>
            <w:r>
              <w:rPr>
                <w:noProof/>
                <w:webHidden/>
              </w:rPr>
              <w:instrText xml:space="preserve"> PAGEREF _Toc191676504 \h </w:instrText>
            </w:r>
            <w:r>
              <w:rPr>
                <w:noProof/>
                <w:webHidden/>
              </w:rPr>
            </w:r>
            <w:r>
              <w:rPr>
                <w:noProof/>
                <w:webHidden/>
              </w:rPr>
              <w:fldChar w:fldCharType="separate"/>
            </w:r>
            <w:r w:rsidR="00D54876">
              <w:rPr>
                <w:noProof/>
                <w:webHidden/>
              </w:rPr>
              <w:t>7</w:t>
            </w:r>
            <w:r>
              <w:rPr>
                <w:noProof/>
                <w:webHidden/>
              </w:rPr>
              <w:fldChar w:fldCharType="end"/>
            </w:r>
          </w:hyperlink>
        </w:p>
        <w:p w14:paraId="5A6C356A" w14:textId="25246A47" w:rsidR="00EC3536" w:rsidRDefault="00EC3536">
          <w:pPr>
            <w:pStyle w:val="TOC1"/>
            <w:tabs>
              <w:tab w:val="left" w:pos="480"/>
              <w:tab w:val="right" w:leader="dot" w:pos="9016"/>
            </w:tabs>
            <w:rPr>
              <w:noProof/>
            </w:rPr>
          </w:pPr>
          <w:hyperlink w:anchor="_Toc191676505" w:history="1">
            <w:r w:rsidRPr="00740FC6">
              <w:rPr>
                <w:rStyle w:val="Hyperlink"/>
                <w:rFonts w:ascii="Times New Roman" w:hAnsi="Times New Roman" w:cs="Times New Roman"/>
                <w:noProof/>
              </w:rPr>
              <w:t>6.</w:t>
            </w:r>
            <w:r>
              <w:rPr>
                <w:noProof/>
              </w:rPr>
              <w:tab/>
            </w:r>
            <w:r w:rsidRPr="00740FC6">
              <w:rPr>
                <w:rStyle w:val="Hyperlink"/>
                <w:rFonts w:ascii="Times New Roman" w:hAnsi="Times New Roman" w:cs="Times New Roman"/>
                <w:noProof/>
              </w:rPr>
              <w:t>EVENT BUDGET</w:t>
            </w:r>
            <w:r>
              <w:rPr>
                <w:noProof/>
                <w:webHidden/>
              </w:rPr>
              <w:tab/>
            </w:r>
            <w:r>
              <w:rPr>
                <w:noProof/>
                <w:webHidden/>
              </w:rPr>
              <w:fldChar w:fldCharType="begin"/>
            </w:r>
            <w:r>
              <w:rPr>
                <w:noProof/>
                <w:webHidden/>
              </w:rPr>
              <w:instrText xml:space="preserve"> PAGEREF _Toc191676505 \h </w:instrText>
            </w:r>
            <w:r>
              <w:rPr>
                <w:noProof/>
                <w:webHidden/>
              </w:rPr>
            </w:r>
            <w:r>
              <w:rPr>
                <w:noProof/>
                <w:webHidden/>
              </w:rPr>
              <w:fldChar w:fldCharType="separate"/>
            </w:r>
            <w:r w:rsidR="00D54876">
              <w:rPr>
                <w:noProof/>
                <w:webHidden/>
              </w:rPr>
              <w:t>8</w:t>
            </w:r>
            <w:r>
              <w:rPr>
                <w:noProof/>
                <w:webHidden/>
              </w:rPr>
              <w:fldChar w:fldCharType="end"/>
            </w:r>
          </w:hyperlink>
        </w:p>
        <w:p w14:paraId="044A1CD2" w14:textId="0E34DCA2" w:rsidR="00EC3536" w:rsidRDefault="00EC3536">
          <w:pPr>
            <w:pStyle w:val="TOC1"/>
            <w:tabs>
              <w:tab w:val="left" w:pos="480"/>
              <w:tab w:val="right" w:leader="dot" w:pos="9016"/>
            </w:tabs>
            <w:rPr>
              <w:noProof/>
            </w:rPr>
          </w:pPr>
          <w:hyperlink w:anchor="_Toc191676506" w:history="1">
            <w:r w:rsidRPr="00740FC6">
              <w:rPr>
                <w:rStyle w:val="Hyperlink"/>
                <w:rFonts w:ascii="Times New Roman" w:hAnsi="Times New Roman" w:cs="Times New Roman"/>
                <w:noProof/>
              </w:rPr>
              <w:t>7.</w:t>
            </w:r>
            <w:r>
              <w:rPr>
                <w:noProof/>
              </w:rPr>
              <w:tab/>
            </w:r>
            <w:r w:rsidRPr="00740FC6">
              <w:rPr>
                <w:rStyle w:val="Hyperlink"/>
                <w:rFonts w:ascii="Times New Roman" w:hAnsi="Times New Roman" w:cs="Times New Roman"/>
                <w:noProof/>
              </w:rPr>
              <w:t>INDUSTRY TRENDS, ISSUES, AND IMPACTS</w:t>
            </w:r>
            <w:r>
              <w:rPr>
                <w:noProof/>
                <w:webHidden/>
              </w:rPr>
              <w:tab/>
            </w:r>
            <w:r>
              <w:rPr>
                <w:noProof/>
                <w:webHidden/>
              </w:rPr>
              <w:fldChar w:fldCharType="begin"/>
            </w:r>
            <w:r>
              <w:rPr>
                <w:noProof/>
                <w:webHidden/>
              </w:rPr>
              <w:instrText xml:space="preserve"> PAGEREF _Toc191676506 \h </w:instrText>
            </w:r>
            <w:r>
              <w:rPr>
                <w:noProof/>
                <w:webHidden/>
              </w:rPr>
            </w:r>
            <w:r>
              <w:rPr>
                <w:noProof/>
                <w:webHidden/>
              </w:rPr>
              <w:fldChar w:fldCharType="separate"/>
            </w:r>
            <w:r w:rsidR="00D54876">
              <w:rPr>
                <w:noProof/>
                <w:webHidden/>
              </w:rPr>
              <w:t>10</w:t>
            </w:r>
            <w:r>
              <w:rPr>
                <w:noProof/>
                <w:webHidden/>
              </w:rPr>
              <w:fldChar w:fldCharType="end"/>
            </w:r>
          </w:hyperlink>
        </w:p>
        <w:p w14:paraId="2A405AB0" w14:textId="495FA15B" w:rsidR="00EC3536" w:rsidRDefault="00EC3536">
          <w:pPr>
            <w:pStyle w:val="TOC1"/>
            <w:tabs>
              <w:tab w:val="left" w:pos="480"/>
              <w:tab w:val="right" w:leader="dot" w:pos="9016"/>
            </w:tabs>
            <w:rPr>
              <w:noProof/>
            </w:rPr>
          </w:pPr>
          <w:hyperlink w:anchor="_Toc191676507" w:history="1">
            <w:r w:rsidRPr="00740FC6">
              <w:rPr>
                <w:rStyle w:val="Hyperlink"/>
                <w:rFonts w:ascii="Times New Roman" w:hAnsi="Times New Roman" w:cs="Times New Roman"/>
                <w:noProof/>
              </w:rPr>
              <w:t>8.</w:t>
            </w:r>
            <w:r>
              <w:rPr>
                <w:noProof/>
              </w:rPr>
              <w:tab/>
            </w:r>
            <w:r w:rsidRPr="00740FC6">
              <w:rPr>
                <w:rStyle w:val="Hyperlink"/>
                <w:rFonts w:ascii="Times New Roman" w:hAnsi="Times New Roman" w:cs="Times New Roman"/>
                <w:noProof/>
              </w:rPr>
              <w:t>SITUATIONAL AND CULTURAL CONSIDERATIONS</w:t>
            </w:r>
            <w:r>
              <w:rPr>
                <w:noProof/>
                <w:webHidden/>
              </w:rPr>
              <w:tab/>
            </w:r>
            <w:r>
              <w:rPr>
                <w:noProof/>
                <w:webHidden/>
              </w:rPr>
              <w:fldChar w:fldCharType="begin"/>
            </w:r>
            <w:r>
              <w:rPr>
                <w:noProof/>
                <w:webHidden/>
              </w:rPr>
              <w:instrText xml:space="preserve"> PAGEREF _Toc191676507 \h </w:instrText>
            </w:r>
            <w:r>
              <w:rPr>
                <w:noProof/>
                <w:webHidden/>
              </w:rPr>
            </w:r>
            <w:r>
              <w:rPr>
                <w:noProof/>
                <w:webHidden/>
              </w:rPr>
              <w:fldChar w:fldCharType="separate"/>
            </w:r>
            <w:r w:rsidR="00D54876">
              <w:rPr>
                <w:noProof/>
                <w:webHidden/>
              </w:rPr>
              <w:t>10</w:t>
            </w:r>
            <w:r>
              <w:rPr>
                <w:noProof/>
                <w:webHidden/>
              </w:rPr>
              <w:fldChar w:fldCharType="end"/>
            </w:r>
          </w:hyperlink>
        </w:p>
        <w:p w14:paraId="01E3E6D6" w14:textId="3A1E2C30" w:rsidR="00EC3536" w:rsidRDefault="00EC3536">
          <w:pPr>
            <w:pStyle w:val="TOC1"/>
            <w:tabs>
              <w:tab w:val="left" w:pos="480"/>
              <w:tab w:val="right" w:leader="dot" w:pos="9016"/>
            </w:tabs>
            <w:rPr>
              <w:noProof/>
            </w:rPr>
          </w:pPr>
          <w:hyperlink w:anchor="_Toc191676508" w:history="1">
            <w:r w:rsidRPr="00740FC6">
              <w:rPr>
                <w:rStyle w:val="Hyperlink"/>
                <w:rFonts w:ascii="Times New Roman" w:hAnsi="Times New Roman" w:cs="Times New Roman"/>
                <w:noProof/>
              </w:rPr>
              <w:t>9.</w:t>
            </w:r>
            <w:r>
              <w:rPr>
                <w:noProof/>
              </w:rPr>
              <w:tab/>
            </w:r>
            <w:r w:rsidRPr="00740FC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_Toc191676508 \h </w:instrText>
            </w:r>
            <w:r>
              <w:rPr>
                <w:noProof/>
                <w:webHidden/>
              </w:rPr>
            </w:r>
            <w:r>
              <w:rPr>
                <w:noProof/>
                <w:webHidden/>
              </w:rPr>
              <w:fldChar w:fldCharType="separate"/>
            </w:r>
            <w:r w:rsidR="00D54876">
              <w:rPr>
                <w:noProof/>
                <w:webHidden/>
              </w:rPr>
              <w:t>11</w:t>
            </w:r>
            <w:r>
              <w:rPr>
                <w:noProof/>
                <w:webHidden/>
              </w:rPr>
              <w:fldChar w:fldCharType="end"/>
            </w:r>
          </w:hyperlink>
        </w:p>
        <w:p w14:paraId="1F1B4B81" w14:textId="25E08F78" w:rsidR="00EC3536" w:rsidRDefault="00EC3536">
          <w:pPr>
            <w:pStyle w:val="TOC1"/>
            <w:tabs>
              <w:tab w:val="right" w:leader="dot" w:pos="9016"/>
            </w:tabs>
            <w:rPr>
              <w:noProof/>
            </w:rPr>
          </w:pPr>
          <w:hyperlink w:anchor="_Toc191676509" w:history="1">
            <w:r w:rsidRPr="00740FC6">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_Toc191676509 \h </w:instrText>
            </w:r>
            <w:r>
              <w:rPr>
                <w:noProof/>
                <w:webHidden/>
              </w:rPr>
            </w:r>
            <w:r>
              <w:rPr>
                <w:noProof/>
                <w:webHidden/>
              </w:rPr>
              <w:fldChar w:fldCharType="separate"/>
            </w:r>
            <w:r w:rsidR="00D54876">
              <w:rPr>
                <w:noProof/>
                <w:webHidden/>
              </w:rPr>
              <w:t>12</w:t>
            </w:r>
            <w:r>
              <w:rPr>
                <w:noProof/>
                <w:webHidden/>
              </w:rPr>
              <w:fldChar w:fldCharType="end"/>
            </w:r>
          </w:hyperlink>
        </w:p>
        <w:p w14:paraId="1BCC222F" w14:textId="2DDD06D9" w:rsidR="00EC3536" w:rsidRDefault="00EC3536">
          <w:r>
            <w:rPr>
              <w:b/>
              <w:bCs/>
              <w:noProof/>
            </w:rPr>
            <w:fldChar w:fldCharType="end"/>
          </w:r>
        </w:p>
      </w:sdtContent>
    </w:sdt>
    <w:p w14:paraId="1373FF44" w14:textId="77777777" w:rsidR="00D4588D" w:rsidRDefault="00D4588D" w:rsidP="00D4588D">
      <w:pPr>
        <w:spacing w:line="360" w:lineRule="auto"/>
        <w:rPr>
          <w:rFonts w:ascii="Times New Roman" w:hAnsi="Times New Roman" w:cs="Times New Roman"/>
          <w:b/>
          <w:bCs/>
          <w:sz w:val="28"/>
          <w:szCs w:val="28"/>
        </w:rPr>
      </w:pPr>
    </w:p>
    <w:p w14:paraId="027EA24B" w14:textId="77777777" w:rsidR="00D4588D" w:rsidRDefault="00D4588D" w:rsidP="00D4588D">
      <w:pPr>
        <w:spacing w:line="360" w:lineRule="auto"/>
        <w:rPr>
          <w:rFonts w:ascii="Times New Roman" w:hAnsi="Times New Roman" w:cs="Times New Roman"/>
          <w:b/>
          <w:bCs/>
          <w:sz w:val="28"/>
          <w:szCs w:val="28"/>
        </w:rPr>
      </w:pPr>
    </w:p>
    <w:p w14:paraId="50039E15" w14:textId="77777777" w:rsidR="00D4588D" w:rsidRDefault="00D4588D" w:rsidP="00D4588D">
      <w:pPr>
        <w:spacing w:line="360" w:lineRule="auto"/>
        <w:rPr>
          <w:rFonts w:ascii="Times New Roman" w:hAnsi="Times New Roman" w:cs="Times New Roman"/>
          <w:b/>
          <w:bCs/>
          <w:sz w:val="28"/>
          <w:szCs w:val="28"/>
        </w:rPr>
      </w:pPr>
    </w:p>
    <w:p w14:paraId="2F8D868B" w14:textId="77777777" w:rsidR="00D4588D" w:rsidRDefault="00D4588D" w:rsidP="00D4588D">
      <w:pPr>
        <w:spacing w:line="360" w:lineRule="auto"/>
        <w:rPr>
          <w:rFonts w:ascii="Times New Roman" w:hAnsi="Times New Roman" w:cs="Times New Roman"/>
          <w:b/>
          <w:bCs/>
          <w:sz w:val="28"/>
          <w:szCs w:val="28"/>
        </w:rPr>
      </w:pPr>
    </w:p>
    <w:p w14:paraId="416CE9F8" w14:textId="77777777" w:rsidR="00D4588D" w:rsidRDefault="00D4588D" w:rsidP="00D4588D">
      <w:pPr>
        <w:spacing w:line="360" w:lineRule="auto"/>
        <w:rPr>
          <w:rFonts w:ascii="Times New Roman" w:hAnsi="Times New Roman" w:cs="Times New Roman"/>
          <w:b/>
          <w:bCs/>
          <w:sz w:val="28"/>
          <w:szCs w:val="28"/>
        </w:rPr>
      </w:pPr>
    </w:p>
    <w:p w14:paraId="03814B17" w14:textId="77777777" w:rsidR="00D4588D" w:rsidRDefault="00D4588D" w:rsidP="00D4588D">
      <w:pPr>
        <w:spacing w:line="360" w:lineRule="auto"/>
        <w:rPr>
          <w:rFonts w:ascii="Times New Roman" w:hAnsi="Times New Roman" w:cs="Times New Roman"/>
          <w:b/>
          <w:bCs/>
          <w:sz w:val="28"/>
          <w:szCs w:val="28"/>
        </w:rPr>
      </w:pPr>
    </w:p>
    <w:p w14:paraId="7FC14D2B" w14:textId="77777777" w:rsidR="00D4588D" w:rsidRDefault="00D4588D" w:rsidP="00D4588D">
      <w:pPr>
        <w:spacing w:line="360" w:lineRule="auto"/>
        <w:rPr>
          <w:rFonts w:ascii="Times New Roman" w:hAnsi="Times New Roman" w:cs="Times New Roman"/>
          <w:b/>
          <w:bCs/>
          <w:sz w:val="28"/>
          <w:szCs w:val="28"/>
        </w:rPr>
      </w:pPr>
    </w:p>
    <w:p w14:paraId="4A4801EB" w14:textId="77777777" w:rsidR="00D4588D" w:rsidRDefault="00D4588D" w:rsidP="00D4588D">
      <w:pPr>
        <w:spacing w:line="360" w:lineRule="auto"/>
        <w:rPr>
          <w:rFonts w:ascii="Times New Roman" w:hAnsi="Times New Roman" w:cs="Times New Roman"/>
          <w:b/>
          <w:bCs/>
          <w:sz w:val="28"/>
          <w:szCs w:val="28"/>
        </w:rPr>
      </w:pPr>
    </w:p>
    <w:p w14:paraId="58AFFB47" w14:textId="77777777" w:rsidR="00D4588D" w:rsidRDefault="00D4588D" w:rsidP="00D4588D">
      <w:pPr>
        <w:spacing w:line="360" w:lineRule="auto"/>
        <w:rPr>
          <w:rFonts w:ascii="Times New Roman" w:hAnsi="Times New Roman" w:cs="Times New Roman"/>
          <w:b/>
          <w:bCs/>
          <w:sz w:val="28"/>
          <w:szCs w:val="28"/>
        </w:rPr>
      </w:pPr>
    </w:p>
    <w:p w14:paraId="467F48F1" w14:textId="77777777" w:rsidR="00D4588D" w:rsidRDefault="00D4588D" w:rsidP="00D4588D">
      <w:pPr>
        <w:spacing w:line="360" w:lineRule="auto"/>
        <w:rPr>
          <w:rFonts w:ascii="Times New Roman" w:hAnsi="Times New Roman" w:cs="Times New Roman"/>
          <w:b/>
          <w:bCs/>
          <w:sz w:val="28"/>
          <w:szCs w:val="28"/>
        </w:rPr>
      </w:pPr>
    </w:p>
    <w:p w14:paraId="49709EF8" w14:textId="77777777" w:rsidR="00D4588D" w:rsidRDefault="00D4588D" w:rsidP="00D4588D">
      <w:pPr>
        <w:spacing w:line="360" w:lineRule="auto"/>
        <w:rPr>
          <w:rFonts w:ascii="Times New Roman" w:hAnsi="Times New Roman" w:cs="Times New Roman"/>
          <w:b/>
          <w:bCs/>
          <w:sz w:val="28"/>
          <w:szCs w:val="28"/>
        </w:rPr>
      </w:pPr>
    </w:p>
    <w:p w14:paraId="168422A8" w14:textId="77777777" w:rsidR="00D4588D" w:rsidRDefault="00D4588D" w:rsidP="00D4588D">
      <w:pPr>
        <w:spacing w:line="360" w:lineRule="auto"/>
        <w:rPr>
          <w:rFonts w:ascii="Times New Roman" w:hAnsi="Times New Roman" w:cs="Times New Roman"/>
          <w:b/>
          <w:bCs/>
          <w:sz w:val="28"/>
          <w:szCs w:val="28"/>
        </w:rPr>
      </w:pPr>
    </w:p>
    <w:p w14:paraId="33204631" w14:textId="77777777" w:rsidR="00D4588D" w:rsidRDefault="00D4588D" w:rsidP="00D4588D">
      <w:pPr>
        <w:spacing w:line="360" w:lineRule="auto"/>
        <w:rPr>
          <w:rFonts w:ascii="Times New Roman" w:hAnsi="Times New Roman" w:cs="Times New Roman"/>
          <w:b/>
          <w:bCs/>
          <w:sz w:val="28"/>
          <w:szCs w:val="28"/>
        </w:rPr>
      </w:pPr>
    </w:p>
    <w:p w14:paraId="1607E06E" w14:textId="77777777" w:rsidR="00D4588D" w:rsidRDefault="00D4588D" w:rsidP="00D4588D">
      <w:pPr>
        <w:spacing w:line="360" w:lineRule="auto"/>
        <w:rPr>
          <w:rFonts w:ascii="Times New Roman" w:hAnsi="Times New Roman" w:cs="Times New Roman"/>
          <w:b/>
          <w:bCs/>
          <w:sz w:val="28"/>
          <w:szCs w:val="28"/>
        </w:rPr>
      </w:pPr>
    </w:p>
    <w:p w14:paraId="515E3646" w14:textId="7ECFF00A" w:rsidR="00D4588D" w:rsidRPr="00D54876" w:rsidRDefault="00D4588D" w:rsidP="00D54876">
      <w:pPr>
        <w:pStyle w:val="EU"/>
        <w:numPr>
          <w:ilvl w:val="0"/>
          <w:numId w:val="1"/>
        </w:numPr>
        <w:spacing w:line="360" w:lineRule="auto"/>
        <w:rPr>
          <w:rFonts w:ascii="Times New Roman" w:hAnsi="Times New Roman" w:cs="Times New Roman"/>
          <w:color w:val="auto"/>
        </w:rPr>
      </w:pPr>
      <w:bookmarkStart w:id="0" w:name="_Toc191676500"/>
      <w:r w:rsidRPr="00D54876">
        <w:rPr>
          <w:rFonts w:ascii="Times New Roman" w:hAnsi="Times New Roman" w:cs="Times New Roman"/>
          <w:color w:val="auto"/>
        </w:rPr>
        <w:t>Introduction</w:t>
      </w:r>
      <w:bookmarkEnd w:id="0"/>
      <w:r w:rsidRPr="00D54876">
        <w:rPr>
          <w:rFonts w:ascii="Times New Roman" w:hAnsi="Times New Roman" w:cs="Times New Roman"/>
          <w:color w:val="auto"/>
        </w:rPr>
        <w:t xml:space="preserve"> </w:t>
      </w:r>
    </w:p>
    <w:p w14:paraId="35DA42D9" w14:textId="2B89C011"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 xml:space="preserve">Is any organisation genuinely ready to navigate its evolving workforce demographics? This question holds significance as populations around the world grow older and organisations </w:t>
      </w:r>
      <w:proofErr w:type="gramStart"/>
      <w:r w:rsidRPr="00D54876">
        <w:rPr>
          <w:rFonts w:ascii="Times New Roman" w:hAnsi="Times New Roman" w:cs="Times New Roman"/>
          <w:sz w:val="24"/>
          <w:szCs w:val="24"/>
        </w:rPr>
        <w:t>encounter</w:t>
      </w:r>
      <w:proofErr w:type="gramEnd"/>
      <w:r w:rsidRPr="00D54876">
        <w:rPr>
          <w:rFonts w:ascii="Times New Roman" w:hAnsi="Times New Roman" w:cs="Times New Roman"/>
          <w:sz w:val="24"/>
          <w:szCs w:val="24"/>
        </w:rPr>
        <w:t xml:space="preserve"> challenges in keeping skilled individuals on board (OECD, 2021). To address these challenges, </w:t>
      </w:r>
      <w:proofErr w:type="gramStart"/>
      <w:r w:rsidRPr="00D54876">
        <w:rPr>
          <w:rFonts w:ascii="Times New Roman" w:hAnsi="Times New Roman" w:cs="Times New Roman"/>
          <w:sz w:val="24"/>
          <w:szCs w:val="24"/>
        </w:rPr>
        <w:t>numerous</w:t>
      </w:r>
      <w:proofErr w:type="gramEnd"/>
      <w:r w:rsidRPr="00D54876">
        <w:rPr>
          <w:rFonts w:ascii="Times New Roman" w:hAnsi="Times New Roman" w:cs="Times New Roman"/>
          <w:sz w:val="24"/>
          <w:szCs w:val="24"/>
        </w:rPr>
        <w:t xml:space="preserve"> businesses seek support in creating work environments that appreciate employees of every age. Including older workers helps </w:t>
      </w:r>
      <w:proofErr w:type="gramStart"/>
      <w:r w:rsidRPr="00D54876">
        <w:rPr>
          <w:rFonts w:ascii="Times New Roman" w:hAnsi="Times New Roman" w:cs="Times New Roman"/>
          <w:sz w:val="24"/>
          <w:szCs w:val="24"/>
        </w:rPr>
        <w:t>maintain</w:t>
      </w:r>
      <w:proofErr w:type="gramEnd"/>
      <w:r w:rsidRPr="00D54876">
        <w:rPr>
          <w:rFonts w:ascii="Times New Roman" w:hAnsi="Times New Roman" w:cs="Times New Roman"/>
          <w:sz w:val="24"/>
          <w:szCs w:val="24"/>
        </w:rPr>
        <w:t xml:space="preserve"> valuable knowledge within organisations and fosters collaboration across generations, both of which are vital for lasting growth (Fan et al., 2023).</w:t>
      </w:r>
      <w:r w:rsidRPr="00D54876">
        <w:rPr>
          <w:rFonts w:ascii="Times New Roman" w:hAnsi="Times New Roman" w:cs="Times New Roman"/>
          <w:sz w:val="24"/>
          <w:szCs w:val="24"/>
        </w:rPr>
        <w:t xml:space="preserve"> </w:t>
      </w:r>
      <w:r w:rsidRPr="00D54876">
        <w:rPr>
          <w:rFonts w:ascii="Times New Roman" w:hAnsi="Times New Roman" w:cs="Times New Roman"/>
          <w:sz w:val="24"/>
          <w:szCs w:val="24"/>
        </w:rPr>
        <w:t xml:space="preserve">In this setting, the suggested meeting centres on Age-Inclusive Workplaces as a </w:t>
      </w:r>
      <w:proofErr w:type="gramStart"/>
      <w:r w:rsidRPr="00D54876">
        <w:rPr>
          <w:rFonts w:ascii="Times New Roman" w:hAnsi="Times New Roman" w:cs="Times New Roman"/>
          <w:sz w:val="24"/>
          <w:szCs w:val="24"/>
        </w:rPr>
        <w:t>component</w:t>
      </w:r>
      <w:proofErr w:type="gramEnd"/>
      <w:r w:rsidRPr="00D54876">
        <w:rPr>
          <w:rFonts w:ascii="Times New Roman" w:hAnsi="Times New Roman" w:cs="Times New Roman"/>
          <w:sz w:val="24"/>
          <w:szCs w:val="24"/>
        </w:rPr>
        <w:t xml:space="preserve"> of a wider dedication to fairness, variety, and inclusion. This event holds </w:t>
      </w:r>
      <w:proofErr w:type="gramStart"/>
      <w:r w:rsidRPr="00D54876">
        <w:rPr>
          <w:rFonts w:ascii="Times New Roman" w:hAnsi="Times New Roman" w:cs="Times New Roman"/>
          <w:sz w:val="24"/>
          <w:szCs w:val="24"/>
        </w:rPr>
        <w:t>great importance</w:t>
      </w:r>
      <w:proofErr w:type="gramEnd"/>
      <w:r w:rsidRPr="00D54876">
        <w:rPr>
          <w:rFonts w:ascii="Times New Roman" w:hAnsi="Times New Roman" w:cs="Times New Roman"/>
          <w:sz w:val="24"/>
          <w:szCs w:val="24"/>
        </w:rPr>
        <w:t xml:space="preserve"> due to demographic changes that will result in one-third of the global workforce being over the age of 50 by 2030 (OECD, 2021). If companies overlook the needs of these employees, they may face challenges such as skill shortages, hindered knowledge transfer, and a diminished organisational culture (Smith, 2012).</w:t>
      </w:r>
      <w:r w:rsidRPr="00D54876">
        <w:rPr>
          <w:rFonts w:ascii="Times New Roman" w:hAnsi="Times New Roman" w:cs="Times New Roman"/>
          <w:sz w:val="24"/>
          <w:szCs w:val="24"/>
        </w:rPr>
        <w:t xml:space="preserve"> </w:t>
      </w:r>
      <w:r w:rsidRPr="00D54876">
        <w:rPr>
          <w:rFonts w:ascii="Times New Roman" w:hAnsi="Times New Roman" w:cs="Times New Roman"/>
          <w:sz w:val="24"/>
          <w:szCs w:val="24"/>
        </w:rPr>
        <w:t>This one-day gathering will bring together human resource directors, recruiters, corporate leaders, and policymakers in Amsterdam, a well-known centre for international conferences (Rogers and Wynn-Moylan, 2022). Amsterdam’s impressive transport system and lively cultural atmosphere can draw delegates from various areas, fostering the sharing of policy ideas and best practices (Rai, 2024).</w:t>
      </w:r>
      <w:r w:rsidRPr="00D54876">
        <w:rPr>
          <w:rFonts w:ascii="Times New Roman" w:hAnsi="Times New Roman" w:cs="Times New Roman"/>
          <w:sz w:val="24"/>
          <w:szCs w:val="24"/>
        </w:rPr>
        <w:t xml:space="preserve"> </w:t>
      </w:r>
      <w:r w:rsidRPr="00D54876">
        <w:rPr>
          <w:rFonts w:ascii="Times New Roman" w:hAnsi="Times New Roman" w:cs="Times New Roman"/>
          <w:sz w:val="24"/>
          <w:szCs w:val="24"/>
        </w:rPr>
        <w:t>This report serves two main purposes. First, it offers a thoughtful perspective on how to organise and conduct a meeting that embraces age-inclusion in the modern workplace. Secondly, it describes how the Event Cycle model can guarantee that each phase—from initial research to post-event evaluation—harmonizes with the overarching goal. This document is organised according to the recommended template: it starts with a concise overview of the Event Cycle, delves into the event concept in depth (including an itinerary), outlines the aims and SMART objectives, and emphasises important event-management factors.</w:t>
      </w:r>
      <w:r w:rsidRPr="00D54876">
        <w:rPr>
          <w:rFonts w:ascii="Times New Roman" w:hAnsi="Times New Roman" w:cs="Times New Roman"/>
          <w:sz w:val="24"/>
          <w:szCs w:val="24"/>
        </w:rPr>
        <w:t xml:space="preserve"> </w:t>
      </w:r>
      <w:proofErr w:type="gramStart"/>
      <w:r w:rsidRPr="00D54876">
        <w:rPr>
          <w:rFonts w:ascii="Times New Roman" w:hAnsi="Times New Roman" w:cs="Times New Roman"/>
          <w:sz w:val="24"/>
          <w:szCs w:val="24"/>
        </w:rPr>
        <w:t>Subsequent</w:t>
      </w:r>
      <w:proofErr w:type="gramEnd"/>
      <w:r w:rsidRPr="00D54876">
        <w:rPr>
          <w:rFonts w:ascii="Times New Roman" w:hAnsi="Times New Roman" w:cs="Times New Roman"/>
          <w:sz w:val="24"/>
          <w:szCs w:val="24"/>
        </w:rPr>
        <w:t xml:space="preserve"> sections delve into the event budget, examine new trends in the meetings and events sector, and assess wider situational factors using a standard business analysis tool. The report wraps up by highlighting the significance of practices that support all ages in </w:t>
      </w:r>
      <w:proofErr w:type="gramStart"/>
      <w:r w:rsidRPr="00D54876">
        <w:rPr>
          <w:rFonts w:ascii="Times New Roman" w:hAnsi="Times New Roman" w:cs="Times New Roman"/>
          <w:sz w:val="24"/>
          <w:szCs w:val="24"/>
        </w:rPr>
        <w:t>maintaining</w:t>
      </w:r>
      <w:proofErr w:type="gramEnd"/>
      <w:r w:rsidRPr="00D54876">
        <w:rPr>
          <w:rFonts w:ascii="Times New Roman" w:hAnsi="Times New Roman" w:cs="Times New Roman"/>
          <w:sz w:val="24"/>
          <w:szCs w:val="24"/>
        </w:rPr>
        <w:t xml:space="preserve"> a robust global workforce. </w:t>
      </w:r>
    </w:p>
    <w:p w14:paraId="2A40D675" w14:textId="2B87E9F0" w:rsidR="00180F91" w:rsidRPr="00D54876" w:rsidRDefault="00180F91" w:rsidP="00D54876">
      <w:pPr>
        <w:pStyle w:val="EU"/>
        <w:numPr>
          <w:ilvl w:val="0"/>
          <w:numId w:val="1"/>
        </w:numPr>
        <w:spacing w:line="360" w:lineRule="auto"/>
        <w:rPr>
          <w:rFonts w:ascii="Times New Roman" w:hAnsi="Times New Roman" w:cs="Times New Roman"/>
          <w:color w:val="auto"/>
        </w:rPr>
      </w:pPr>
      <w:bookmarkStart w:id="1" w:name="_Toc191676501"/>
      <w:r w:rsidRPr="00D54876">
        <w:rPr>
          <w:rFonts w:ascii="Times New Roman" w:hAnsi="Times New Roman" w:cs="Times New Roman"/>
          <w:color w:val="auto"/>
        </w:rPr>
        <w:t>THE FLOW OF EVENTS</w:t>
      </w:r>
      <w:bookmarkEnd w:id="1"/>
    </w:p>
    <w:p w14:paraId="1470011A" w14:textId="64A5B0DC"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 xml:space="preserve">The Event Cycle provides a thoughtful framework to </w:t>
      </w:r>
      <w:proofErr w:type="gramStart"/>
      <w:r w:rsidRPr="00D54876">
        <w:rPr>
          <w:rFonts w:ascii="Times New Roman" w:hAnsi="Times New Roman" w:cs="Times New Roman"/>
          <w:sz w:val="24"/>
          <w:szCs w:val="24"/>
        </w:rPr>
        <w:t>assist</w:t>
      </w:r>
      <w:proofErr w:type="gramEnd"/>
      <w:r w:rsidRPr="00D54876">
        <w:rPr>
          <w:rFonts w:ascii="Times New Roman" w:hAnsi="Times New Roman" w:cs="Times New Roman"/>
          <w:sz w:val="24"/>
          <w:szCs w:val="24"/>
        </w:rPr>
        <w:t xml:space="preserve"> event organisers in navigating every stage of the planning process. It typically consists of five key stages: (1) Research and Conceptualisation, (2) Planning and Design, (3) Implementation, (4) Event Execution, and (5) Evaluation and Legacy. (Fox et al., 2014).</w:t>
      </w:r>
    </w:p>
    <w:p w14:paraId="62B46D8F" w14:textId="437EC8A8"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b/>
          <w:bCs/>
          <w:sz w:val="24"/>
          <w:szCs w:val="24"/>
        </w:rPr>
        <w:t>Exploration and Ideation:</w:t>
      </w:r>
      <w:r w:rsidRPr="00D54876">
        <w:rPr>
          <w:rFonts w:ascii="Times New Roman" w:hAnsi="Times New Roman" w:cs="Times New Roman"/>
          <w:sz w:val="24"/>
          <w:szCs w:val="24"/>
        </w:rPr>
        <w:t xml:space="preserve"> This first phase delves into the intent and feasibility of the event. In this case, demographic information from organisations like the OECD (2021) highlights the significance of including various age groups. </w:t>
      </w:r>
    </w:p>
    <w:p w14:paraId="06278A7E" w14:textId="4D438838"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b/>
          <w:bCs/>
          <w:sz w:val="24"/>
          <w:szCs w:val="24"/>
        </w:rPr>
        <w:t>Planning and Design:</w:t>
      </w:r>
      <w:r w:rsidRPr="00D54876">
        <w:rPr>
          <w:rFonts w:ascii="Times New Roman" w:hAnsi="Times New Roman" w:cs="Times New Roman"/>
          <w:sz w:val="24"/>
          <w:szCs w:val="24"/>
        </w:rPr>
        <w:t xml:space="preserve"> After refining the theme, the organiser chooses the location and </w:t>
      </w:r>
      <w:proofErr w:type="gramStart"/>
      <w:r w:rsidRPr="00D54876">
        <w:rPr>
          <w:rFonts w:ascii="Times New Roman" w:hAnsi="Times New Roman" w:cs="Times New Roman"/>
          <w:sz w:val="24"/>
          <w:szCs w:val="24"/>
        </w:rPr>
        <w:t>establishes</w:t>
      </w:r>
      <w:proofErr w:type="gramEnd"/>
      <w:r w:rsidRPr="00D54876">
        <w:rPr>
          <w:rFonts w:ascii="Times New Roman" w:hAnsi="Times New Roman" w:cs="Times New Roman"/>
          <w:sz w:val="24"/>
          <w:szCs w:val="24"/>
        </w:rPr>
        <w:t xml:space="preserve"> the date. Amsterdam’s RAI conference centre or a nearby hotel ballroom is notable for its extensive amenities (Rai, 2024). The design stage involves choosing keynote speakers, organising workshops, and developing marketing materials (Rogers and Wynn-Moylan, 2022).</w:t>
      </w:r>
    </w:p>
    <w:p w14:paraId="20954FB1" w14:textId="32CDA463"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b/>
          <w:bCs/>
          <w:sz w:val="24"/>
          <w:szCs w:val="24"/>
        </w:rPr>
        <w:t>Implementation:</w:t>
      </w:r>
      <w:r w:rsidRPr="00D54876">
        <w:rPr>
          <w:rFonts w:ascii="Times New Roman" w:hAnsi="Times New Roman" w:cs="Times New Roman"/>
          <w:sz w:val="24"/>
          <w:szCs w:val="24"/>
        </w:rPr>
        <w:t xml:space="preserve"> This is where the real preparations take shape. Responsibilities involve completing contracts, distributing invitations, arranging catering services, and verifying equipment rentals (Getz and Page, 2019). Marketing campaigns focus on </w:t>
      </w:r>
      <w:proofErr w:type="gramStart"/>
      <w:r w:rsidRPr="00D54876">
        <w:rPr>
          <w:rFonts w:ascii="Times New Roman" w:hAnsi="Times New Roman" w:cs="Times New Roman"/>
          <w:sz w:val="24"/>
          <w:szCs w:val="24"/>
        </w:rPr>
        <w:t>particular groups</w:t>
      </w:r>
      <w:proofErr w:type="gramEnd"/>
      <w:r w:rsidRPr="00D54876">
        <w:rPr>
          <w:rFonts w:ascii="Times New Roman" w:hAnsi="Times New Roman" w:cs="Times New Roman"/>
          <w:sz w:val="24"/>
          <w:szCs w:val="24"/>
        </w:rPr>
        <w:t>, like HR directors or corporate leaders.</w:t>
      </w:r>
    </w:p>
    <w:p w14:paraId="10D24D67" w14:textId="16282DDA"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b/>
          <w:bCs/>
          <w:sz w:val="24"/>
          <w:szCs w:val="24"/>
        </w:rPr>
        <w:t>Event Execution</w:t>
      </w:r>
      <w:r w:rsidRPr="00D54876">
        <w:rPr>
          <w:rFonts w:ascii="Times New Roman" w:hAnsi="Times New Roman" w:cs="Times New Roman"/>
          <w:sz w:val="24"/>
          <w:szCs w:val="24"/>
        </w:rPr>
        <w:t xml:space="preserve">: On the day of the event, it is essential to keep an eye on schedules, ensure quality, and address any unforeseen challenges that may come up (Meredith, 2022). Harmonious coordination allows for </w:t>
      </w:r>
      <w:proofErr w:type="gramStart"/>
      <w:r w:rsidRPr="00D54876">
        <w:rPr>
          <w:rFonts w:ascii="Times New Roman" w:hAnsi="Times New Roman" w:cs="Times New Roman"/>
          <w:sz w:val="24"/>
          <w:szCs w:val="24"/>
        </w:rPr>
        <w:t>timely</w:t>
      </w:r>
      <w:proofErr w:type="gramEnd"/>
      <w:r w:rsidRPr="00D54876">
        <w:rPr>
          <w:rFonts w:ascii="Times New Roman" w:hAnsi="Times New Roman" w:cs="Times New Roman"/>
          <w:sz w:val="24"/>
          <w:szCs w:val="24"/>
        </w:rPr>
        <w:t xml:space="preserve"> session starts, smooth operation of technical resources, and a pleasant experience for delegates.</w:t>
      </w:r>
    </w:p>
    <w:p w14:paraId="6EF01B5E" w14:textId="77777777"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b/>
          <w:bCs/>
          <w:sz w:val="24"/>
          <w:szCs w:val="24"/>
        </w:rPr>
        <w:t>Assessment and Heritage:</w:t>
      </w:r>
      <w:r w:rsidRPr="00D54876">
        <w:rPr>
          <w:rFonts w:ascii="Times New Roman" w:hAnsi="Times New Roman" w:cs="Times New Roman"/>
          <w:sz w:val="24"/>
          <w:szCs w:val="24"/>
        </w:rPr>
        <w:t xml:space="preserve"> Organisers gather insights to </w:t>
      </w:r>
      <w:proofErr w:type="gramStart"/>
      <w:r w:rsidRPr="00D54876">
        <w:rPr>
          <w:rFonts w:ascii="Times New Roman" w:hAnsi="Times New Roman" w:cs="Times New Roman"/>
          <w:sz w:val="24"/>
          <w:szCs w:val="24"/>
        </w:rPr>
        <w:t>determine</w:t>
      </w:r>
      <w:proofErr w:type="gramEnd"/>
      <w:r w:rsidRPr="00D54876">
        <w:rPr>
          <w:rFonts w:ascii="Times New Roman" w:hAnsi="Times New Roman" w:cs="Times New Roman"/>
          <w:sz w:val="24"/>
          <w:szCs w:val="24"/>
        </w:rPr>
        <w:t xml:space="preserve"> if the event achieved its goals. They also create reports after the event to share with sponsors and attendees (Fox et al., 2014). During this age-inclusion event, the survey may invite delegates to reflect on the practical strategies they discovered and their intentions to incorporate them.</w:t>
      </w:r>
    </w:p>
    <w:p w14:paraId="7494BE1C" w14:textId="7BB79ADC" w:rsidR="00180F91" w:rsidRPr="00D54876" w:rsidRDefault="00180F91" w:rsidP="00D54876">
      <w:pPr>
        <w:pStyle w:val="EU"/>
        <w:numPr>
          <w:ilvl w:val="0"/>
          <w:numId w:val="1"/>
        </w:numPr>
        <w:spacing w:line="360" w:lineRule="auto"/>
        <w:rPr>
          <w:rFonts w:ascii="Times New Roman" w:hAnsi="Times New Roman" w:cs="Times New Roman"/>
          <w:color w:val="auto"/>
        </w:rPr>
      </w:pPr>
      <w:bookmarkStart w:id="2" w:name="_Toc191676502"/>
      <w:r w:rsidRPr="00D54876">
        <w:rPr>
          <w:rFonts w:ascii="Times New Roman" w:hAnsi="Times New Roman" w:cs="Times New Roman"/>
          <w:color w:val="auto"/>
        </w:rPr>
        <w:t>EVENT IDEA</w:t>
      </w:r>
      <w:bookmarkEnd w:id="2"/>
    </w:p>
    <w:p w14:paraId="0556152E" w14:textId="74F07579" w:rsidR="00B151A8"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 xml:space="preserve">The Age-Inclusive Workplaces event </w:t>
      </w:r>
      <w:proofErr w:type="gramStart"/>
      <w:r w:rsidRPr="00D54876">
        <w:rPr>
          <w:rFonts w:ascii="Times New Roman" w:hAnsi="Times New Roman" w:cs="Times New Roman"/>
          <w:sz w:val="24"/>
          <w:szCs w:val="24"/>
        </w:rPr>
        <w:t>is designed</w:t>
      </w:r>
      <w:proofErr w:type="gramEnd"/>
      <w:r w:rsidRPr="00D54876">
        <w:rPr>
          <w:rFonts w:ascii="Times New Roman" w:hAnsi="Times New Roman" w:cs="Times New Roman"/>
          <w:sz w:val="24"/>
          <w:szCs w:val="24"/>
        </w:rPr>
        <w:t xml:space="preserve"> as a worldwide gathering. Delegates will connect with HR specialists, academics, industry practitioners, and policymakers who </w:t>
      </w:r>
      <w:proofErr w:type="gramStart"/>
      <w:r w:rsidRPr="00D54876">
        <w:rPr>
          <w:rFonts w:ascii="Times New Roman" w:hAnsi="Times New Roman" w:cs="Times New Roman"/>
          <w:sz w:val="24"/>
          <w:szCs w:val="24"/>
        </w:rPr>
        <w:t>are dedicated</w:t>
      </w:r>
      <w:proofErr w:type="gramEnd"/>
      <w:r w:rsidRPr="00D54876">
        <w:rPr>
          <w:rFonts w:ascii="Times New Roman" w:hAnsi="Times New Roman" w:cs="Times New Roman"/>
          <w:sz w:val="24"/>
          <w:szCs w:val="24"/>
        </w:rPr>
        <w:t xml:space="preserve"> to uplifting older workers. The aim is to </w:t>
      </w:r>
      <w:proofErr w:type="gramStart"/>
      <w:r w:rsidRPr="00D54876">
        <w:rPr>
          <w:rFonts w:ascii="Times New Roman" w:hAnsi="Times New Roman" w:cs="Times New Roman"/>
          <w:sz w:val="24"/>
          <w:szCs w:val="24"/>
        </w:rPr>
        <w:t>showcase</w:t>
      </w:r>
      <w:proofErr w:type="gramEnd"/>
      <w:r w:rsidRPr="00D54876">
        <w:rPr>
          <w:rFonts w:ascii="Times New Roman" w:hAnsi="Times New Roman" w:cs="Times New Roman"/>
          <w:sz w:val="24"/>
          <w:szCs w:val="24"/>
        </w:rPr>
        <w:t xml:space="preserve"> the distinctive talents and insights that these employees contribute, alongside policy changes and workplace approaches that can elevate an organization’s success.</w:t>
      </w:r>
      <w:r w:rsidRPr="00D54876">
        <w:rPr>
          <w:rFonts w:ascii="Times New Roman" w:hAnsi="Times New Roman" w:cs="Times New Roman"/>
          <w:sz w:val="24"/>
          <w:szCs w:val="24"/>
        </w:rPr>
        <w:t xml:space="preserve"> </w:t>
      </w:r>
      <w:r w:rsidRPr="00D54876">
        <w:rPr>
          <w:rFonts w:ascii="Times New Roman" w:hAnsi="Times New Roman" w:cs="Times New Roman"/>
          <w:sz w:val="24"/>
          <w:szCs w:val="24"/>
        </w:rPr>
        <w:t xml:space="preserve">Amsterdam is a perfect location due to its ease of access for global travellers, a strong hospitality industry, and the availability of significant venues that feature </w:t>
      </w:r>
      <w:r w:rsidR="003408F3" w:rsidRPr="00D54876">
        <w:rPr>
          <w:rFonts w:ascii="Times New Roman" w:hAnsi="Times New Roman" w:cs="Times New Roman"/>
          <w:sz w:val="24"/>
          <w:szCs w:val="24"/>
        </w:rPr>
        <w:t>innovative</w:t>
      </w:r>
      <w:r w:rsidRPr="00D54876">
        <w:rPr>
          <w:rFonts w:ascii="Times New Roman" w:hAnsi="Times New Roman" w:cs="Times New Roman"/>
          <w:sz w:val="24"/>
          <w:szCs w:val="24"/>
        </w:rPr>
        <w:t xml:space="preserve"> technology (Rai, 2024). This setting also </w:t>
      </w:r>
      <w:proofErr w:type="gramStart"/>
      <w:r w:rsidRPr="00D54876">
        <w:rPr>
          <w:rFonts w:ascii="Times New Roman" w:hAnsi="Times New Roman" w:cs="Times New Roman"/>
          <w:sz w:val="24"/>
          <w:szCs w:val="24"/>
        </w:rPr>
        <w:t>represents</w:t>
      </w:r>
      <w:proofErr w:type="gramEnd"/>
      <w:r w:rsidRPr="00D54876">
        <w:rPr>
          <w:rFonts w:ascii="Times New Roman" w:hAnsi="Times New Roman" w:cs="Times New Roman"/>
          <w:sz w:val="24"/>
          <w:szCs w:val="24"/>
        </w:rPr>
        <w:t xml:space="preserve"> a progressive attitude towards diversity, reflecting the city’s reputation for creativity and cultural openness (Smith, 2012).</w:t>
      </w:r>
    </w:p>
    <w:p w14:paraId="15A4C690" w14:textId="77777777" w:rsidR="00180F91" w:rsidRPr="00D54876" w:rsidRDefault="00180F91" w:rsidP="00D54876">
      <w:pPr>
        <w:spacing w:line="360" w:lineRule="auto"/>
        <w:jc w:val="both"/>
        <w:rPr>
          <w:rFonts w:ascii="Times New Roman" w:hAnsi="Times New Roman" w:cs="Times New Roman"/>
          <w:sz w:val="24"/>
          <w:szCs w:val="24"/>
        </w:rPr>
      </w:pPr>
    </w:p>
    <w:p w14:paraId="6F0EF183" w14:textId="35BF6171" w:rsidR="00180F91" w:rsidRPr="00D54876" w:rsidRDefault="00180F91" w:rsidP="00D54876">
      <w:pPr>
        <w:spacing w:line="360" w:lineRule="auto"/>
        <w:jc w:val="both"/>
        <w:rPr>
          <w:rFonts w:ascii="Times New Roman" w:hAnsi="Times New Roman" w:cs="Times New Roman"/>
          <w:b/>
          <w:bCs/>
          <w:sz w:val="24"/>
          <w:szCs w:val="24"/>
        </w:rPr>
      </w:pPr>
      <w:r w:rsidRPr="00D54876">
        <w:rPr>
          <w:rFonts w:ascii="Times New Roman" w:hAnsi="Times New Roman" w:cs="Times New Roman"/>
          <w:b/>
          <w:bCs/>
          <w:sz w:val="24"/>
          <w:szCs w:val="24"/>
        </w:rPr>
        <w:t>Full-Day Itinerary</w:t>
      </w:r>
    </w:p>
    <w:tbl>
      <w:tblPr>
        <w:tblStyle w:val="TableGrid"/>
        <w:tblW w:w="0" w:type="auto"/>
        <w:tblLook w:val="04A0" w:firstRow="1" w:lastRow="0" w:firstColumn="1" w:lastColumn="0" w:noHBand="0" w:noVBand="1"/>
      </w:tblPr>
      <w:tblGrid>
        <w:gridCol w:w="3005"/>
        <w:gridCol w:w="3005"/>
        <w:gridCol w:w="3006"/>
      </w:tblGrid>
      <w:tr w:rsidR="00D54876" w:rsidRPr="00D54876" w14:paraId="6113AF42" w14:textId="77777777" w:rsidTr="00180F91">
        <w:tc>
          <w:tcPr>
            <w:tcW w:w="3005" w:type="dxa"/>
          </w:tcPr>
          <w:p w14:paraId="191C03A2" w14:textId="717BF174"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Time</w:t>
            </w:r>
          </w:p>
        </w:tc>
        <w:tc>
          <w:tcPr>
            <w:tcW w:w="3005" w:type="dxa"/>
          </w:tcPr>
          <w:p w14:paraId="62C42388" w14:textId="3AEADB30"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Session</w:t>
            </w:r>
          </w:p>
        </w:tc>
        <w:tc>
          <w:tcPr>
            <w:tcW w:w="3006" w:type="dxa"/>
          </w:tcPr>
          <w:p w14:paraId="199415C4" w14:textId="5EE79794"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Details</w:t>
            </w:r>
          </w:p>
        </w:tc>
      </w:tr>
      <w:tr w:rsidR="00D54876" w:rsidRPr="00D54876" w14:paraId="64635EFB" w14:textId="77777777" w:rsidTr="00180F91">
        <w:tc>
          <w:tcPr>
            <w:tcW w:w="3005" w:type="dxa"/>
          </w:tcPr>
          <w:p w14:paraId="4B375383" w14:textId="75AEEC1E"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08:00–09:00</w:t>
            </w:r>
          </w:p>
        </w:tc>
        <w:tc>
          <w:tcPr>
            <w:tcW w:w="3005" w:type="dxa"/>
          </w:tcPr>
          <w:p w14:paraId="248BAEF2" w14:textId="52A5358E"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Registration &amp; Breakfast</w:t>
            </w:r>
          </w:p>
        </w:tc>
        <w:tc>
          <w:tcPr>
            <w:tcW w:w="3006" w:type="dxa"/>
          </w:tcPr>
          <w:p w14:paraId="1DC3320A" w14:textId="27046FC4"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Welcome desk for badge collection; casual networking over morning refreshments</w:t>
            </w:r>
          </w:p>
        </w:tc>
      </w:tr>
      <w:tr w:rsidR="00D54876" w:rsidRPr="00D54876" w14:paraId="071E9EC9" w14:textId="77777777" w:rsidTr="00180F91">
        <w:tc>
          <w:tcPr>
            <w:tcW w:w="3005" w:type="dxa"/>
          </w:tcPr>
          <w:p w14:paraId="533FA99C" w14:textId="70406A3F"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09:00–09:15</w:t>
            </w:r>
          </w:p>
        </w:tc>
        <w:tc>
          <w:tcPr>
            <w:tcW w:w="3005" w:type="dxa"/>
          </w:tcPr>
          <w:p w14:paraId="4C5AAB20" w14:textId="7238EDFE"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Opening Remarks</w:t>
            </w:r>
          </w:p>
        </w:tc>
        <w:tc>
          <w:tcPr>
            <w:tcW w:w="3006" w:type="dxa"/>
          </w:tcPr>
          <w:p w14:paraId="4D63C237" w14:textId="0D0F13E6"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Introduction to event theme; official welcome by the organizing committee</w:t>
            </w:r>
          </w:p>
        </w:tc>
      </w:tr>
      <w:tr w:rsidR="00D54876" w:rsidRPr="00D54876" w14:paraId="0AE663FC" w14:textId="77777777" w:rsidTr="00180F91">
        <w:tc>
          <w:tcPr>
            <w:tcW w:w="3005" w:type="dxa"/>
          </w:tcPr>
          <w:p w14:paraId="3CBE4097" w14:textId="167B2451"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09:15–10:00</w:t>
            </w:r>
          </w:p>
        </w:tc>
        <w:tc>
          <w:tcPr>
            <w:tcW w:w="3005" w:type="dxa"/>
          </w:tcPr>
          <w:p w14:paraId="69C0A3D7" w14:textId="0D2CEF07"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Keynote Presentation</w:t>
            </w:r>
          </w:p>
        </w:tc>
        <w:tc>
          <w:tcPr>
            <w:tcW w:w="3006" w:type="dxa"/>
          </w:tcPr>
          <w:p w14:paraId="1E5A57C8" w14:textId="0FDA8A7B"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HR thought leader addresses global ageing workforce trends; emphasis on practical strategies</w:t>
            </w:r>
          </w:p>
        </w:tc>
      </w:tr>
      <w:tr w:rsidR="00D54876" w:rsidRPr="00D54876" w14:paraId="4A16F498" w14:textId="77777777" w:rsidTr="00180F91">
        <w:tc>
          <w:tcPr>
            <w:tcW w:w="3005" w:type="dxa"/>
          </w:tcPr>
          <w:p w14:paraId="4396633C" w14:textId="4DFF473B"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10:00–10:30</w:t>
            </w:r>
          </w:p>
        </w:tc>
        <w:tc>
          <w:tcPr>
            <w:tcW w:w="3005" w:type="dxa"/>
          </w:tcPr>
          <w:p w14:paraId="7B69C079" w14:textId="555C8543"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Panel: Policy &amp; Legal Frameworks</w:t>
            </w:r>
          </w:p>
        </w:tc>
        <w:tc>
          <w:tcPr>
            <w:tcW w:w="3006" w:type="dxa"/>
          </w:tcPr>
          <w:p w14:paraId="2309CD55" w14:textId="59714B95"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Government officials and policy experts discuss age discrimination laws and retirement reforms</w:t>
            </w:r>
          </w:p>
        </w:tc>
      </w:tr>
      <w:tr w:rsidR="00D54876" w:rsidRPr="00D54876" w14:paraId="180D804A" w14:textId="77777777" w:rsidTr="00180F91">
        <w:tc>
          <w:tcPr>
            <w:tcW w:w="3005" w:type="dxa"/>
          </w:tcPr>
          <w:p w14:paraId="6DB24654" w14:textId="6A6D70B6"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10:30–11:00</w:t>
            </w:r>
          </w:p>
        </w:tc>
        <w:tc>
          <w:tcPr>
            <w:tcW w:w="3005" w:type="dxa"/>
          </w:tcPr>
          <w:p w14:paraId="6B40FFEC" w14:textId="0389F14E"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Networking Coffee Break</w:t>
            </w:r>
          </w:p>
        </w:tc>
        <w:tc>
          <w:tcPr>
            <w:tcW w:w="3006" w:type="dxa"/>
          </w:tcPr>
          <w:p w14:paraId="37A6E0DE" w14:textId="5DFAE220"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Opportunity for informal dialogue with sponsors and peers</w:t>
            </w:r>
          </w:p>
        </w:tc>
      </w:tr>
      <w:tr w:rsidR="00D54876" w:rsidRPr="00D54876" w14:paraId="16710E9B" w14:textId="77777777" w:rsidTr="00180F91">
        <w:tc>
          <w:tcPr>
            <w:tcW w:w="3005" w:type="dxa"/>
          </w:tcPr>
          <w:p w14:paraId="58FF4FFA" w14:textId="7CC1C694"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11:00–12:00</w:t>
            </w:r>
          </w:p>
        </w:tc>
        <w:tc>
          <w:tcPr>
            <w:tcW w:w="3005" w:type="dxa"/>
          </w:tcPr>
          <w:p w14:paraId="55AC1365" w14:textId="30EC1D9E"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Workshop: Age-Inclusive HR Practices</w:t>
            </w:r>
          </w:p>
        </w:tc>
        <w:tc>
          <w:tcPr>
            <w:tcW w:w="3006" w:type="dxa"/>
          </w:tcPr>
          <w:p w14:paraId="4570E0E8" w14:textId="6D3907FE"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Interactive session on integrating older workers into teams; includes group discussions and case study</w:t>
            </w:r>
          </w:p>
        </w:tc>
      </w:tr>
      <w:tr w:rsidR="00D54876" w:rsidRPr="00D54876" w14:paraId="566B542F" w14:textId="77777777" w:rsidTr="00180F91">
        <w:tc>
          <w:tcPr>
            <w:tcW w:w="3005" w:type="dxa"/>
          </w:tcPr>
          <w:p w14:paraId="0A4A207C" w14:textId="3FF4940F"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12:00–13:00</w:t>
            </w:r>
          </w:p>
        </w:tc>
        <w:tc>
          <w:tcPr>
            <w:tcW w:w="3005" w:type="dxa"/>
          </w:tcPr>
          <w:p w14:paraId="58CCF629" w14:textId="24E0D5CC"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Lunch &amp; Exhibition</w:t>
            </w:r>
          </w:p>
        </w:tc>
        <w:tc>
          <w:tcPr>
            <w:tcW w:w="3006" w:type="dxa"/>
          </w:tcPr>
          <w:p w14:paraId="4A0C56D0" w14:textId="6076BE7C"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Delegates examine sponsor booths and sign up for demos; lunch buffet to accommodate dietary needs</w:t>
            </w:r>
          </w:p>
        </w:tc>
      </w:tr>
      <w:tr w:rsidR="00180F91" w:rsidRPr="00D54876" w14:paraId="417052A9" w14:textId="77777777" w:rsidTr="00180F91">
        <w:tc>
          <w:tcPr>
            <w:tcW w:w="3005" w:type="dxa"/>
          </w:tcPr>
          <w:p w14:paraId="5C5BF433" w14:textId="467690E9"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13:00–13:45</w:t>
            </w:r>
          </w:p>
        </w:tc>
        <w:tc>
          <w:tcPr>
            <w:tcW w:w="3005" w:type="dxa"/>
          </w:tcPr>
          <w:p w14:paraId="4EB43DCA" w14:textId="4DA209C5"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Case Studies: Success Stories in Age Inclusion</w:t>
            </w:r>
          </w:p>
        </w:tc>
        <w:tc>
          <w:tcPr>
            <w:tcW w:w="3006" w:type="dxa"/>
          </w:tcPr>
          <w:p w14:paraId="73B3527C" w14:textId="5C5D9D36"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Three companies present outcomes from employing older workers in critical roles</w:t>
            </w:r>
          </w:p>
        </w:tc>
      </w:tr>
      <w:tr w:rsidR="00180F91" w:rsidRPr="00D54876" w14:paraId="4987B1EA" w14:textId="77777777" w:rsidTr="00180F91">
        <w:tc>
          <w:tcPr>
            <w:tcW w:w="3005" w:type="dxa"/>
          </w:tcPr>
          <w:p w14:paraId="349254B3" w14:textId="0E6507DF"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13:45–14:15</w:t>
            </w:r>
          </w:p>
        </w:tc>
        <w:tc>
          <w:tcPr>
            <w:tcW w:w="3005" w:type="dxa"/>
          </w:tcPr>
          <w:p w14:paraId="6CC8191D" w14:textId="54EBB507"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Panel: Technology &amp; Remote Work</w:t>
            </w:r>
          </w:p>
        </w:tc>
        <w:tc>
          <w:tcPr>
            <w:tcW w:w="3006" w:type="dxa"/>
          </w:tcPr>
          <w:p w14:paraId="53784F51" w14:textId="718C9E2A"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Focus on bridging digital divides for older employees; panel shares best practices for upskilling</w:t>
            </w:r>
          </w:p>
        </w:tc>
      </w:tr>
      <w:tr w:rsidR="00180F91" w:rsidRPr="00D54876" w14:paraId="1F824B12" w14:textId="77777777" w:rsidTr="00180F91">
        <w:tc>
          <w:tcPr>
            <w:tcW w:w="3005" w:type="dxa"/>
          </w:tcPr>
          <w:p w14:paraId="6187CA6B" w14:textId="3A9C9C2E"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14:15–14:45</w:t>
            </w:r>
          </w:p>
        </w:tc>
        <w:tc>
          <w:tcPr>
            <w:tcW w:w="3005" w:type="dxa"/>
          </w:tcPr>
          <w:p w14:paraId="316D5F3C" w14:textId="25207258"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Networking Coffee Break</w:t>
            </w:r>
          </w:p>
        </w:tc>
        <w:tc>
          <w:tcPr>
            <w:tcW w:w="3006" w:type="dxa"/>
          </w:tcPr>
          <w:p w14:paraId="4BEB5E02" w14:textId="68CF6771"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 xml:space="preserve">Further sponsor </w:t>
            </w:r>
            <w:proofErr w:type="gramStart"/>
            <w:r w:rsidRPr="00D54876">
              <w:rPr>
                <w:rFonts w:ascii="Times New Roman" w:hAnsi="Times New Roman" w:cs="Times New Roman"/>
                <w:sz w:val="24"/>
                <w:szCs w:val="24"/>
              </w:rPr>
              <w:t>interactions;</w:t>
            </w:r>
            <w:proofErr w:type="gramEnd"/>
            <w:r w:rsidRPr="00D54876">
              <w:rPr>
                <w:rFonts w:ascii="Times New Roman" w:hAnsi="Times New Roman" w:cs="Times New Roman"/>
                <w:sz w:val="24"/>
                <w:szCs w:val="24"/>
              </w:rPr>
              <w:t xml:space="preserve"> delegates share personal insights</w:t>
            </w:r>
          </w:p>
        </w:tc>
      </w:tr>
      <w:tr w:rsidR="00180F91" w:rsidRPr="00D54876" w14:paraId="62B8E430" w14:textId="77777777" w:rsidTr="00180F91">
        <w:tc>
          <w:tcPr>
            <w:tcW w:w="3005" w:type="dxa"/>
          </w:tcPr>
          <w:p w14:paraId="6B9257E0" w14:textId="77C05335"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14:45–15:30</w:t>
            </w:r>
          </w:p>
        </w:tc>
        <w:tc>
          <w:tcPr>
            <w:tcW w:w="3005" w:type="dxa"/>
          </w:tcPr>
          <w:p w14:paraId="68421F63" w14:textId="28450D72"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Roundtable: Real-World Problem Solving</w:t>
            </w:r>
          </w:p>
        </w:tc>
        <w:tc>
          <w:tcPr>
            <w:tcW w:w="3006" w:type="dxa"/>
          </w:tcPr>
          <w:p w14:paraId="4BBB1246" w14:textId="7C21852F"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Small group discussions moderated by HR professionals; identification of practical next steps</w:t>
            </w:r>
          </w:p>
        </w:tc>
      </w:tr>
      <w:tr w:rsidR="00180F91" w:rsidRPr="00D54876" w14:paraId="21D5DEBC" w14:textId="77777777" w:rsidTr="00180F91">
        <w:tc>
          <w:tcPr>
            <w:tcW w:w="3005" w:type="dxa"/>
          </w:tcPr>
          <w:p w14:paraId="57E2CEE6" w14:textId="2CFF53D0"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15:30–16:00</w:t>
            </w:r>
          </w:p>
        </w:tc>
        <w:tc>
          <w:tcPr>
            <w:tcW w:w="3005" w:type="dxa"/>
          </w:tcPr>
          <w:p w14:paraId="33283A34" w14:textId="5A3F103A"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Closing Plenary</w:t>
            </w:r>
          </w:p>
        </w:tc>
        <w:tc>
          <w:tcPr>
            <w:tcW w:w="3006" w:type="dxa"/>
          </w:tcPr>
          <w:p w14:paraId="294D9EE7" w14:textId="405E6DB7"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Recap of key learnings; suggestions for follow-up in participants’ organizations</w:t>
            </w:r>
          </w:p>
        </w:tc>
      </w:tr>
      <w:tr w:rsidR="00D54876" w:rsidRPr="00D54876" w14:paraId="374C7FE7" w14:textId="77777777" w:rsidTr="00180F91">
        <w:tc>
          <w:tcPr>
            <w:tcW w:w="3005" w:type="dxa"/>
          </w:tcPr>
          <w:p w14:paraId="3823CFB7" w14:textId="01A3EDDC"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16:00–17:00</w:t>
            </w:r>
          </w:p>
        </w:tc>
        <w:tc>
          <w:tcPr>
            <w:tcW w:w="3005" w:type="dxa"/>
          </w:tcPr>
          <w:p w14:paraId="50E460E4" w14:textId="08E8C560" w:rsidR="00180F91" w:rsidRPr="00D54876" w:rsidRDefault="00180F91" w:rsidP="00D54876">
            <w:pPr>
              <w:spacing w:line="360" w:lineRule="auto"/>
              <w:jc w:val="both"/>
              <w:rPr>
                <w:rFonts w:ascii="Times New Roman" w:hAnsi="Times New Roman" w:cs="Times New Roman"/>
                <w:sz w:val="24"/>
                <w:szCs w:val="24"/>
              </w:rPr>
            </w:pPr>
            <w:r w:rsidRPr="00D54876">
              <w:rPr>
                <w:rFonts w:ascii="Times New Roman" w:hAnsi="Times New Roman" w:cs="Times New Roman"/>
                <w:sz w:val="24"/>
                <w:szCs w:val="24"/>
              </w:rPr>
              <w:t>Informal Networking</w:t>
            </w:r>
          </w:p>
        </w:tc>
        <w:tc>
          <w:tcPr>
            <w:tcW w:w="3006" w:type="dxa"/>
          </w:tcPr>
          <w:p w14:paraId="6465FA9F" w14:textId="64E8AD0B" w:rsidR="00180F91" w:rsidRPr="00D54876" w:rsidRDefault="00180F91" w:rsidP="00D54876">
            <w:pPr>
              <w:spacing w:line="360" w:lineRule="auto"/>
              <w:jc w:val="both"/>
              <w:rPr>
                <w:rFonts w:ascii="Times New Roman" w:hAnsi="Times New Roman" w:cs="Times New Roman"/>
                <w:sz w:val="24"/>
                <w:szCs w:val="24"/>
              </w:rPr>
            </w:pPr>
            <w:proofErr w:type="gramStart"/>
            <w:r w:rsidRPr="00D54876">
              <w:rPr>
                <w:rFonts w:ascii="Times New Roman" w:hAnsi="Times New Roman" w:cs="Times New Roman"/>
                <w:sz w:val="24"/>
                <w:szCs w:val="24"/>
              </w:rPr>
              <w:t>Additional</w:t>
            </w:r>
            <w:proofErr w:type="gramEnd"/>
            <w:r w:rsidRPr="00D54876">
              <w:rPr>
                <w:rFonts w:ascii="Times New Roman" w:hAnsi="Times New Roman" w:cs="Times New Roman"/>
                <w:sz w:val="24"/>
                <w:szCs w:val="24"/>
              </w:rPr>
              <w:t xml:space="preserve"> networking in a relaxed environment</w:t>
            </w:r>
          </w:p>
        </w:tc>
      </w:tr>
    </w:tbl>
    <w:p w14:paraId="0B0ADB84" w14:textId="77777777" w:rsidR="00180F91" w:rsidRPr="00D54876" w:rsidRDefault="00180F91" w:rsidP="00D54876">
      <w:pPr>
        <w:spacing w:line="360" w:lineRule="auto"/>
        <w:rPr>
          <w:rFonts w:ascii="Times New Roman" w:hAnsi="Times New Roman" w:cs="Times New Roman"/>
          <w:sz w:val="24"/>
          <w:szCs w:val="24"/>
        </w:rPr>
      </w:pPr>
    </w:p>
    <w:p w14:paraId="3C996E2A" w14:textId="595199C4" w:rsidR="00180F91" w:rsidRPr="00D54876" w:rsidRDefault="00180F91" w:rsidP="00D54876">
      <w:pPr>
        <w:pStyle w:val="EU"/>
        <w:numPr>
          <w:ilvl w:val="0"/>
          <w:numId w:val="1"/>
        </w:numPr>
        <w:spacing w:line="360" w:lineRule="auto"/>
        <w:rPr>
          <w:rFonts w:ascii="Times New Roman" w:hAnsi="Times New Roman" w:cs="Times New Roman"/>
          <w:color w:val="auto"/>
        </w:rPr>
      </w:pPr>
      <w:bookmarkStart w:id="3" w:name="_Toc191676503"/>
      <w:r w:rsidRPr="00D54876">
        <w:rPr>
          <w:rFonts w:ascii="Times New Roman" w:hAnsi="Times New Roman" w:cs="Times New Roman"/>
          <w:color w:val="auto"/>
        </w:rPr>
        <w:t>AIM AND OBJECTIVES</w:t>
      </w:r>
      <w:bookmarkEnd w:id="3"/>
    </w:p>
    <w:p w14:paraId="4649F76F" w14:textId="768BE1A4" w:rsidR="00180F91" w:rsidRPr="00D54876" w:rsidRDefault="00180F91"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 xml:space="preserve">The overall aim of this proposed meeting is to equip organizations, policymakers, and HR leaders with targeted strategies that highlight the potential contributions of older employees, thereby promoting workplace environments that are both diverse and productive. From this overarching purpose, three distinct SMART </w:t>
      </w:r>
      <w:proofErr w:type="gramStart"/>
      <w:r w:rsidRPr="00D54876">
        <w:rPr>
          <w:rFonts w:ascii="Times New Roman" w:hAnsi="Times New Roman" w:cs="Times New Roman"/>
          <w:sz w:val="24"/>
          <w:szCs w:val="24"/>
          <w:lang w:eastAsia="en-GB"/>
        </w:rPr>
        <w:t>objectives</w:t>
      </w:r>
      <w:proofErr w:type="gramEnd"/>
      <w:r w:rsidRPr="00D54876">
        <w:rPr>
          <w:rFonts w:ascii="Times New Roman" w:hAnsi="Times New Roman" w:cs="Times New Roman"/>
          <w:sz w:val="24"/>
          <w:szCs w:val="24"/>
          <w:lang w:eastAsia="en-GB"/>
        </w:rPr>
        <w:t xml:space="preserve"> have been formulated to ensure systematic progress and measurable outcomes. First, the event aspires to elevate delegate awareness by </w:t>
      </w:r>
      <w:proofErr w:type="gramStart"/>
      <w:r w:rsidRPr="00D54876">
        <w:rPr>
          <w:rFonts w:ascii="Times New Roman" w:hAnsi="Times New Roman" w:cs="Times New Roman"/>
          <w:sz w:val="24"/>
          <w:szCs w:val="24"/>
          <w:lang w:eastAsia="en-GB"/>
        </w:rPr>
        <w:t>showcasing</w:t>
      </w:r>
      <w:proofErr w:type="gramEnd"/>
      <w:r w:rsidRPr="00D54876">
        <w:rPr>
          <w:rFonts w:ascii="Times New Roman" w:hAnsi="Times New Roman" w:cs="Times New Roman"/>
          <w:sz w:val="24"/>
          <w:szCs w:val="24"/>
          <w:lang w:eastAsia="en-GB"/>
        </w:rPr>
        <w:t xml:space="preserve"> at least three successful organizational models of age-inclusive HR practices. This focus is specific in its intent to directly address older worker integration, and it is measurable through the presentation of exactly three frameworks or case studies. Because industry experts will share firsthand data, the goal </w:t>
      </w:r>
      <w:proofErr w:type="gramStart"/>
      <w:r w:rsidRPr="00D54876">
        <w:rPr>
          <w:rFonts w:ascii="Times New Roman" w:hAnsi="Times New Roman" w:cs="Times New Roman"/>
          <w:sz w:val="24"/>
          <w:szCs w:val="24"/>
          <w:lang w:eastAsia="en-GB"/>
        </w:rPr>
        <w:t>remains</w:t>
      </w:r>
      <w:proofErr w:type="gramEnd"/>
      <w:r w:rsidRPr="00D54876">
        <w:rPr>
          <w:rFonts w:ascii="Times New Roman" w:hAnsi="Times New Roman" w:cs="Times New Roman"/>
          <w:sz w:val="24"/>
          <w:szCs w:val="24"/>
          <w:lang w:eastAsia="en-GB"/>
        </w:rPr>
        <w:t xml:space="preserve"> achievable, while its relevance clearly aligns with the central theme of age inclusion</w:t>
      </w:r>
      <w:r w:rsidR="003408F3" w:rsidRPr="00D54876">
        <w:rPr>
          <w:rFonts w:ascii="Times New Roman" w:hAnsi="Times New Roman" w:cs="Times New Roman"/>
          <w:sz w:val="24"/>
          <w:szCs w:val="24"/>
          <w:lang w:eastAsia="en-GB"/>
        </w:rPr>
        <w:t xml:space="preserve"> (Bladen et al., 2022)</w:t>
      </w:r>
      <w:r w:rsidRPr="00D54876">
        <w:rPr>
          <w:rFonts w:ascii="Times New Roman" w:hAnsi="Times New Roman" w:cs="Times New Roman"/>
          <w:sz w:val="24"/>
          <w:szCs w:val="24"/>
          <w:lang w:eastAsia="en-GB"/>
        </w:rPr>
        <w:t xml:space="preserve">. The initiative is time-bound, aiming for completion by the end of the conference day. Second, the event targets an enhanced level of professional networking by enabling at least 70% of attendees to exchange contact details with two or more new peers. This element is specific in its concentration on forging professional connections and </w:t>
      </w:r>
      <w:proofErr w:type="gramStart"/>
      <w:r w:rsidRPr="00D54876">
        <w:rPr>
          <w:rFonts w:ascii="Times New Roman" w:hAnsi="Times New Roman" w:cs="Times New Roman"/>
          <w:sz w:val="24"/>
          <w:szCs w:val="24"/>
          <w:lang w:eastAsia="en-GB"/>
        </w:rPr>
        <w:t>is made</w:t>
      </w:r>
      <w:proofErr w:type="gramEnd"/>
      <w:r w:rsidRPr="00D54876">
        <w:rPr>
          <w:rFonts w:ascii="Times New Roman" w:hAnsi="Times New Roman" w:cs="Times New Roman"/>
          <w:sz w:val="24"/>
          <w:szCs w:val="24"/>
          <w:lang w:eastAsia="en-GB"/>
        </w:rPr>
        <w:t xml:space="preserve"> measurable through exit surveys and digital badge-scanning, ensuring each participant’s new interactions can be quantified. Multiple networking sessions and </w:t>
      </w:r>
      <w:proofErr w:type="gramStart"/>
      <w:r w:rsidRPr="00D54876">
        <w:rPr>
          <w:rFonts w:ascii="Times New Roman" w:hAnsi="Times New Roman" w:cs="Times New Roman"/>
          <w:sz w:val="24"/>
          <w:szCs w:val="24"/>
          <w:lang w:eastAsia="en-GB"/>
        </w:rPr>
        <w:t>allocated</w:t>
      </w:r>
      <w:proofErr w:type="gramEnd"/>
      <w:r w:rsidRPr="00D54876">
        <w:rPr>
          <w:rFonts w:ascii="Times New Roman" w:hAnsi="Times New Roman" w:cs="Times New Roman"/>
          <w:sz w:val="24"/>
          <w:szCs w:val="24"/>
          <w:lang w:eastAsia="en-GB"/>
        </w:rPr>
        <w:t xml:space="preserve"> physical spaces help maintain achievability, while the objective’s relevance is anchored in fostering collaboration and knowledge exchange. Time-bound tracking ensures these contacts </w:t>
      </w:r>
      <w:proofErr w:type="gramStart"/>
      <w:r w:rsidRPr="00D54876">
        <w:rPr>
          <w:rFonts w:ascii="Times New Roman" w:hAnsi="Times New Roman" w:cs="Times New Roman"/>
          <w:sz w:val="24"/>
          <w:szCs w:val="24"/>
          <w:lang w:eastAsia="en-GB"/>
        </w:rPr>
        <w:t>are assessed</w:t>
      </w:r>
      <w:proofErr w:type="gramEnd"/>
      <w:r w:rsidRPr="00D54876">
        <w:rPr>
          <w:rFonts w:ascii="Times New Roman" w:hAnsi="Times New Roman" w:cs="Times New Roman"/>
          <w:sz w:val="24"/>
          <w:szCs w:val="24"/>
          <w:lang w:eastAsia="en-GB"/>
        </w:rPr>
        <w:t xml:space="preserve"> before the event concludes. Finally, the organizers will create and circulate a digital post-event resource guide, which will include guidance on recommended policies and age-inclusion support services. This final </w:t>
      </w:r>
      <w:proofErr w:type="gramStart"/>
      <w:r w:rsidRPr="00D54876">
        <w:rPr>
          <w:rFonts w:ascii="Times New Roman" w:hAnsi="Times New Roman" w:cs="Times New Roman"/>
          <w:sz w:val="24"/>
          <w:szCs w:val="24"/>
          <w:lang w:eastAsia="en-GB"/>
        </w:rPr>
        <w:t>objective</w:t>
      </w:r>
      <w:proofErr w:type="gramEnd"/>
      <w:r w:rsidRPr="00D54876">
        <w:rPr>
          <w:rFonts w:ascii="Times New Roman" w:hAnsi="Times New Roman" w:cs="Times New Roman"/>
          <w:sz w:val="24"/>
          <w:szCs w:val="24"/>
          <w:lang w:eastAsia="en-GB"/>
        </w:rPr>
        <w:t xml:space="preserve"> is specific to the distribution of EDI-related strategies, measurable through the delivery of a downloadable resource, and achievable through the collective efforts of an editorial team</w:t>
      </w:r>
      <w:r w:rsidR="003408F3" w:rsidRPr="00D54876">
        <w:rPr>
          <w:rFonts w:ascii="Times New Roman" w:hAnsi="Times New Roman" w:cs="Times New Roman"/>
          <w:sz w:val="24"/>
          <w:szCs w:val="24"/>
          <w:lang w:eastAsia="en-GB"/>
        </w:rPr>
        <w:t xml:space="preserve"> (Bowdin et al., 2023)</w:t>
      </w:r>
      <w:r w:rsidRPr="00D54876">
        <w:rPr>
          <w:rFonts w:ascii="Times New Roman" w:hAnsi="Times New Roman" w:cs="Times New Roman"/>
          <w:sz w:val="24"/>
          <w:szCs w:val="24"/>
          <w:lang w:eastAsia="en-GB"/>
        </w:rPr>
        <w:t xml:space="preserve">. Its relevance lies in reinforcing the conference’s themes in participants’ everyday work environments, and it is time-bound by a deadline set one week following the event. Taken together, these </w:t>
      </w:r>
      <w:proofErr w:type="gramStart"/>
      <w:r w:rsidRPr="00D54876">
        <w:rPr>
          <w:rFonts w:ascii="Times New Roman" w:hAnsi="Times New Roman" w:cs="Times New Roman"/>
          <w:sz w:val="24"/>
          <w:szCs w:val="24"/>
          <w:lang w:eastAsia="en-GB"/>
        </w:rPr>
        <w:t>objectives</w:t>
      </w:r>
      <w:proofErr w:type="gramEnd"/>
      <w:r w:rsidRPr="00D54876">
        <w:rPr>
          <w:rFonts w:ascii="Times New Roman" w:hAnsi="Times New Roman" w:cs="Times New Roman"/>
          <w:sz w:val="24"/>
          <w:szCs w:val="24"/>
          <w:lang w:eastAsia="en-GB"/>
        </w:rPr>
        <w:t xml:space="preserve"> reflect the meeting’s central intent to share knowledge, connect stakeholders, and cultivate longer-term outcomes (Getz and Page, 2019). By embedding precise and trackable measures, organizers can judge whether the conference fosters meaningful growth in age-inclusive practices.</w:t>
      </w:r>
    </w:p>
    <w:p w14:paraId="3981189B" w14:textId="3C6EA3B2" w:rsidR="00180F91" w:rsidRPr="00D54876" w:rsidRDefault="00EC3536" w:rsidP="00D54876">
      <w:pPr>
        <w:pStyle w:val="EU"/>
        <w:numPr>
          <w:ilvl w:val="0"/>
          <w:numId w:val="1"/>
        </w:numPr>
        <w:spacing w:line="360" w:lineRule="auto"/>
        <w:rPr>
          <w:rFonts w:ascii="Times New Roman" w:hAnsi="Times New Roman" w:cs="Times New Roman"/>
          <w:color w:val="auto"/>
        </w:rPr>
      </w:pPr>
      <w:bookmarkStart w:id="4" w:name="_Toc191676504"/>
      <w:r w:rsidRPr="00D54876">
        <w:rPr>
          <w:rFonts w:ascii="Times New Roman" w:hAnsi="Times New Roman" w:cs="Times New Roman"/>
          <w:color w:val="auto"/>
        </w:rPr>
        <w:t>EVENT MANAGEMENT</w:t>
      </w:r>
      <w:bookmarkEnd w:id="4"/>
    </w:p>
    <w:p w14:paraId="1EA64AA6" w14:textId="1F5AE852" w:rsidR="00180F91"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 xml:space="preserve">Successful event management depends on a comprehensive approach that weaves together operational planning, resource coordination, marketing initiatives, and backup strategies to guarantee smooth execution and </w:t>
      </w:r>
      <w:proofErr w:type="gramStart"/>
      <w:r w:rsidRPr="00D54876">
        <w:rPr>
          <w:rFonts w:ascii="Times New Roman" w:hAnsi="Times New Roman" w:cs="Times New Roman"/>
          <w:sz w:val="24"/>
          <w:szCs w:val="24"/>
          <w:lang w:eastAsia="en-GB"/>
        </w:rPr>
        <w:t>maintain</w:t>
      </w:r>
      <w:proofErr w:type="gramEnd"/>
      <w:r w:rsidRPr="00D54876">
        <w:rPr>
          <w:rFonts w:ascii="Times New Roman" w:hAnsi="Times New Roman" w:cs="Times New Roman"/>
          <w:sz w:val="24"/>
          <w:szCs w:val="24"/>
          <w:lang w:eastAsia="en-GB"/>
        </w:rPr>
        <w:t xml:space="preserve"> the event’s reputation (Meredith, 2022). In the setting of a global gathering focused on age-inclusive workplaces, choosing the right venue is essential, as the selected space should cater to the varied needs of all participants. This involves offering ramps, hearing loop systems, and various accessibility solutions, a method </w:t>
      </w:r>
      <w:proofErr w:type="gramStart"/>
      <w:r w:rsidRPr="00D54876">
        <w:rPr>
          <w:rFonts w:ascii="Times New Roman" w:hAnsi="Times New Roman" w:cs="Times New Roman"/>
          <w:sz w:val="24"/>
          <w:szCs w:val="24"/>
          <w:lang w:eastAsia="en-GB"/>
        </w:rPr>
        <w:t>showcased</w:t>
      </w:r>
      <w:proofErr w:type="gramEnd"/>
      <w:r w:rsidRPr="00D54876">
        <w:rPr>
          <w:rFonts w:ascii="Times New Roman" w:hAnsi="Times New Roman" w:cs="Times New Roman"/>
          <w:sz w:val="24"/>
          <w:szCs w:val="24"/>
          <w:lang w:eastAsia="en-GB"/>
        </w:rPr>
        <w:t xml:space="preserve"> by the Amsterdam RAI centre, known for its welcoming design and contemporary infrastructure (Smith, 2012). Alongside a welcoming atmosphere, having the right staff </w:t>
      </w:r>
      <w:proofErr w:type="gramStart"/>
      <w:r w:rsidRPr="00D54876">
        <w:rPr>
          <w:rFonts w:ascii="Times New Roman" w:hAnsi="Times New Roman" w:cs="Times New Roman"/>
          <w:sz w:val="24"/>
          <w:szCs w:val="24"/>
          <w:lang w:eastAsia="en-GB"/>
        </w:rPr>
        <w:t>is</w:t>
      </w:r>
      <w:proofErr w:type="gramEnd"/>
      <w:r w:rsidRPr="00D54876">
        <w:rPr>
          <w:rFonts w:ascii="Times New Roman" w:hAnsi="Times New Roman" w:cs="Times New Roman"/>
          <w:sz w:val="24"/>
          <w:szCs w:val="24"/>
          <w:lang w:eastAsia="en-GB"/>
        </w:rPr>
        <w:t xml:space="preserve"> essential: organisers need individuals who are skilled in engaging with diverse age groups, as well as volunteers for ushering, registration, and technical support who can assist older attendees when needed (O’Toole, 2011). Careful scheduling enhances operational efficiency, especially when arranging thoughtful breaks and time buffers to avoid fatigue for older attendees and reduce stress for speakers</w:t>
      </w:r>
      <w:r w:rsidR="003408F3" w:rsidRPr="00D54876">
        <w:rPr>
          <w:rFonts w:ascii="Times New Roman" w:hAnsi="Times New Roman" w:cs="Times New Roman"/>
          <w:sz w:val="24"/>
          <w:szCs w:val="24"/>
          <w:lang w:eastAsia="en-GB"/>
        </w:rPr>
        <w:t xml:space="preserve">. </w:t>
      </w:r>
      <w:r w:rsidRPr="00D54876">
        <w:rPr>
          <w:rFonts w:ascii="Times New Roman" w:hAnsi="Times New Roman" w:cs="Times New Roman"/>
          <w:sz w:val="24"/>
          <w:szCs w:val="24"/>
          <w:lang w:eastAsia="en-GB"/>
        </w:rPr>
        <w:t>In addition to these practical considerations, a successful event involves meeting dietary needs, checking transportation options, and arranging hotel stays that cater to each delegate’s travel and mobility preferences (Rogers and Wynn-Moylan, 2022).</w:t>
      </w:r>
      <w:r w:rsidRPr="00D54876">
        <w:rPr>
          <w:rFonts w:ascii="Times New Roman" w:hAnsi="Times New Roman" w:cs="Times New Roman"/>
          <w:sz w:val="24"/>
          <w:szCs w:val="24"/>
          <w:lang w:eastAsia="en-GB"/>
        </w:rPr>
        <w:t xml:space="preserve"> </w:t>
      </w:r>
      <w:r w:rsidRPr="00D54876">
        <w:rPr>
          <w:rFonts w:ascii="Times New Roman" w:hAnsi="Times New Roman" w:cs="Times New Roman"/>
          <w:sz w:val="24"/>
          <w:szCs w:val="24"/>
          <w:lang w:eastAsia="en-GB"/>
        </w:rPr>
        <w:t xml:space="preserve">Strong marketing efforts are essential for attracting delegates, securing sponsorships, and enhancing brand visibility (Gerritsen and van </w:t>
      </w:r>
      <w:proofErr w:type="spellStart"/>
      <w:r w:rsidRPr="00D54876">
        <w:rPr>
          <w:rFonts w:ascii="Times New Roman" w:hAnsi="Times New Roman" w:cs="Times New Roman"/>
          <w:sz w:val="24"/>
          <w:szCs w:val="24"/>
          <w:lang w:eastAsia="en-GB"/>
        </w:rPr>
        <w:t>Olderen</w:t>
      </w:r>
      <w:proofErr w:type="spellEnd"/>
      <w:r w:rsidRPr="00D54876">
        <w:rPr>
          <w:rFonts w:ascii="Times New Roman" w:hAnsi="Times New Roman" w:cs="Times New Roman"/>
          <w:sz w:val="24"/>
          <w:szCs w:val="24"/>
          <w:lang w:eastAsia="en-GB"/>
        </w:rPr>
        <w:t xml:space="preserve">, 2020). Highlighting the theme of age diversity connects with senior HR professionals and government agencies focused on inclusive policies, creating a demand for specific digital outreach. Event planners </w:t>
      </w:r>
      <w:proofErr w:type="gramStart"/>
      <w:r w:rsidRPr="00D54876">
        <w:rPr>
          <w:rFonts w:ascii="Times New Roman" w:hAnsi="Times New Roman" w:cs="Times New Roman"/>
          <w:sz w:val="24"/>
          <w:szCs w:val="24"/>
          <w:lang w:eastAsia="en-GB"/>
        </w:rPr>
        <w:t>frequently</w:t>
      </w:r>
      <w:proofErr w:type="gramEnd"/>
      <w:r w:rsidRPr="00D54876">
        <w:rPr>
          <w:rFonts w:ascii="Times New Roman" w:hAnsi="Times New Roman" w:cs="Times New Roman"/>
          <w:sz w:val="24"/>
          <w:szCs w:val="24"/>
          <w:lang w:eastAsia="en-GB"/>
        </w:rPr>
        <w:t xml:space="preserve"> offer early-bird rates and special discount packages to motivate prompt registrations, helping to ensure more precise budgeting and logistical forecasts (Wang and Jin, 2019). Working together with organisations like the Chartered Institute of Personnel and Development (CIPD) or the Society for Human Resource Management (SHRM) can enhance the event’s visibility, as these groups offer avenues to promote sponsorship opportunities and draw in skilled speakers and participants (Fan et al., 2023).</w:t>
      </w:r>
      <w:r w:rsidRPr="00D54876">
        <w:rPr>
          <w:rFonts w:ascii="Times New Roman" w:hAnsi="Times New Roman" w:cs="Times New Roman"/>
          <w:sz w:val="24"/>
          <w:szCs w:val="24"/>
          <w:lang w:eastAsia="en-GB"/>
        </w:rPr>
        <w:t xml:space="preserve"> </w:t>
      </w:r>
      <w:r w:rsidRPr="00D54876">
        <w:rPr>
          <w:rFonts w:ascii="Times New Roman" w:hAnsi="Times New Roman" w:cs="Times New Roman"/>
          <w:sz w:val="24"/>
          <w:szCs w:val="24"/>
          <w:lang w:eastAsia="en-GB"/>
        </w:rPr>
        <w:t xml:space="preserve">In addition to thoughtfully designed promotional strategies, evaluating potential risks and preparing for unforeseen circumstances are crucial for </w:t>
      </w:r>
      <w:proofErr w:type="gramStart"/>
      <w:r w:rsidRPr="00D54876">
        <w:rPr>
          <w:rFonts w:ascii="Times New Roman" w:hAnsi="Times New Roman" w:cs="Times New Roman"/>
          <w:sz w:val="24"/>
          <w:szCs w:val="24"/>
          <w:lang w:eastAsia="en-GB"/>
        </w:rPr>
        <w:t>maintaining</w:t>
      </w:r>
      <w:proofErr w:type="gramEnd"/>
      <w:r w:rsidRPr="00D54876">
        <w:rPr>
          <w:rFonts w:ascii="Times New Roman" w:hAnsi="Times New Roman" w:cs="Times New Roman"/>
          <w:sz w:val="24"/>
          <w:szCs w:val="24"/>
          <w:lang w:eastAsia="en-GB"/>
        </w:rPr>
        <w:t xml:space="preserve"> the event’s integrity (Mair, 2024). An adaptable lineup of reserve speakers or versatile panel formats can help lessen the effects of unexpected cancellations, making sure that sessions continue to be meaningful and engaging for everyone involved (Getz and Page, 2019). On-site technical support and easy access to backup equipment allow for swift solutions to unforeseen audio-visual issues, while </w:t>
      </w:r>
      <w:proofErr w:type="gramStart"/>
      <w:r w:rsidRPr="00D54876">
        <w:rPr>
          <w:rFonts w:ascii="Times New Roman" w:hAnsi="Times New Roman" w:cs="Times New Roman"/>
          <w:sz w:val="24"/>
          <w:szCs w:val="24"/>
          <w:lang w:eastAsia="en-GB"/>
        </w:rPr>
        <w:t>handling</w:t>
      </w:r>
      <w:proofErr w:type="gramEnd"/>
      <w:r w:rsidRPr="00D54876">
        <w:rPr>
          <w:rFonts w:ascii="Times New Roman" w:hAnsi="Times New Roman" w:cs="Times New Roman"/>
          <w:sz w:val="24"/>
          <w:szCs w:val="24"/>
          <w:lang w:eastAsia="en-GB"/>
        </w:rPr>
        <w:t xml:space="preserve"> travel disruptions might require arranging adaptable hotel check-in options and enabling remote participation through video links (Meredith, 2022). These steps </w:t>
      </w:r>
      <w:proofErr w:type="gramStart"/>
      <w:r w:rsidRPr="00D54876">
        <w:rPr>
          <w:rFonts w:ascii="Times New Roman" w:hAnsi="Times New Roman" w:cs="Times New Roman"/>
          <w:sz w:val="24"/>
          <w:szCs w:val="24"/>
          <w:lang w:eastAsia="en-GB"/>
        </w:rPr>
        <w:t>are designed</w:t>
      </w:r>
      <w:proofErr w:type="gramEnd"/>
      <w:r w:rsidRPr="00D54876">
        <w:rPr>
          <w:rFonts w:ascii="Times New Roman" w:hAnsi="Times New Roman" w:cs="Times New Roman"/>
          <w:sz w:val="24"/>
          <w:szCs w:val="24"/>
          <w:lang w:eastAsia="en-GB"/>
        </w:rPr>
        <w:t xml:space="preserve"> to reduce interruptions and provide comfort to delegates, ensuring that their experience, whether attending in person or online, is rewarding and well-organised. By blending careful operational management, thoughtful marketing, and clear contingency plans, organisers can foster a space where older employees, HR practitioners, and policymakers can focus on essential conversations about age-inclusion, free from logistical or technical distractions. This thorough attention to every aspect establishes the event as a premier venue where the sharing of knowledge </w:t>
      </w:r>
      <w:proofErr w:type="gramStart"/>
      <w:r w:rsidRPr="00D54876">
        <w:rPr>
          <w:rFonts w:ascii="Times New Roman" w:hAnsi="Times New Roman" w:cs="Times New Roman"/>
          <w:sz w:val="24"/>
          <w:szCs w:val="24"/>
          <w:lang w:eastAsia="en-GB"/>
        </w:rPr>
        <w:t>thrives</w:t>
      </w:r>
      <w:proofErr w:type="gramEnd"/>
      <w:r w:rsidRPr="00D54876">
        <w:rPr>
          <w:rFonts w:ascii="Times New Roman" w:hAnsi="Times New Roman" w:cs="Times New Roman"/>
          <w:sz w:val="24"/>
          <w:szCs w:val="24"/>
          <w:lang w:eastAsia="en-GB"/>
        </w:rPr>
        <w:t xml:space="preserve"> and practical insights foster genuine enhancements in age-friendly workplace practices.</w:t>
      </w:r>
    </w:p>
    <w:p w14:paraId="263F7A78" w14:textId="3509E918" w:rsidR="00EC3536" w:rsidRPr="00D54876" w:rsidRDefault="00EC3536" w:rsidP="00D54876">
      <w:pPr>
        <w:pStyle w:val="EU"/>
        <w:numPr>
          <w:ilvl w:val="0"/>
          <w:numId w:val="1"/>
        </w:numPr>
        <w:spacing w:line="360" w:lineRule="auto"/>
        <w:rPr>
          <w:rFonts w:ascii="Times New Roman" w:hAnsi="Times New Roman" w:cs="Times New Roman"/>
          <w:color w:val="auto"/>
        </w:rPr>
      </w:pPr>
      <w:bookmarkStart w:id="5" w:name="_Toc191676505"/>
      <w:r w:rsidRPr="00D54876">
        <w:rPr>
          <w:rFonts w:ascii="Times New Roman" w:hAnsi="Times New Roman" w:cs="Times New Roman"/>
          <w:color w:val="auto"/>
        </w:rPr>
        <w:t>EVENT BUDGET</w:t>
      </w:r>
      <w:bookmarkEnd w:id="5"/>
    </w:p>
    <w:tbl>
      <w:tblPr>
        <w:tblStyle w:val="TableGrid"/>
        <w:tblW w:w="0" w:type="auto"/>
        <w:tblLook w:val="04A0" w:firstRow="1" w:lastRow="0" w:firstColumn="1" w:lastColumn="0" w:noHBand="0" w:noVBand="1"/>
      </w:tblPr>
      <w:tblGrid>
        <w:gridCol w:w="2254"/>
        <w:gridCol w:w="2254"/>
        <w:gridCol w:w="2254"/>
        <w:gridCol w:w="2254"/>
      </w:tblGrid>
      <w:tr w:rsidR="00D54876" w:rsidRPr="00D54876" w14:paraId="495AFE0D" w14:textId="77777777" w:rsidTr="00EC3536">
        <w:tc>
          <w:tcPr>
            <w:tcW w:w="2254" w:type="dxa"/>
          </w:tcPr>
          <w:p w14:paraId="595DE018" w14:textId="20735AD3"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Budget Item</w:t>
            </w:r>
          </w:p>
        </w:tc>
        <w:tc>
          <w:tcPr>
            <w:tcW w:w="2254" w:type="dxa"/>
          </w:tcPr>
          <w:p w14:paraId="016AF0E8" w14:textId="04700CD3"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Income (EUR)</w:t>
            </w:r>
          </w:p>
        </w:tc>
        <w:tc>
          <w:tcPr>
            <w:tcW w:w="2254" w:type="dxa"/>
          </w:tcPr>
          <w:p w14:paraId="7EA8B53E" w14:textId="59A8A8A8"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Expenditure (EUR)</w:t>
            </w:r>
          </w:p>
        </w:tc>
        <w:tc>
          <w:tcPr>
            <w:tcW w:w="2254" w:type="dxa"/>
          </w:tcPr>
          <w:p w14:paraId="293DF7DF" w14:textId="365B231A"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Details</w:t>
            </w:r>
          </w:p>
        </w:tc>
      </w:tr>
      <w:tr w:rsidR="00D54876" w:rsidRPr="00D54876" w14:paraId="1114A413" w14:textId="77777777" w:rsidTr="00EC3536">
        <w:tc>
          <w:tcPr>
            <w:tcW w:w="2254" w:type="dxa"/>
          </w:tcPr>
          <w:p w14:paraId="42D122F9" w14:textId="615E6FC4"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Delegate Registration</w:t>
            </w:r>
          </w:p>
        </w:tc>
        <w:tc>
          <w:tcPr>
            <w:tcW w:w="2254" w:type="dxa"/>
          </w:tcPr>
          <w:p w14:paraId="6C3773A9" w14:textId="7EF28B70"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30,000</w:t>
            </w:r>
          </w:p>
        </w:tc>
        <w:tc>
          <w:tcPr>
            <w:tcW w:w="2254" w:type="dxa"/>
          </w:tcPr>
          <w:p w14:paraId="265D05FE" w14:textId="39DC54B4"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w:t>
            </w:r>
          </w:p>
        </w:tc>
        <w:tc>
          <w:tcPr>
            <w:tcW w:w="2254" w:type="dxa"/>
          </w:tcPr>
          <w:p w14:paraId="59BBB4D1" w14:textId="54AA5189"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200 attendees x €150 each</w:t>
            </w:r>
          </w:p>
        </w:tc>
      </w:tr>
      <w:tr w:rsidR="00D54876" w:rsidRPr="00D54876" w14:paraId="6671D11A" w14:textId="77777777" w:rsidTr="00EC3536">
        <w:tc>
          <w:tcPr>
            <w:tcW w:w="2254" w:type="dxa"/>
          </w:tcPr>
          <w:p w14:paraId="5FE720D3" w14:textId="2506CDF0"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Sponsorships (Gold x3)</w:t>
            </w:r>
          </w:p>
        </w:tc>
        <w:tc>
          <w:tcPr>
            <w:tcW w:w="2254" w:type="dxa"/>
          </w:tcPr>
          <w:p w14:paraId="40E33A22" w14:textId="11172983"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15,000</w:t>
            </w:r>
          </w:p>
        </w:tc>
        <w:tc>
          <w:tcPr>
            <w:tcW w:w="2254" w:type="dxa"/>
          </w:tcPr>
          <w:p w14:paraId="683A1160" w14:textId="40A03858"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w:t>
            </w:r>
          </w:p>
        </w:tc>
        <w:tc>
          <w:tcPr>
            <w:tcW w:w="2254" w:type="dxa"/>
          </w:tcPr>
          <w:p w14:paraId="16B986B7" w14:textId="5D9E52D2"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Three sponsors at €5,000</w:t>
            </w:r>
          </w:p>
        </w:tc>
      </w:tr>
      <w:tr w:rsidR="00D54876" w:rsidRPr="00D54876" w14:paraId="5A4486E4" w14:textId="77777777" w:rsidTr="00EC3536">
        <w:tc>
          <w:tcPr>
            <w:tcW w:w="2254" w:type="dxa"/>
          </w:tcPr>
          <w:p w14:paraId="376FBC3F" w14:textId="1DDC2DBD"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Sponsorships (Silver x5)</w:t>
            </w:r>
          </w:p>
        </w:tc>
        <w:tc>
          <w:tcPr>
            <w:tcW w:w="2254" w:type="dxa"/>
          </w:tcPr>
          <w:p w14:paraId="549582A5" w14:textId="22D37145"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10,000</w:t>
            </w:r>
          </w:p>
        </w:tc>
        <w:tc>
          <w:tcPr>
            <w:tcW w:w="2254" w:type="dxa"/>
          </w:tcPr>
          <w:p w14:paraId="06C1D1E8" w14:textId="24AD3418"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w:t>
            </w:r>
          </w:p>
        </w:tc>
        <w:tc>
          <w:tcPr>
            <w:tcW w:w="2254" w:type="dxa"/>
          </w:tcPr>
          <w:p w14:paraId="549E5C37" w14:textId="23B42FE6"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Five sponsors at €2,000</w:t>
            </w:r>
          </w:p>
        </w:tc>
      </w:tr>
      <w:tr w:rsidR="00D54876" w:rsidRPr="00D54876" w14:paraId="42B4ED95" w14:textId="77777777" w:rsidTr="00EC3536">
        <w:tc>
          <w:tcPr>
            <w:tcW w:w="2254" w:type="dxa"/>
          </w:tcPr>
          <w:p w14:paraId="11F7BBA9" w14:textId="529E405A"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Exhibition Booths (10)</w:t>
            </w:r>
          </w:p>
        </w:tc>
        <w:tc>
          <w:tcPr>
            <w:tcW w:w="2254" w:type="dxa"/>
          </w:tcPr>
          <w:p w14:paraId="67E70C46" w14:textId="1C17A692"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10,000</w:t>
            </w:r>
          </w:p>
        </w:tc>
        <w:tc>
          <w:tcPr>
            <w:tcW w:w="2254" w:type="dxa"/>
          </w:tcPr>
          <w:p w14:paraId="25CEB704" w14:textId="525DFBC4"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w:t>
            </w:r>
          </w:p>
        </w:tc>
        <w:tc>
          <w:tcPr>
            <w:tcW w:w="2254" w:type="dxa"/>
          </w:tcPr>
          <w:p w14:paraId="064FE947" w14:textId="7A90680A"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10 booths at €1,000</w:t>
            </w:r>
          </w:p>
        </w:tc>
      </w:tr>
      <w:tr w:rsidR="00D54876" w:rsidRPr="00D54876" w14:paraId="15C6F339" w14:textId="77777777" w:rsidTr="00EC3536">
        <w:tc>
          <w:tcPr>
            <w:tcW w:w="2254" w:type="dxa"/>
          </w:tcPr>
          <w:p w14:paraId="320B4E16" w14:textId="10F43FAC"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Media/Advertising</w:t>
            </w:r>
          </w:p>
        </w:tc>
        <w:tc>
          <w:tcPr>
            <w:tcW w:w="2254" w:type="dxa"/>
          </w:tcPr>
          <w:p w14:paraId="76BF7D7A" w14:textId="053B5CAA"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2,000</w:t>
            </w:r>
          </w:p>
        </w:tc>
        <w:tc>
          <w:tcPr>
            <w:tcW w:w="2254" w:type="dxa"/>
          </w:tcPr>
          <w:p w14:paraId="2B3DA935" w14:textId="515E9B8E"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w:t>
            </w:r>
          </w:p>
        </w:tc>
        <w:tc>
          <w:tcPr>
            <w:tcW w:w="2254" w:type="dxa"/>
          </w:tcPr>
          <w:p w14:paraId="779121B4" w14:textId="35828076"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Program ads from partner publications</w:t>
            </w:r>
          </w:p>
        </w:tc>
      </w:tr>
      <w:tr w:rsidR="00D54876" w:rsidRPr="00D54876" w14:paraId="2A3DCBAC" w14:textId="77777777" w:rsidTr="00EC3536">
        <w:tc>
          <w:tcPr>
            <w:tcW w:w="2254" w:type="dxa"/>
          </w:tcPr>
          <w:p w14:paraId="0C6D9CDD" w14:textId="6A86FB97"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Venue Hire</w:t>
            </w:r>
          </w:p>
        </w:tc>
        <w:tc>
          <w:tcPr>
            <w:tcW w:w="2254" w:type="dxa"/>
          </w:tcPr>
          <w:p w14:paraId="642784E1" w14:textId="576ED00F"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w:t>
            </w:r>
          </w:p>
        </w:tc>
        <w:tc>
          <w:tcPr>
            <w:tcW w:w="2254" w:type="dxa"/>
          </w:tcPr>
          <w:p w14:paraId="5B218739" w14:textId="5130A11F"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12,000</w:t>
            </w:r>
          </w:p>
        </w:tc>
        <w:tc>
          <w:tcPr>
            <w:tcW w:w="2254" w:type="dxa"/>
          </w:tcPr>
          <w:p w14:paraId="304D8D98" w14:textId="51A1FBA7"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Rental of main hall, breakout rooms, Wi-Fi, AV systems</w:t>
            </w:r>
          </w:p>
        </w:tc>
      </w:tr>
      <w:tr w:rsidR="00D54876" w:rsidRPr="00D54876" w14:paraId="1D41AAEF" w14:textId="77777777" w:rsidTr="00EC3536">
        <w:tc>
          <w:tcPr>
            <w:tcW w:w="2254" w:type="dxa"/>
          </w:tcPr>
          <w:p w14:paraId="1FBB5BF4" w14:textId="4E4003E4"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Technical Staff</w:t>
            </w:r>
          </w:p>
        </w:tc>
        <w:tc>
          <w:tcPr>
            <w:tcW w:w="2254" w:type="dxa"/>
          </w:tcPr>
          <w:p w14:paraId="71C36AA4" w14:textId="08E233F3"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w:t>
            </w:r>
          </w:p>
        </w:tc>
        <w:tc>
          <w:tcPr>
            <w:tcW w:w="2254" w:type="dxa"/>
          </w:tcPr>
          <w:p w14:paraId="70DF0EF6" w14:textId="68EF96E4"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2,000</w:t>
            </w:r>
          </w:p>
        </w:tc>
        <w:tc>
          <w:tcPr>
            <w:tcW w:w="2254" w:type="dxa"/>
          </w:tcPr>
          <w:p w14:paraId="384DD719" w14:textId="4A7C89B6"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Technicians for audio-visual and lighting</w:t>
            </w:r>
          </w:p>
        </w:tc>
      </w:tr>
      <w:tr w:rsidR="00EC3536" w:rsidRPr="00D54876" w14:paraId="088CECA2" w14:textId="77777777" w:rsidTr="00EC3536">
        <w:tc>
          <w:tcPr>
            <w:tcW w:w="2254" w:type="dxa"/>
          </w:tcPr>
          <w:p w14:paraId="782555A3" w14:textId="26BBDFA3"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Catering</w:t>
            </w:r>
          </w:p>
        </w:tc>
        <w:tc>
          <w:tcPr>
            <w:tcW w:w="2254" w:type="dxa"/>
          </w:tcPr>
          <w:p w14:paraId="4B53371D" w14:textId="107F45DC"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w:t>
            </w:r>
          </w:p>
        </w:tc>
        <w:tc>
          <w:tcPr>
            <w:tcW w:w="2254" w:type="dxa"/>
          </w:tcPr>
          <w:p w14:paraId="527638C3" w14:textId="7DA7D3FF"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10,000</w:t>
            </w:r>
          </w:p>
        </w:tc>
        <w:tc>
          <w:tcPr>
            <w:tcW w:w="2254" w:type="dxa"/>
          </w:tcPr>
          <w:p w14:paraId="1C6C79E4" w14:textId="2A7CDDFE"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Breakfast, lunch, and coffee breaks for 200 attendees</w:t>
            </w:r>
          </w:p>
        </w:tc>
      </w:tr>
      <w:tr w:rsidR="00EC3536" w:rsidRPr="00D54876" w14:paraId="3B96B47B" w14:textId="77777777" w:rsidTr="00EC3536">
        <w:tc>
          <w:tcPr>
            <w:tcW w:w="2254" w:type="dxa"/>
          </w:tcPr>
          <w:p w14:paraId="32258A05" w14:textId="135D1299"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Marketing Costs</w:t>
            </w:r>
          </w:p>
        </w:tc>
        <w:tc>
          <w:tcPr>
            <w:tcW w:w="2254" w:type="dxa"/>
          </w:tcPr>
          <w:p w14:paraId="652CC10C" w14:textId="749F2955"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w:t>
            </w:r>
          </w:p>
        </w:tc>
        <w:tc>
          <w:tcPr>
            <w:tcW w:w="2254" w:type="dxa"/>
          </w:tcPr>
          <w:p w14:paraId="00F6E465" w14:textId="19019319"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6,000</w:t>
            </w:r>
          </w:p>
        </w:tc>
        <w:tc>
          <w:tcPr>
            <w:tcW w:w="2254" w:type="dxa"/>
          </w:tcPr>
          <w:p w14:paraId="1AA4B3E9" w14:textId="6C74EB3D"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Digital campaigns, printed materials, brand design</w:t>
            </w:r>
          </w:p>
        </w:tc>
      </w:tr>
      <w:tr w:rsidR="00EC3536" w:rsidRPr="00D54876" w14:paraId="06C6A58B" w14:textId="77777777" w:rsidTr="00EC3536">
        <w:tc>
          <w:tcPr>
            <w:tcW w:w="2254" w:type="dxa"/>
          </w:tcPr>
          <w:p w14:paraId="7907BB45" w14:textId="5C717619"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Speaker Fees/Travel</w:t>
            </w:r>
          </w:p>
        </w:tc>
        <w:tc>
          <w:tcPr>
            <w:tcW w:w="2254" w:type="dxa"/>
          </w:tcPr>
          <w:p w14:paraId="38A84392" w14:textId="07CC8F80"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w:t>
            </w:r>
          </w:p>
        </w:tc>
        <w:tc>
          <w:tcPr>
            <w:tcW w:w="2254" w:type="dxa"/>
          </w:tcPr>
          <w:p w14:paraId="2A351B78" w14:textId="4DA9E2FD"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7,000</w:t>
            </w:r>
          </w:p>
        </w:tc>
        <w:tc>
          <w:tcPr>
            <w:tcW w:w="2254" w:type="dxa"/>
          </w:tcPr>
          <w:p w14:paraId="526BA5DB" w14:textId="0975D450"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 xml:space="preserve">Keynote honorarium, </w:t>
            </w:r>
            <w:proofErr w:type="spellStart"/>
            <w:r w:rsidRPr="00D54876">
              <w:rPr>
                <w:rFonts w:ascii="Times New Roman" w:hAnsi="Times New Roman" w:cs="Times New Roman"/>
                <w:sz w:val="24"/>
                <w:szCs w:val="24"/>
              </w:rPr>
              <w:t>panelist</w:t>
            </w:r>
            <w:proofErr w:type="spellEnd"/>
            <w:r w:rsidRPr="00D54876">
              <w:rPr>
                <w:rFonts w:ascii="Times New Roman" w:hAnsi="Times New Roman" w:cs="Times New Roman"/>
                <w:sz w:val="24"/>
                <w:szCs w:val="24"/>
              </w:rPr>
              <w:t xml:space="preserve"> stipends, travel reimbursements</w:t>
            </w:r>
          </w:p>
        </w:tc>
      </w:tr>
      <w:tr w:rsidR="00EC3536" w:rsidRPr="00D54876" w14:paraId="0367C680" w14:textId="77777777" w:rsidTr="00EC3536">
        <w:tc>
          <w:tcPr>
            <w:tcW w:w="2254" w:type="dxa"/>
          </w:tcPr>
          <w:p w14:paraId="2C067D5D" w14:textId="085EB0B8"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Staffing &amp; HR</w:t>
            </w:r>
          </w:p>
        </w:tc>
        <w:tc>
          <w:tcPr>
            <w:tcW w:w="2254" w:type="dxa"/>
          </w:tcPr>
          <w:p w14:paraId="100431CE" w14:textId="33AE4A67"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w:t>
            </w:r>
          </w:p>
        </w:tc>
        <w:tc>
          <w:tcPr>
            <w:tcW w:w="2254" w:type="dxa"/>
          </w:tcPr>
          <w:p w14:paraId="0BF75739" w14:textId="406916CD"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5,000</w:t>
            </w:r>
          </w:p>
        </w:tc>
        <w:tc>
          <w:tcPr>
            <w:tcW w:w="2254" w:type="dxa"/>
          </w:tcPr>
          <w:p w14:paraId="2AD9DFB4" w14:textId="1A9C97F5"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On-site coordinators, volunteer management, security</w:t>
            </w:r>
          </w:p>
        </w:tc>
      </w:tr>
      <w:tr w:rsidR="00EC3536" w:rsidRPr="00D54876" w14:paraId="57EC09F4" w14:textId="77777777" w:rsidTr="00EC3536">
        <w:tc>
          <w:tcPr>
            <w:tcW w:w="2254" w:type="dxa"/>
          </w:tcPr>
          <w:p w14:paraId="757C6C65" w14:textId="047E518C"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Miscellaneous &amp; Insurance</w:t>
            </w:r>
          </w:p>
        </w:tc>
        <w:tc>
          <w:tcPr>
            <w:tcW w:w="2254" w:type="dxa"/>
          </w:tcPr>
          <w:p w14:paraId="415753CE" w14:textId="7D0B1C88"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w:t>
            </w:r>
          </w:p>
        </w:tc>
        <w:tc>
          <w:tcPr>
            <w:tcW w:w="2254" w:type="dxa"/>
          </w:tcPr>
          <w:p w14:paraId="4E36DC14" w14:textId="2E5281D9"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3,000</w:t>
            </w:r>
          </w:p>
        </w:tc>
        <w:tc>
          <w:tcPr>
            <w:tcW w:w="2254" w:type="dxa"/>
          </w:tcPr>
          <w:p w14:paraId="29A5C7BB" w14:textId="2E4C1FCD"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Stationery, delegate badges, unforeseen expenses</w:t>
            </w:r>
          </w:p>
        </w:tc>
      </w:tr>
      <w:tr w:rsidR="00D54876" w:rsidRPr="00D54876" w14:paraId="6AF79FEC" w14:textId="77777777" w:rsidTr="00EC3536">
        <w:tc>
          <w:tcPr>
            <w:tcW w:w="2254" w:type="dxa"/>
          </w:tcPr>
          <w:p w14:paraId="269E78EC" w14:textId="396CB744" w:rsidR="00EC3536" w:rsidRPr="00D54876" w:rsidRDefault="00EC3536" w:rsidP="00D54876">
            <w:pPr>
              <w:spacing w:line="360" w:lineRule="auto"/>
              <w:jc w:val="both"/>
              <w:rPr>
                <w:rFonts w:ascii="Times New Roman" w:hAnsi="Times New Roman" w:cs="Times New Roman"/>
                <w:b/>
                <w:bCs/>
                <w:sz w:val="24"/>
                <w:szCs w:val="24"/>
                <w:lang w:eastAsia="en-GB"/>
              </w:rPr>
            </w:pPr>
            <w:r w:rsidRPr="00D54876">
              <w:rPr>
                <w:rFonts w:ascii="Times New Roman" w:hAnsi="Times New Roman" w:cs="Times New Roman"/>
                <w:b/>
                <w:bCs/>
                <w:sz w:val="24"/>
                <w:szCs w:val="24"/>
              </w:rPr>
              <w:t>TOTAL</w:t>
            </w:r>
          </w:p>
        </w:tc>
        <w:tc>
          <w:tcPr>
            <w:tcW w:w="2254" w:type="dxa"/>
          </w:tcPr>
          <w:p w14:paraId="2891CEFA" w14:textId="1ABF8399"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67,000</w:t>
            </w:r>
          </w:p>
        </w:tc>
        <w:tc>
          <w:tcPr>
            <w:tcW w:w="2254" w:type="dxa"/>
          </w:tcPr>
          <w:p w14:paraId="7CBE0D1B" w14:textId="40283A88"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45,000</w:t>
            </w:r>
          </w:p>
        </w:tc>
        <w:tc>
          <w:tcPr>
            <w:tcW w:w="2254" w:type="dxa"/>
          </w:tcPr>
          <w:p w14:paraId="2209BF2B" w14:textId="625A44DA"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rPr>
              <w:t>(Income – Expenditure) = €22,000 projected surplus</w:t>
            </w:r>
          </w:p>
        </w:tc>
      </w:tr>
    </w:tbl>
    <w:p w14:paraId="6C8A764D" w14:textId="77777777" w:rsidR="00180F91" w:rsidRPr="00D54876" w:rsidRDefault="00180F91" w:rsidP="00D54876">
      <w:pPr>
        <w:spacing w:line="360" w:lineRule="auto"/>
        <w:jc w:val="both"/>
        <w:rPr>
          <w:rFonts w:ascii="Times New Roman" w:hAnsi="Times New Roman" w:cs="Times New Roman"/>
          <w:sz w:val="24"/>
          <w:szCs w:val="24"/>
          <w:lang w:eastAsia="en-GB"/>
        </w:rPr>
      </w:pPr>
    </w:p>
    <w:p w14:paraId="3FE77F0F" w14:textId="6D17B8D4"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 xml:space="preserve">The total income </w:t>
      </w:r>
      <w:proofErr w:type="gramStart"/>
      <w:r w:rsidRPr="00D54876">
        <w:rPr>
          <w:rFonts w:ascii="Times New Roman" w:hAnsi="Times New Roman" w:cs="Times New Roman"/>
          <w:sz w:val="24"/>
          <w:szCs w:val="24"/>
          <w:lang w:eastAsia="en-GB"/>
        </w:rPr>
        <w:t>is projected</w:t>
      </w:r>
      <w:proofErr w:type="gramEnd"/>
      <w:r w:rsidRPr="00D54876">
        <w:rPr>
          <w:rFonts w:ascii="Times New Roman" w:hAnsi="Times New Roman" w:cs="Times New Roman"/>
          <w:sz w:val="24"/>
          <w:szCs w:val="24"/>
          <w:lang w:eastAsia="en-GB"/>
        </w:rPr>
        <w:t xml:space="preserve"> to be €67,000, while total expenditures are approximately €45,000, leading to a small surplus of €22,000. This margin can </w:t>
      </w:r>
      <w:proofErr w:type="gramStart"/>
      <w:r w:rsidRPr="00D54876">
        <w:rPr>
          <w:rFonts w:ascii="Times New Roman" w:hAnsi="Times New Roman" w:cs="Times New Roman"/>
          <w:sz w:val="24"/>
          <w:szCs w:val="24"/>
          <w:lang w:eastAsia="en-GB"/>
        </w:rPr>
        <w:t>be reinvested</w:t>
      </w:r>
      <w:proofErr w:type="gramEnd"/>
      <w:r w:rsidRPr="00D54876">
        <w:rPr>
          <w:rFonts w:ascii="Times New Roman" w:hAnsi="Times New Roman" w:cs="Times New Roman"/>
          <w:sz w:val="24"/>
          <w:szCs w:val="24"/>
          <w:lang w:eastAsia="en-GB"/>
        </w:rPr>
        <w:t xml:space="preserve"> in participant amenities or set aside for future events (Meredith, 2022). If registrations fall short, organisers may reduce spending on non-essential expenses, like large marketing banners. Conversely, increased interest might </w:t>
      </w:r>
      <w:proofErr w:type="gramStart"/>
      <w:r w:rsidRPr="00D54876">
        <w:rPr>
          <w:rFonts w:ascii="Times New Roman" w:hAnsi="Times New Roman" w:cs="Times New Roman"/>
          <w:sz w:val="24"/>
          <w:szCs w:val="24"/>
          <w:lang w:eastAsia="en-GB"/>
        </w:rPr>
        <w:t>warrant</w:t>
      </w:r>
      <w:proofErr w:type="gramEnd"/>
      <w:r w:rsidRPr="00D54876">
        <w:rPr>
          <w:rFonts w:ascii="Times New Roman" w:hAnsi="Times New Roman" w:cs="Times New Roman"/>
          <w:sz w:val="24"/>
          <w:szCs w:val="24"/>
          <w:lang w:eastAsia="en-GB"/>
        </w:rPr>
        <w:t xml:space="preserve"> more workshops or networking events (Rogers and Wynn-Moylan, 2022).</w:t>
      </w:r>
      <w:r w:rsidRPr="00D54876">
        <w:rPr>
          <w:rFonts w:ascii="Times New Roman" w:hAnsi="Times New Roman" w:cs="Times New Roman"/>
          <w:sz w:val="24"/>
          <w:szCs w:val="24"/>
          <w:lang w:eastAsia="en-GB"/>
        </w:rPr>
        <w:t xml:space="preserve"> </w:t>
      </w:r>
      <w:r w:rsidRPr="00D54876">
        <w:rPr>
          <w:rFonts w:ascii="Times New Roman" w:hAnsi="Times New Roman" w:cs="Times New Roman"/>
          <w:sz w:val="24"/>
          <w:szCs w:val="24"/>
          <w:lang w:eastAsia="en-GB"/>
        </w:rPr>
        <w:t>Frequent budget evaluations allow the event team to make prompt modifications. Transparent financial reporting builds confidence among sponsors and delegates, helping to ensure the conference's ongoing viability (Smith, 2012).</w:t>
      </w:r>
    </w:p>
    <w:p w14:paraId="13A49438" w14:textId="758CAE6E" w:rsidR="00180F91" w:rsidRPr="00D54876" w:rsidRDefault="00EC3536" w:rsidP="00D54876">
      <w:pPr>
        <w:pStyle w:val="EU"/>
        <w:numPr>
          <w:ilvl w:val="0"/>
          <w:numId w:val="1"/>
        </w:numPr>
        <w:spacing w:line="360" w:lineRule="auto"/>
        <w:rPr>
          <w:rFonts w:ascii="Times New Roman" w:hAnsi="Times New Roman" w:cs="Times New Roman"/>
          <w:color w:val="auto"/>
        </w:rPr>
      </w:pPr>
      <w:bookmarkStart w:id="6" w:name="_Toc191676506"/>
      <w:r w:rsidRPr="00D54876">
        <w:rPr>
          <w:rFonts w:ascii="Times New Roman" w:hAnsi="Times New Roman" w:cs="Times New Roman"/>
          <w:color w:val="auto"/>
        </w:rPr>
        <w:t>INDUSTRY TRENDS, ISSUES, AND IMPACTS</w:t>
      </w:r>
      <w:bookmarkEnd w:id="6"/>
    </w:p>
    <w:p w14:paraId="2BD6D9CC" w14:textId="777F82D1" w:rsidR="00180F91"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 xml:space="preserve">Changes in workplace demographics are an important aspect of the contemporary meetings and events industry, with conference content often reflecting evolving employee expectations, advancements in technology, and concerns for the environment (Getz and Page, 2019). The Age-Inclusive Workplaces forum </w:t>
      </w:r>
      <w:proofErr w:type="gramStart"/>
      <w:r w:rsidRPr="00D54876">
        <w:rPr>
          <w:rFonts w:ascii="Times New Roman" w:hAnsi="Times New Roman" w:cs="Times New Roman"/>
          <w:sz w:val="24"/>
          <w:szCs w:val="24"/>
          <w:lang w:eastAsia="en-GB"/>
        </w:rPr>
        <w:t>showcases</w:t>
      </w:r>
      <w:proofErr w:type="gramEnd"/>
      <w:r w:rsidRPr="00D54876">
        <w:rPr>
          <w:rFonts w:ascii="Times New Roman" w:hAnsi="Times New Roman" w:cs="Times New Roman"/>
          <w:sz w:val="24"/>
          <w:szCs w:val="24"/>
          <w:lang w:eastAsia="en-GB"/>
        </w:rPr>
        <w:t xml:space="preserve"> the intersection of these forces, especially as demographic trends highlight the importance of retaining older workers and implementing wider EDI strategies (OECD, 2021). At the same time, the growing use of hybrid conference formats allows those unable to travel to </w:t>
      </w:r>
      <w:proofErr w:type="gramStart"/>
      <w:r w:rsidRPr="00D54876">
        <w:rPr>
          <w:rFonts w:ascii="Times New Roman" w:hAnsi="Times New Roman" w:cs="Times New Roman"/>
          <w:sz w:val="24"/>
          <w:szCs w:val="24"/>
          <w:lang w:eastAsia="en-GB"/>
        </w:rPr>
        <w:t>participate</w:t>
      </w:r>
      <w:proofErr w:type="gramEnd"/>
      <w:r w:rsidRPr="00D54876">
        <w:rPr>
          <w:rFonts w:ascii="Times New Roman" w:hAnsi="Times New Roman" w:cs="Times New Roman"/>
          <w:sz w:val="24"/>
          <w:szCs w:val="24"/>
          <w:lang w:eastAsia="en-GB"/>
        </w:rPr>
        <w:t xml:space="preserve"> from afar. However, this flexibility requires easy-to-use platforms and well-organised virtual sessions that cater to older attendees (Fan et al., 2023). At the same time, commitments to sustainability have </w:t>
      </w:r>
      <w:proofErr w:type="gramStart"/>
      <w:r w:rsidRPr="00D54876">
        <w:rPr>
          <w:rFonts w:ascii="Times New Roman" w:hAnsi="Times New Roman" w:cs="Times New Roman"/>
          <w:sz w:val="24"/>
          <w:szCs w:val="24"/>
          <w:lang w:eastAsia="en-GB"/>
        </w:rPr>
        <w:t>emerged</w:t>
      </w:r>
      <w:proofErr w:type="gramEnd"/>
      <w:r w:rsidRPr="00D54876">
        <w:rPr>
          <w:rFonts w:ascii="Times New Roman" w:hAnsi="Times New Roman" w:cs="Times New Roman"/>
          <w:sz w:val="24"/>
          <w:szCs w:val="24"/>
          <w:lang w:eastAsia="en-GB"/>
        </w:rPr>
        <w:t xml:space="preserve"> as an essential focus, evident in the demand for clear carbon footprint reporting, minimised printing, and energy-efficient venue selections (Mair, 2024). Additionally, the emergence of Corporate Social Responsibility (CSR) initiatives encourages organisations to organise or support events that </w:t>
      </w:r>
      <w:proofErr w:type="gramStart"/>
      <w:r w:rsidRPr="00D54876">
        <w:rPr>
          <w:rFonts w:ascii="Times New Roman" w:hAnsi="Times New Roman" w:cs="Times New Roman"/>
          <w:sz w:val="24"/>
          <w:szCs w:val="24"/>
          <w:lang w:eastAsia="en-GB"/>
        </w:rPr>
        <w:t>showcase</w:t>
      </w:r>
      <w:proofErr w:type="gramEnd"/>
      <w:r w:rsidRPr="00D54876">
        <w:rPr>
          <w:rFonts w:ascii="Times New Roman" w:hAnsi="Times New Roman" w:cs="Times New Roman"/>
          <w:sz w:val="24"/>
          <w:szCs w:val="24"/>
          <w:lang w:eastAsia="en-GB"/>
        </w:rPr>
        <w:t xml:space="preserve"> a meaningful social impact, like advocating for fair employment practices across various generations (Gerritsen and van </w:t>
      </w:r>
      <w:proofErr w:type="spellStart"/>
      <w:r w:rsidRPr="00D54876">
        <w:rPr>
          <w:rFonts w:ascii="Times New Roman" w:hAnsi="Times New Roman" w:cs="Times New Roman"/>
          <w:sz w:val="24"/>
          <w:szCs w:val="24"/>
          <w:lang w:eastAsia="en-GB"/>
        </w:rPr>
        <w:t>Olderen</w:t>
      </w:r>
      <w:proofErr w:type="spellEnd"/>
      <w:r w:rsidRPr="00D54876">
        <w:rPr>
          <w:rFonts w:ascii="Times New Roman" w:hAnsi="Times New Roman" w:cs="Times New Roman"/>
          <w:sz w:val="24"/>
          <w:szCs w:val="24"/>
          <w:lang w:eastAsia="en-GB"/>
        </w:rPr>
        <w:t xml:space="preserve">, 2020). </w:t>
      </w:r>
      <w:proofErr w:type="gramStart"/>
      <w:r w:rsidRPr="00D54876">
        <w:rPr>
          <w:rFonts w:ascii="Times New Roman" w:hAnsi="Times New Roman" w:cs="Times New Roman"/>
          <w:sz w:val="24"/>
          <w:szCs w:val="24"/>
          <w:lang w:eastAsia="en-GB"/>
        </w:rPr>
        <w:t>In light of</w:t>
      </w:r>
      <w:proofErr w:type="gramEnd"/>
      <w:r w:rsidRPr="00D54876">
        <w:rPr>
          <w:rFonts w:ascii="Times New Roman" w:hAnsi="Times New Roman" w:cs="Times New Roman"/>
          <w:sz w:val="24"/>
          <w:szCs w:val="24"/>
          <w:lang w:eastAsia="en-GB"/>
        </w:rPr>
        <w:t xml:space="preserve"> ongoing policy changes, such as adjustments to retirement ages and the introduction of anti-discrimination laws, event organisers should be attentive in choosing speakers and crafting sessions that align with the present legal landscape</w:t>
      </w:r>
      <w:r w:rsidR="003408F3" w:rsidRPr="00D54876">
        <w:rPr>
          <w:rFonts w:ascii="Times New Roman" w:hAnsi="Times New Roman" w:cs="Times New Roman"/>
          <w:sz w:val="24"/>
          <w:szCs w:val="24"/>
          <w:lang w:eastAsia="en-GB"/>
        </w:rPr>
        <w:t xml:space="preserve">. </w:t>
      </w:r>
      <w:r w:rsidRPr="00D54876">
        <w:rPr>
          <w:rFonts w:ascii="Times New Roman" w:hAnsi="Times New Roman" w:cs="Times New Roman"/>
          <w:sz w:val="24"/>
          <w:szCs w:val="24"/>
          <w:lang w:eastAsia="en-GB"/>
        </w:rPr>
        <w:t xml:space="preserve">By acknowledging these interconnected influences and customising conference activities to meet them, planners guarantee that the Age-Inclusive Workplaces event not only responds to current delegate needs but also aligns with the changing expectations in the global workforce (Wang and Jin, 2019). This </w:t>
      </w:r>
      <w:proofErr w:type="gramStart"/>
      <w:r w:rsidRPr="00D54876">
        <w:rPr>
          <w:rFonts w:ascii="Times New Roman" w:hAnsi="Times New Roman" w:cs="Times New Roman"/>
          <w:sz w:val="24"/>
          <w:szCs w:val="24"/>
          <w:lang w:eastAsia="en-GB"/>
        </w:rPr>
        <w:t>proactive</w:t>
      </w:r>
      <w:proofErr w:type="gramEnd"/>
      <w:r w:rsidRPr="00D54876">
        <w:rPr>
          <w:rFonts w:ascii="Times New Roman" w:hAnsi="Times New Roman" w:cs="Times New Roman"/>
          <w:sz w:val="24"/>
          <w:szCs w:val="24"/>
          <w:lang w:eastAsia="en-GB"/>
        </w:rPr>
        <w:t xml:space="preserve"> approach nurtures practical insights, enhances stakeholder involvement, and ultimately establishes the forum as an essential channel for sharing effective practices in age-friendly employment strategies.</w:t>
      </w:r>
    </w:p>
    <w:p w14:paraId="3F96C4F9" w14:textId="09540835" w:rsidR="00EC3536" w:rsidRPr="00D54876" w:rsidRDefault="00EC3536" w:rsidP="00D54876">
      <w:pPr>
        <w:pStyle w:val="EU"/>
        <w:numPr>
          <w:ilvl w:val="0"/>
          <w:numId w:val="1"/>
        </w:numPr>
        <w:spacing w:line="360" w:lineRule="auto"/>
        <w:rPr>
          <w:rFonts w:ascii="Times New Roman" w:hAnsi="Times New Roman" w:cs="Times New Roman"/>
          <w:color w:val="auto"/>
        </w:rPr>
      </w:pPr>
      <w:bookmarkStart w:id="7" w:name="_Toc191676507"/>
      <w:r w:rsidRPr="00D54876">
        <w:rPr>
          <w:rFonts w:ascii="Times New Roman" w:hAnsi="Times New Roman" w:cs="Times New Roman"/>
          <w:color w:val="auto"/>
        </w:rPr>
        <w:t>SITUATIONAL AND CULTURAL CONSIDERATIONS</w:t>
      </w:r>
      <w:bookmarkEnd w:id="7"/>
    </w:p>
    <w:p w14:paraId="6C6E3C73" w14:textId="17EDA062" w:rsidR="00180F91"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 xml:space="preserve">The strategic focus of an event </w:t>
      </w:r>
      <w:proofErr w:type="gramStart"/>
      <w:r w:rsidRPr="00D54876">
        <w:rPr>
          <w:rFonts w:ascii="Times New Roman" w:hAnsi="Times New Roman" w:cs="Times New Roman"/>
          <w:sz w:val="24"/>
          <w:szCs w:val="24"/>
          <w:lang w:eastAsia="en-GB"/>
        </w:rPr>
        <w:t>is deeply influenced</w:t>
      </w:r>
      <w:proofErr w:type="gramEnd"/>
      <w:r w:rsidRPr="00D54876">
        <w:rPr>
          <w:rFonts w:ascii="Times New Roman" w:hAnsi="Times New Roman" w:cs="Times New Roman"/>
          <w:sz w:val="24"/>
          <w:szCs w:val="24"/>
          <w:lang w:eastAsia="en-GB"/>
        </w:rPr>
        <w:t xml:space="preserve"> by situational and cultural factors, affecting aspects such as sponsorship opportunities and delegate engagement (Rogers and Wynn-Moylan, 2022). Performing a PESTEL analysis allows organisers to foresee important external influences and adjust the Age-Inclusive Workplaces forum to fit those insights. Discrepancies in national retirement policies or EDI legislation can influence the readiness to engage and the challenges faced by international attendees, including the process of securing visas. Market fluctuations can influence travel budgets, prompting planners to thoughtfully price tickets and secure competitive group rates (Smith, 2012). Socially, cultural norms about age can differ greatly: some areas honour seniority, while others hold onto enduring biases (Fan et al., 2023). It is essential to implement accessible platforms for registration and remote sessions, allowing older delegates to easily access content and navigate online services (Silva et al., 2024). Participants today </w:t>
      </w:r>
      <w:proofErr w:type="gramStart"/>
      <w:r w:rsidRPr="00D54876">
        <w:rPr>
          <w:rFonts w:ascii="Times New Roman" w:hAnsi="Times New Roman" w:cs="Times New Roman"/>
          <w:sz w:val="24"/>
          <w:szCs w:val="24"/>
          <w:lang w:eastAsia="en-GB"/>
        </w:rPr>
        <w:t>anticipate</w:t>
      </w:r>
      <w:proofErr w:type="gramEnd"/>
      <w:r w:rsidRPr="00D54876">
        <w:rPr>
          <w:rFonts w:ascii="Times New Roman" w:hAnsi="Times New Roman" w:cs="Times New Roman"/>
          <w:sz w:val="24"/>
          <w:szCs w:val="24"/>
          <w:lang w:eastAsia="en-GB"/>
        </w:rPr>
        <w:t xml:space="preserve"> thoughtful practices that prioritise the environment, such as reduced printing and catering from sustainable sources, which positively impacts the reputation of the hosting institution (Mair, 2024). The event needs to align with various age-discrimination laws across </w:t>
      </w:r>
      <w:proofErr w:type="gramStart"/>
      <w:r w:rsidRPr="00D54876">
        <w:rPr>
          <w:rFonts w:ascii="Times New Roman" w:hAnsi="Times New Roman" w:cs="Times New Roman"/>
          <w:sz w:val="24"/>
          <w:szCs w:val="24"/>
          <w:lang w:eastAsia="en-GB"/>
        </w:rPr>
        <w:t>jurisdictions</w:t>
      </w:r>
      <w:proofErr w:type="gramEnd"/>
      <w:r w:rsidRPr="00D54876">
        <w:rPr>
          <w:rFonts w:ascii="Times New Roman" w:hAnsi="Times New Roman" w:cs="Times New Roman"/>
          <w:sz w:val="24"/>
          <w:szCs w:val="24"/>
          <w:lang w:eastAsia="en-GB"/>
        </w:rPr>
        <w:t>, highlighting the importance of ensuring the presentation content is accurate</w:t>
      </w:r>
      <w:r w:rsidR="00D54876" w:rsidRPr="00D54876">
        <w:rPr>
          <w:rFonts w:ascii="Times New Roman" w:hAnsi="Times New Roman" w:cs="Times New Roman"/>
          <w:sz w:val="24"/>
          <w:szCs w:val="24"/>
          <w:lang w:eastAsia="en-GB"/>
        </w:rPr>
        <w:t xml:space="preserve">. </w:t>
      </w:r>
      <w:r w:rsidRPr="00D54876">
        <w:rPr>
          <w:rFonts w:ascii="Times New Roman" w:hAnsi="Times New Roman" w:cs="Times New Roman"/>
          <w:sz w:val="24"/>
          <w:szCs w:val="24"/>
          <w:lang w:eastAsia="en-GB"/>
        </w:rPr>
        <w:t xml:space="preserve">By blending these layers, organisers create a flexible and welcoming framework that enriches the experience for delegates while </w:t>
      </w:r>
      <w:proofErr w:type="gramStart"/>
      <w:r w:rsidRPr="00D54876">
        <w:rPr>
          <w:rFonts w:ascii="Times New Roman" w:hAnsi="Times New Roman" w:cs="Times New Roman"/>
          <w:sz w:val="24"/>
          <w:szCs w:val="24"/>
          <w:lang w:eastAsia="en-GB"/>
        </w:rPr>
        <w:t>maintaining</w:t>
      </w:r>
      <w:proofErr w:type="gramEnd"/>
      <w:r w:rsidRPr="00D54876">
        <w:rPr>
          <w:rFonts w:ascii="Times New Roman" w:hAnsi="Times New Roman" w:cs="Times New Roman"/>
          <w:sz w:val="24"/>
          <w:szCs w:val="24"/>
          <w:lang w:eastAsia="en-GB"/>
        </w:rPr>
        <w:t xml:space="preserve"> the event's esteemed reputation on a global scale.</w:t>
      </w:r>
    </w:p>
    <w:p w14:paraId="5CDAE13A" w14:textId="6387E1D2" w:rsidR="00EC3536" w:rsidRPr="00D54876" w:rsidRDefault="00EC3536" w:rsidP="00D54876">
      <w:pPr>
        <w:pStyle w:val="EU"/>
        <w:numPr>
          <w:ilvl w:val="0"/>
          <w:numId w:val="1"/>
        </w:numPr>
        <w:spacing w:line="360" w:lineRule="auto"/>
        <w:rPr>
          <w:rFonts w:ascii="Times New Roman" w:hAnsi="Times New Roman" w:cs="Times New Roman"/>
          <w:color w:val="auto"/>
        </w:rPr>
      </w:pPr>
      <w:bookmarkStart w:id="8" w:name="_Toc191676508"/>
      <w:r w:rsidRPr="00D54876">
        <w:rPr>
          <w:rFonts w:ascii="Times New Roman" w:hAnsi="Times New Roman" w:cs="Times New Roman"/>
          <w:color w:val="auto"/>
        </w:rPr>
        <w:t>Conclusion</w:t>
      </w:r>
      <w:bookmarkEnd w:id="8"/>
      <w:r w:rsidRPr="00D54876">
        <w:rPr>
          <w:rFonts w:ascii="Times New Roman" w:hAnsi="Times New Roman" w:cs="Times New Roman"/>
          <w:color w:val="auto"/>
        </w:rPr>
        <w:t xml:space="preserve"> </w:t>
      </w:r>
    </w:p>
    <w:p w14:paraId="6C29603F" w14:textId="1738446C" w:rsidR="00EC3536" w:rsidRPr="00D54876" w:rsidRDefault="00EC3536"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 xml:space="preserve">In conclusion, the Age-Inclusive Workplaces event addresses a significant global trend: the pressing necessity to cultivate work environments where older employees </w:t>
      </w:r>
      <w:proofErr w:type="gramStart"/>
      <w:r w:rsidRPr="00D54876">
        <w:rPr>
          <w:rFonts w:ascii="Times New Roman" w:hAnsi="Times New Roman" w:cs="Times New Roman"/>
          <w:sz w:val="24"/>
          <w:szCs w:val="24"/>
          <w:lang w:eastAsia="en-GB"/>
        </w:rPr>
        <w:t>are appreciated</w:t>
      </w:r>
      <w:proofErr w:type="gramEnd"/>
      <w:r w:rsidRPr="00D54876">
        <w:rPr>
          <w:rFonts w:ascii="Times New Roman" w:hAnsi="Times New Roman" w:cs="Times New Roman"/>
          <w:sz w:val="24"/>
          <w:szCs w:val="24"/>
          <w:lang w:eastAsia="en-GB"/>
        </w:rPr>
        <w:t xml:space="preserve"> and can thrive. By employing the Event Cycle model, organisers adopt a thoughtful and systematic approach that starts with thorough conceptualisation and concludes with evaluated results and post-event reflection</w:t>
      </w:r>
      <w:r w:rsidR="003408F3" w:rsidRPr="00D54876">
        <w:rPr>
          <w:rFonts w:ascii="Times New Roman" w:hAnsi="Times New Roman" w:cs="Times New Roman"/>
          <w:sz w:val="24"/>
          <w:szCs w:val="24"/>
          <w:lang w:eastAsia="en-GB"/>
        </w:rPr>
        <w:t xml:space="preserve">. </w:t>
      </w:r>
      <w:r w:rsidRPr="00D54876">
        <w:rPr>
          <w:rFonts w:ascii="Times New Roman" w:hAnsi="Times New Roman" w:cs="Times New Roman"/>
          <w:sz w:val="24"/>
          <w:szCs w:val="24"/>
          <w:lang w:eastAsia="en-GB"/>
        </w:rPr>
        <w:t xml:space="preserve">The schedule includes keynote presentations, workshop sessions, and networking breaks, providing participants with a blend of theoretical insights and </w:t>
      </w:r>
      <w:proofErr w:type="gramStart"/>
      <w:r w:rsidRPr="00D54876">
        <w:rPr>
          <w:rFonts w:ascii="Times New Roman" w:hAnsi="Times New Roman" w:cs="Times New Roman"/>
          <w:sz w:val="24"/>
          <w:szCs w:val="24"/>
          <w:lang w:eastAsia="en-GB"/>
        </w:rPr>
        <w:t>hands-on</w:t>
      </w:r>
      <w:proofErr w:type="gramEnd"/>
      <w:r w:rsidRPr="00D54876">
        <w:rPr>
          <w:rFonts w:ascii="Times New Roman" w:hAnsi="Times New Roman" w:cs="Times New Roman"/>
          <w:sz w:val="24"/>
          <w:szCs w:val="24"/>
          <w:lang w:eastAsia="en-GB"/>
        </w:rPr>
        <w:t xml:space="preserve"> skills</w:t>
      </w:r>
      <w:r w:rsidR="003408F3" w:rsidRPr="00D54876">
        <w:rPr>
          <w:rFonts w:ascii="Times New Roman" w:hAnsi="Times New Roman" w:cs="Times New Roman"/>
          <w:sz w:val="24"/>
          <w:szCs w:val="24"/>
          <w:lang w:eastAsia="en-GB"/>
        </w:rPr>
        <w:t xml:space="preserve">. </w:t>
      </w:r>
      <w:r w:rsidRPr="00D54876">
        <w:rPr>
          <w:rFonts w:ascii="Times New Roman" w:hAnsi="Times New Roman" w:cs="Times New Roman"/>
          <w:sz w:val="24"/>
          <w:szCs w:val="24"/>
          <w:lang w:eastAsia="en-GB"/>
        </w:rPr>
        <w:t xml:space="preserve">Clear aims and SMART </w:t>
      </w:r>
      <w:proofErr w:type="gramStart"/>
      <w:r w:rsidRPr="00D54876">
        <w:rPr>
          <w:rFonts w:ascii="Times New Roman" w:hAnsi="Times New Roman" w:cs="Times New Roman"/>
          <w:sz w:val="24"/>
          <w:szCs w:val="24"/>
          <w:lang w:eastAsia="en-GB"/>
        </w:rPr>
        <w:t>objectives</w:t>
      </w:r>
      <w:proofErr w:type="gramEnd"/>
      <w:r w:rsidRPr="00D54876">
        <w:rPr>
          <w:rFonts w:ascii="Times New Roman" w:hAnsi="Times New Roman" w:cs="Times New Roman"/>
          <w:sz w:val="24"/>
          <w:szCs w:val="24"/>
          <w:lang w:eastAsia="en-GB"/>
        </w:rPr>
        <w:t xml:space="preserve"> define what success entails, while the event management plan encompasses all aspects from risk assessment to focused marketing</w:t>
      </w:r>
      <w:r w:rsidR="003408F3" w:rsidRPr="00D54876">
        <w:rPr>
          <w:rFonts w:ascii="Times New Roman" w:hAnsi="Times New Roman" w:cs="Times New Roman"/>
          <w:sz w:val="24"/>
          <w:szCs w:val="24"/>
          <w:lang w:eastAsia="en-GB"/>
        </w:rPr>
        <w:t xml:space="preserve">. </w:t>
      </w:r>
      <w:r w:rsidRPr="00D54876">
        <w:rPr>
          <w:rFonts w:ascii="Times New Roman" w:hAnsi="Times New Roman" w:cs="Times New Roman"/>
          <w:sz w:val="24"/>
          <w:szCs w:val="24"/>
          <w:lang w:eastAsia="en-GB"/>
        </w:rPr>
        <w:t>A clear budget not only ensures financial viability but also fosters trust among sponsors and participants</w:t>
      </w:r>
      <w:r w:rsidR="003408F3" w:rsidRPr="00D54876">
        <w:rPr>
          <w:rFonts w:ascii="Times New Roman" w:hAnsi="Times New Roman" w:cs="Times New Roman"/>
          <w:sz w:val="24"/>
          <w:szCs w:val="24"/>
          <w:lang w:eastAsia="en-GB"/>
        </w:rPr>
        <w:t xml:space="preserve">. </w:t>
      </w:r>
      <w:r w:rsidRPr="00D54876">
        <w:rPr>
          <w:rFonts w:ascii="Times New Roman" w:hAnsi="Times New Roman" w:cs="Times New Roman"/>
          <w:sz w:val="24"/>
          <w:szCs w:val="24"/>
          <w:lang w:eastAsia="en-GB"/>
        </w:rPr>
        <w:t>Additionally, understanding industry trends highlights the continued importance of including all age groups, particularly as demographics change and technology advances</w:t>
      </w:r>
      <w:r w:rsidR="003408F3" w:rsidRPr="00D54876">
        <w:rPr>
          <w:rFonts w:ascii="Times New Roman" w:hAnsi="Times New Roman" w:cs="Times New Roman"/>
          <w:sz w:val="24"/>
          <w:szCs w:val="24"/>
          <w:lang w:eastAsia="en-GB"/>
        </w:rPr>
        <w:t>.</w:t>
      </w:r>
    </w:p>
    <w:p w14:paraId="599D2A0D" w14:textId="77777777" w:rsidR="00EC3536" w:rsidRDefault="00EC3536" w:rsidP="00EC3536">
      <w:pPr>
        <w:spacing w:line="360" w:lineRule="auto"/>
        <w:jc w:val="both"/>
        <w:rPr>
          <w:rFonts w:ascii="Times New Roman" w:hAnsi="Times New Roman" w:cs="Times New Roman"/>
          <w:sz w:val="24"/>
          <w:szCs w:val="24"/>
          <w:lang w:eastAsia="en-GB"/>
        </w:rPr>
      </w:pPr>
    </w:p>
    <w:p w14:paraId="5B8603BE" w14:textId="77777777" w:rsidR="00EC3536" w:rsidRDefault="00EC3536" w:rsidP="00EC3536">
      <w:pPr>
        <w:spacing w:line="360" w:lineRule="auto"/>
        <w:jc w:val="both"/>
        <w:rPr>
          <w:rFonts w:ascii="Times New Roman" w:hAnsi="Times New Roman" w:cs="Times New Roman"/>
          <w:sz w:val="24"/>
          <w:szCs w:val="24"/>
          <w:lang w:eastAsia="en-GB"/>
        </w:rPr>
      </w:pPr>
    </w:p>
    <w:p w14:paraId="274FF7FD" w14:textId="77777777" w:rsidR="00EC3536" w:rsidRDefault="00EC3536" w:rsidP="00EC3536">
      <w:pPr>
        <w:spacing w:line="360" w:lineRule="auto"/>
        <w:jc w:val="both"/>
        <w:rPr>
          <w:rFonts w:ascii="Times New Roman" w:hAnsi="Times New Roman" w:cs="Times New Roman"/>
          <w:sz w:val="24"/>
          <w:szCs w:val="24"/>
          <w:lang w:eastAsia="en-GB"/>
        </w:rPr>
      </w:pPr>
    </w:p>
    <w:p w14:paraId="35432256" w14:textId="77777777" w:rsidR="00EC3536" w:rsidRDefault="00EC3536" w:rsidP="00EC3536">
      <w:pPr>
        <w:spacing w:line="360" w:lineRule="auto"/>
        <w:jc w:val="both"/>
        <w:rPr>
          <w:rFonts w:ascii="Times New Roman" w:hAnsi="Times New Roman" w:cs="Times New Roman"/>
          <w:sz w:val="24"/>
          <w:szCs w:val="24"/>
          <w:lang w:eastAsia="en-GB"/>
        </w:rPr>
      </w:pPr>
    </w:p>
    <w:p w14:paraId="1F7E0FE3" w14:textId="77777777" w:rsidR="00D54876" w:rsidRDefault="00D54876" w:rsidP="00EC3536">
      <w:pPr>
        <w:spacing w:line="360" w:lineRule="auto"/>
        <w:jc w:val="both"/>
        <w:rPr>
          <w:rFonts w:ascii="Times New Roman" w:hAnsi="Times New Roman" w:cs="Times New Roman"/>
          <w:sz w:val="24"/>
          <w:szCs w:val="24"/>
          <w:lang w:eastAsia="en-GB"/>
        </w:rPr>
      </w:pPr>
    </w:p>
    <w:p w14:paraId="05AECDA6" w14:textId="1EBD7AB9" w:rsidR="00EC3536" w:rsidRPr="00D54876" w:rsidRDefault="00EC3536" w:rsidP="00D54876">
      <w:pPr>
        <w:pStyle w:val="EU"/>
        <w:spacing w:line="360" w:lineRule="auto"/>
        <w:rPr>
          <w:rFonts w:ascii="Times New Roman" w:hAnsi="Times New Roman" w:cs="Times New Roman"/>
          <w:color w:val="auto"/>
        </w:rPr>
      </w:pPr>
      <w:bookmarkStart w:id="9" w:name="_Toc191676509"/>
      <w:r w:rsidRPr="00D54876">
        <w:rPr>
          <w:rFonts w:ascii="Times New Roman" w:hAnsi="Times New Roman" w:cs="Times New Roman"/>
          <w:color w:val="auto"/>
        </w:rPr>
        <w:t>References</w:t>
      </w:r>
      <w:bookmarkEnd w:id="9"/>
      <w:r w:rsidRPr="00D54876">
        <w:rPr>
          <w:rFonts w:ascii="Times New Roman" w:hAnsi="Times New Roman" w:cs="Times New Roman"/>
          <w:color w:val="auto"/>
        </w:rPr>
        <w:t xml:space="preserve"> </w:t>
      </w:r>
    </w:p>
    <w:p w14:paraId="0A5E348C" w14:textId="77777777" w:rsidR="00EC3536" w:rsidRPr="00D54876" w:rsidRDefault="00EC3536" w:rsidP="00D54876">
      <w:pPr>
        <w:spacing w:line="360" w:lineRule="auto"/>
        <w:jc w:val="both"/>
        <w:rPr>
          <w:rFonts w:ascii="Times New Roman" w:hAnsi="Times New Roman" w:cs="Times New Roman"/>
          <w:sz w:val="24"/>
          <w:szCs w:val="24"/>
          <w:lang w:eastAsia="en-GB"/>
        </w:rPr>
      </w:pPr>
    </w:p>
    <w:p w14:paraId="2394DBEB" w14:textId="77777777"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Bladen, C., Kennell, J., Abson, E. and Wilde, N., 2022. Events management: An introduction. Routledge.</w:t>
      </w:r>
    </w:p>
    <w:p w14:paraId="42AB04F4" w14:textId="11C39A1F"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 xml:space="preserve">Bowdin, G.A., Allen, J., Harris, R., Jago, L., </w:t>
      </w:r>
      <w:proofErr w:type="spellStart"/>
      <w:r w:rsidRPr="00D54876">
        <w:rPr>
          <w:rFonts w:ascii="Times New Roman" w:hAnsi="Times New Roman" w:cs="Times New Roman"/>
          <w:sz w:val="24"/>
          <w:szCs w:val="24"/>
          <w:lang w:eastAsia="en-GB"/>
        </w:rPr>
        <w:t>O'toole</w:t>
      </w:r>
      <w:proofErr w:type="spellEnd"/>
      <w:r w:rsidRPr="00D54876">
        <w:rPr>
          <w:rFonts w:ascii="Times New Roman" w:hAnsi="Times New Roman" w:cs="Times New Roman"/>
          <w:sz w:val="24"/>
          <w:szCs w:val="24"/>
          <w:lang w:eastAsia="en-GB"/>
        </w:rPr>
        <w:t>, W. and McDonnell, I., 2023. Events management. Routledge.</w:t>
      </w:r>
    </w:p>
    <w:p w14:paraId="5FEA50D0" w14:textId="6C20060C"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Fan, P., Song, Y., Fang, M. and Chen, X., 2023. Creating an age-inclusive workplace: The impact of HR practices on employee work engagement. Journal of Management &amp; Organization, 29(6), pp.1179-1197.</w:t>
      </w:r>
    </w:p>
    <w:p w14:paraId="6A32B3EB" w14:textId="690B7F6D"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Fox, D. et al. (2014) Doing events research: from theory to practice. Routledge: Oxford</w:t>
      </w:r>
    </w:p>
    <w:p w14:paraId="7FC52C51" w14:textId="20E84EB5"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 xml:space="preserve">Gerritsen, D. and van </w:t>
      </w:r>
      <w:proofErr w:type="spellStart"/>
      <w:r w:rsidRPr="00D54876">
        <w:rPr>
          <w:rFonts w:ascii="Times New Roman" w:hAnsi="Times New Roman" w:cs="Times New Roman"/>
          <w:sz w:val="24"/>
          <w:szCs w:val="24"/>
          <w:lang w:eastAsia="en-GB"/>
        </w:rPr>
        <w:t>Olderen</w:t>
      </w:r>
      <w:proofErr w:type="spellEnd"/>
      <w:r w:rsidRPr="00D54876">
        <w:rPr>
          <w:rFonts w:ascii="Times New Roman" w:hAnsi="Times New Roman" w:cs="Times New Roman"/>
          <w:sz w:val="24"/>
          <w:szCs w:val="24"/>
          <w:lang w:eastAsia="en-GB"/>
        </w:rPr>
        <w:t>, R., 2020. Events as a strategic marketing tool. CABI.</w:t>
      </w:r>
    </w:p>
    <w:p w14:paraId="039D8BCB" w14:textId="539C8839"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Getz, D. and Page, S. (2019) Event studies: theory, research and policy for planned events. 3rd Edition. Routledge: Oxford</w:t>
      </w:r>
    </w:p>
    <w:p w14:paraId="4AC4E17A" w14:textId="1863BCFB"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Mair, J., 2024. Climate challenges for event management: a research agenda. Journal of Policy Research in Tourism, Leisure and Events, pp.1-10</w:t>
      </w:r>
    </w:p>
    <w:p w14:paraId="34F090AD" w14:textId="758B1420"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Meredith, J. (2022) Project management: a managerial approach</w:t>
      </w:r>
    </w:p>
    <w:p w14:paraId="3C5C7CB4" w14:textId="3F3C26D8" w:rsidR="00180F91"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 xml:space="preserve">OECD (2021). Promoting an Age-Inclusive Workforce LIVING, LEARNING AND EARNING LONGER. (n.d.). Available at: </w:t>
      </w:r>
      <w:hyperlink r:id="rId7" w:history="1">
        <w:r w:rsidRPr="00D54876">
          <w:rPr>
            <w:rStyle w:val="Hyperlink"/>
            <w:rFonts w:ascii="Times New Roman" w:hAnsi="Times New Roman" w:cs="Times New Roman"/>
            <w:sz w:val="24"/>
            <w:szCs w:val="24"/>
            <w:lang w:eastAsia="en-GB"/>
          </w:rPr>
          <w:t>https://www.oecd.org/content/dam/oecd/en/publications/reports/2020/12/promoting-an-age-inclusive-workforce_835228f0/59752153-en.pdf</w:t>
        </w:r>
      </w:hyperlink>
      <w:r w:rsidRPr="00D54876">
        <w:rPr>
          <w:rFonts w:ascii="Times New Roman" w:hAnsi="Times New Roman" w:cs="Times New Roman"/>
          <w:sz w:val="24"/>
          <w:szCs w:val="24"/>
          <w:lang w:eastAsia="en-GB"/>
        </w:rPr>
        <w:t>.</w:t>
      </w:r>
    </w:p>
    <w:p w14:paraId="63A55102" w14:textId="4D9277AC"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O’Toole, W. (2011) Events feasibility and development: from strategy to operations. Elsevier: Oxford</w:t>
      </w:r>
    </w:p>
    <w:p w14:paraId="18B85C15" w14:textId="16C2AF7A"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 xml:space="preserve">Rai (2024). RAI Homepage. [online] Available at: </w:t>
      </w:r>
      <w:hyperlink r:id="rId8" w:history="1">
        <w:r w:rsidRPr="00D54876">
          <w:rPr>
            <w:rStyle w:val="Hyperlink"/>
            <w:rFonts w:ascii="Times New Roman" w:hAnsi="Times New Roman" w:cs="Times New Roman"/>
            <w:sz w:val="24"/>
            <w:szCs w:val="24"/>
            <w:lang w:eastAsia="en-GB"/>
          </w:rPr>
          <w:t>https://www.rai.nl/en</w:t>
        </w:r>
      </w:hyperlink>
      <w:r w:rsidRPr="00D54876">
        <w:rPr>
          <w:rFonts w:ascii="Times New Roman" w:hAnsi="Times New Roman" w:cs="Times New Roman"/>
          <w:sz w:val="24"/>
          <w:szCs w:val="24"/>
          <w:lang w:eastAsia="en-GB"/>
        </w:rPr>
        <w:t>.</w:t>
      </w:r>
    </w:p>
    <w:p w14:paraId="0D474E02" w14:textId="2D4DD70D"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Rogers, T. Wynn-Moylan, P (2022) Conferences and conventions: a global industry. 4th Edition. Routledge: Oxford</w:t>
      </w:r>
    </w:p>
    <w:p w14:paraId="01BB013F" w14:textId="72DDFB8B"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Smith, A. (2012) Events and urban regeneration: the strategic use of events to revitalise cities. Routledge: Oxford</w:t>
      </w:r>
    </w:p>
    <w:p w14:paraId="1D86F3CE" w14:textId="43FD1C11" w:rsidR="003408F3" w:rsidRPr="00D54876" w:rsidRDefault="003408F3" w:rsidP="00D54876">
      <w:pPr>
        <w:spacing w:line="360" w:lineRule="auto"/>
        <w:jc w:val="both"/>
        <w:rPr>
          <w:rFonts w:ascii="Times New Roman" w:hAnsi="Times New Roman" w:cs="Times New Roman"/>
          <w:sz w:val="24"/>
          <w:szCs w:val="24"/>
          <w:lang w:eastAsia="en-GB"/>
        </w:rPr>
      </w:pPr>
      <w:r w:rsidRPr="00D54876">
        <w:rPr>
          <w:rFonts w:ascii="Times New Roman" w:hAnsi="Times New Roman" w:cs="Times New Roman"/>
          <w:sz w:val="24"/>
          <w:szCs w:val="24"/>
          <w:lang w:eastAsia="en-GB"/>
        </w:rPr>
        <w:t>Wang, Y. and Jin, X., 2019. Event-based destination marketing: The role of mega-events. Event Management, 23(1), pp.109-118.</w:t>
      </w:r>
    </w:p>
    <w:sectPr w:rsidR="003408F3" w:rsidRPr="00D5487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AEC01A" w14:textId="77777777" w:rsidR="009C6871" w:rsidRDefault="009C6871" w:rsidP="00D4588D">
      <w:pPr>
        <w:spacing w:after="0" w:line="240" w:lineRule="auto"/>
      </w:pPr>
      <w:r>
        <w:separator/>
      </w:r>
    </w:p>
  </w:endnote>
  <w:endnote w:type="continuationSeparator" w:id="0">
    <w:p w14:paraId="1DB20035" w14:textId="77777777" w:rsidR="009C6871" w:rsidRDefault="009C6871" w:rsidP="00D45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3175357"/>
      <w:docPartObj>
        <w:docPartGallery w:val="Page Numbers (Bottom of Page)"/>
        <w:docPartUnique/>
      </w:docPartObj>
    </w:sdtPr>
    <w:sdtEndPr>
      <w:rPr>
        <w:noProof/>
      </w:rPr>
    </w:sdtEndPr>
    <w:sdtContent>
      <w:p w14:paraId="06AF2B92" w14:textId="41B92C10" w:rsidR="00D4588D" w:rsidRDefault="00D458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C25205" w14:textId="77777777" w:rsidR="00D4588D" w:rsidRDefault="00D45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545740" w14:textId="77777777" w:rsidR="009C6871" w:rsidRDefault="009C6871" w:rsidP="00D4588D">
      <w:pPr>
        <w:spacing w:after="0" w:line="240" w:lineRule="auto"/>
      </w:pPr>
      <w:r>
        <w:separator/>
      </w:r>
    </w:p>
  </w:footnote>
  <w:footnote w:type="continuationSeparator" w:id="0">
    <w:p w14:paraId="2E5AD1A2" w14:textId="77777777" w:rsidR="009C6871" w:rsidRDefault="009C6871" w:rsidP="00D458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83BE3"/>
    <w:multiLevelType w:val="hybridMultilevel"/>
    <w:tmpl w:val="B8EA5F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3320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88D"/>
    <w:rsid w:val="00180F91"/>
    <w:rsid w:val="003408F3"/>
    <w:rsid w:val="00544146"/>
    <w:rsid w:val="007B0CC3"/>
    <w:rsid w:val="009C6871"/>
    <w:rsid w:val="00B151A8"/>
    <w:rsid w:val="00C82D1F"/>
    <w:rsid w:val="00D4588D"/>
    <w:rsid w:val="00D54876"/>
    <w:rsid w:val="00EC3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75223"/>
  <w15:chartTrackingRefBased/>
  <w15:docId w15:val="{43F28F47-6413-4EB6-8486-3D80102BD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D458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58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8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58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58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58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58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8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D458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58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8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8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8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8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8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88D"/>
    <w:rPr>
      <w:rFonts w:eastAsiaTheme="majorEastAsia" w:cstheme="majorBidi"/>
      <w:color w:val="272727" w:themeColor="text1" w:themeTint="D8"/>
    </w:rPr>
  </w:style>
  <w:style w:type="paragraph" w:styleId="Title">
    <w:name w:val="Title"/>
    <w:basedOn w:val="Normal"/>
    <w:next w:val="Normal"/>
    <w:link w:val="TitleChar"/>
    <w:uiPriority w:val="10"/>
    <w:qFormat/>
    <w:rsid w:val="00D458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8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8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8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88D"/>
    <w:pPr>
      <w:spacing w:before="160"/>
      <w:jc w:val="center"/>
    </w:pPr>
    <w:rPr>
      <w:i/>
      <w:iCs/>
      <w:color w:val="404040" w:themeColor="text1" w:themeTint="BF"/>
    </w:rPr>
  </w:style>
  <w:style w:type="character" w:customStyle="1" w:styleId="QuoteChar">
    <w:name w:val="Quote Char"/>
    <w:basedOn w:val="DefaultParagraphFont"/>
    <w:link w:val="Quote"/>
    <w:uiPriority w:val="29"/>
    <w:rsid w:val="00D4588D"/>
    <w:rPr>
      <w:i/>
      <w:iCs/>
      <w:color w:val="404040" w:themeColor="text1" w:themeTint="BF"/>
    </w:rPr>
  </w:style>
  <w:style w:type="paragraph" w:styleId="ListParagraph">
    <w:name w:val="List Paragraph"/>
    <w:basedOn w:val="Normal"/>
    <w:uiPriority w:val="34"/>
    <w:qFormat/>
    <w:rsid w:val="00D4588D"/>
    <w:pPr>
      <w:ind w:left="720"/>
      <w:contextualSpacing/>
    </w:pPr>
  </w:style>
  <w:style w:type="character" w:styleId="IntenseEmphasis">
    <w:name w:val="Intense Emphasis"/>
    <w:basedOn w:val="DefaultParagraphFont"/>
    <w:uiPriority w:val="21"/>
    <w:qFormat/>
    <w:rsid w:val="00D4588D"/>
    <w:rPr>
      <w:i/>
      <w:iCs/>
      <w:color w:val="0F4761" w:themeColor="accent1" w:themeShade="BF"/>
    </w:rPr>
  </w:style>
  <w:style w:type="paragraph" w:styleId="IntenseQuote">
    <w:name w:val="Intense Quote"/>
    <w:basedOn w:val="Normal"/>
    <w:next w:val="Normal"/>
    <w:link w:val="IntenseQuoteChar"/>
    <w:uiPriority w:val="30"/>
    <w:qFormat/>
    <w:rsid w:val="00D458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88D"/>
    <w:rPr>
      <w:i/>
      <w:iCs/>
      <w:color w:val="0F4761" w:themeColor="accent1" w:themeShade="BF"/>
    </w:rPr>
  </w:style>
  <w:style w:type="character" w:styleId="IntenseReference">
    <w:name w:val="Intense Reference"/>
    <w:basedOn w:val="DefaultParagraphFont"/>
    <w:uiPriority w:val="32"/>
    <w:qFormat/>
    <w:rsid w:val="00D4588D"/>
    <w:rPr>
      <w:b/>
      <w:bCs/>
      <w:smallCaps/>
      <w:color w:val="0F4761" w:themeColor="accent1" w:themeShade="BF"/>
      <w:spacing w:val="5"/>
    </w:rPr>
  </w:style>
  <w:style w:type="paragraph" w:styleId="Header">
    <w:name w:val="header"/>
    <w:basedOn w:val="Normal"/>
    <w:link w:val="HeaderChar"/>
    <w:uiPriority w:val="99"/>
    <w:unhideWhenUsed/>
    <w:rsid w:val="00D45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88D"/>
  </w:style>
  <w:style w:type="paragraph" w:styleId="Footer">
    <w:name w:val="footer"/>
    <w:basedOn w:val="Normal"/>
    <w:link w:val="FooterChar"/>
    <w:uiPriority w:val="99"/>
    <w:unhideWhenUsed/>
    <w:rsid w:val="00D45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88D"/>
  </w:style>
  <w:style w:type="table" w:styleId="TableGrid">
    <w:name w:val="Table Grid"/>
    <w:basedOn w:val="TableNormal"/>
    <w:uiPriority w:val="39"/>
    <w:rsid w:val="00180F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C3536"/>
    <w:pPr>
      <w:outlineLvl w:val="9"/>
    </w:pPr>
    <w:rPr>
      <w:kern w:val="0"/>
      <w:lang w:val="en-US"/>
      <w14:ligatures w14:val="none"/>
    </w:rPr>
  </w:style>
  <w:style w:type="paragraph" w:styleId="TOC1">
    <w:name w:val="toc 1"/>
    <w:basedOn w:val="Normal"/>
    <w:next w:val="Normal"/>
    <w:autoRedefine/>
    <w:uiPriority w:val="39"/>
    <w:unhideWhenUsed/>
    <w:rsid w:val="00EC3536"/>
    <w:pPr>
      <w:spacing w:after="100"/>
    </w:pPr>
  </w:style>
  <w:style w:type="character" w:styleId="Hyperlink">
    <w:name w:val="Hyperlink"/>
    <w:basedOn w:val="DefaultParagraphFont"/>
    <w:uiPriority w:val="99"/>
    <w:unhideWhenUsed/>
    <w:rsid w:val="00EC3536"/>
    <w:rPr>
      <w:color w:val="467886" w:themeColor="hyperlink"/>
      <w:u w:val="single"/>
    </w:rPr>
  </w:style>
  <w:style w:type="character" w:styleId="UnresolvedMention">
    <w:name w:val="Unresolved Mention"/>
    <w:basedOn w:val="DefaultParagraphFont"/>
    <w:uiPriority w:val="99"/>
    <w:semiHidden/>
    <w:unhideWhenUsed/>
    <w:rsid w:val="003408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i.nl/en" TargetMode="External"/><Relationship Id="rId3" Type="http://schemas.openxmlformats.org/officeDocument/2006/relationships/settings" Target="settings.xml"/><Relationship Id="rId7" Type="http://schemas.openxmlformats.org/officeDocument/2006/relationships/hyperlink" Target="https://www.oecd.org/content/dam/oecd/en/publications/reports/2020/12/promoting-an-age-inclusive-workforce_835228f0/59752153-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13</Pages>
  <Words>3331</Words>
  <Characters>18988</Characters>
  <Application>Microsoft Office Word</Application>
  <DocSecurity>0</DocSecurity>
  <Lines>158</Lines>
  <Paragraphs>44</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 </vt:lpstr>
      <vt:lpstr>THE FLOW OF EVENTS</vt:lpstr>
      <vt:lpstr>EVENT IDEA</vt:lpstr>
      <vt:lpstr>AIM AND OBJECTIVES</vt:lpstr>
      <vt:lpstr>EVENT MANAGEMENT</vt:lpstr>
      <vt:lpstr>EVENT BUDGET</vt:lpstr>
      <vt:lpstr>INDUSTRY TRENDS, ISSUES, AND IMPACTS</vt:lpstr>
      <vt:lpstr>SITUATIONAL AND CULTURAL CONSIDERATIONS</vt:lpstr>
      <vt:lpstr>Conclusion </vt:lpstr>
      <vt:lpstr>References </vt:lpstr>
    </vt:vector>
  </TitlesOfParts>
  <Company/>
  <LinksUpToDate>false</LinksUpToDate>
  <CharactersWithSpaces>22275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2025-02-28T22:38:00Z</dcterms:created>
  <dcterms:modified xsi:type="dcterms:W3CDTF">2025-02-28T23:19:00Z</dcterms:modified>
</cp:coreProperties>
</file>