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7403138"/>
        <w:docPartObj>
          <w:docPartGallery w:val="Cover Pages"/>
          <w:docPartUnique/>
        </w:docPartObj>
      </w:sdtPr>
      <w:sdtEndPr>
        <w:rPr>
          <w:rFonts w:ascii="Calibri" w:hAnsi="Calibri" w:cs="Calibri"/>
        </w:rPr>
      </w:sdtEndPr>
      <w:sdtContent>
        <w:p w14:paraId="20688455" w14:textId="12D94225" w:rsidR="00DF6D15" w:rsidRDefault="00DF6D15">
          <w:r>
            <w:rPr>
              <w:noProof/>
            </w:rPr>
            <mc:AlternateContent>
              <mc:Choice Requires="wpg">
                <w:drawing>
                  <wp:anchor distT="0" distB="0" distL="114300" distR="114300" simplePos="0" relativeHeight="251662336" behindDoc="0" locked="0" layoutInCell="1" allowOverlap="1" wp14:anchorId="64A97B48" wp14:editId="18C8E4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3E6444"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3EDC99A6" w14:textId="72391917" w:rsidR="009371FC" w:rsidRDefault="009371FC">
          <w:pPr>
            <w:spacing w:after="160" w:line="259" w:lineRule="auto"/>
            <w:rPr>
              <w:rFonts w:ascii="Calibri" w:hAnsi="Calibri" w:cs="Calibri"/>
            </w:rPr>
          </w:pPr>
        </w:p>
        <w:p w14:paraId="11C67F4C" w14:textId="5DD791A3" w:rsidR="00DF6D15" w:rsidRDefault="00000000">
          <w:pPr>
            <w:spacing w:after="160" w:line="259" w:lineRule="auto"/>
            <w:rPr>
              <w:rFonts w:ascii="Calibri" w:hAnsi="Calibri" w:cs="Calibri"/>
            </w:rPr>
          </w:pPr>
        </w:p>
      </w:sdtContent>
    </w:sdt>
    <w:p w14:paraId="78EB7C3E" w14:textId="67E12F3B" w:rsidR="009371FC" w:rsidRDefault="009371FC" w:rsidP="00625297">
      <w:pPr>
        <w:spacing w:line="360" w:lineRule="auto"/>
        <w:rPr>
          <w:rFonts w:ascii="Calibri" w:hAnsi="Calibri" w:cs="Calibri"/>
          <w:color w:val="000000" w:themeColor="text1"/>
        </w:rPr>
      </w:pPr>
    </w:p>
    <w:p w14:paraId="0DE22F99" w14:textId="03B93AD3" w:rsidR="009371FC" w:rsidRDefault="009371FC" w:rsidP="00625297">
      <w:pPr>
        <w:spacing w:line="360" w:lineRule="auto"/>
        <w:rPr>
          <w:rFonts w:ascii="Calibri" w:hAnsi="Calibri" w:cs="Calibri"/>
          <w:color w:val="000000" w:themeColor="text1"/>
        </w:rPr>
      </w:pPr>
    </w:p>
    <w:p w14:paraId="35C5EE66" w14:textId="3C6AEED6" w:rsidR="009371FC" w:rsidRDefault="009371FC" w:rsidP="00625297">
      <w:pPr>
        <w:spacing w:line="360" w:lineRule="auto"/>
        <w:rPr>
          <w:rFonts w:ascii="Calibri" w:hAnsi="Calibri" w:cs="Calibri"/>
          <w:color w:val="000000" w:themeColor="text1"/>
        </w:rPr>
      </w:pPr>
    </w:p>
    <w:p w14:paraId="0921C271" w14:textId="7E1A9A00" w:rsidR="009371FC" w:rsidRDefault="009371FC" w:rsidP="00625297">
      <w:pPr>
        <w:spacing w:line="360" w:lineRule="auto"/>
        <w:rPr>
          <w:rFonts w:ascii="Calibri" w:hAnsi="Calibri" w:cs="Calibri"/>
          <w:color w:val="000000" w:themeColor="text1"/>
        </w:rPr>
      </w:pPr>
    </w:p>
    <w:p w14:paraId="2FDD4207" w14:textId="349D23A9" w:rsidR="009371FC" w:rsidRDefault="009371FC" w:rsidP="00625297">
      <w:pPr>
        <w:spacing w:line="360" w:lineRule="auto"/>
        <w:rPr>
          <w:rFonts w:ascii="Calibri" w:hAnsi="Calibri" w:cs="Calibri"/>
          <w:color w:val="000000" w:themeColor="text1"/>
        </w:rPr>
      </w:pPr>
    </w:p>
    <w:p w14:paraId="2A2C7361" w14:textId="0206DEE9" w:rsidR="009371FC" w:rsidRDefault="009371FC" w:rsidP="00625297">
      <w:pPr>
        <w:spacing w:line="360" w:lineRule="auto"/>
        <w:rPr>
          <w:rFonts w:ascii="Calibri" w:hAnsi="Calibri" w:cs="Calibri"/>
          <w:color w:val="000000" w:themeColor="text1"/>
        </w:rPr>
      </w:pPr>
    </w:p>
    <w:p w14:paraId="3FAA5121" w14:textId="7C881E85" w:rsidR="009371FC" w:rsidRDefault="009371FC" w:rsidP="00625297">
      <w:pPr>
        <w:spacing w:line="360" w:lineRule="auto"/>
        <w:rPr>
          <w:rFonts w:ascii="Calibri" w:hAnsi="Calibri" w:cs="Calibri"/>
          <w:color w:val="000000" w:themeColor="text1"/>
        </w:rPr>
      </w:pPr>
    </w:p>
    <w:p w14:paraId="3B5510D5" w14:textId="2106D51F" w:rsidR="009371FC" w:rsidRDefault="009371FC" w:rsidP="00625297">
      <w:pPr>
        <w:spacing w:line="360" w:lineRule="auto"/>
        <w:rPr>
          <w:rFonts w:ascii="Calibri" w:hAnsi="Calibri" w:cs="Calibri"/>
          <w:color w:val="000000" w:themeColor="text1"/>
        </w:rPr>
      </w:pPr>
    </w:p>
    <w:p w14:paraId="3425781D" w14:textId="6ED26689" w:rsidR="009371FC" w:rsidRDefault="009371FC" w:rsidP="00625297">
      <w:pPr>
        <w:spacing w:line="360" w:lineRule="auto"/>
        <w:rPr>
          <w:rFonts w:ascii="Calibri" w:hAnsi="Calibri" w:cs="Calibri"/>
          <w:color w:val="000000" w:themeColor="text1"/>
        </w:rPr>
      </w:pPr>
    </w:p>
    <w:p w14:paraId="1D76BCD4" w14:textId="3380A7CC" w:rsidR="009371FC" w:rsidRDefault="009371FC" w:rsidP="00625297">
      <w:pPr>
        <w:spacing w:line="360" w:lineRule="auto"/>
        <w:rPr>
          <w:rFonts w:ascii="Calibri" w:hAnsi="Calibri" w:cs="Calibri"/>
          <w:color w:val="000000" w:themeColor="text1"/>
        </w:rPr>
      </w:pPr>
    </w:p>
    <w:p w14:paraId="27A07375" w14:textId="111BFF74" w:rsidR="009371FC" w:rsidRDefault="009371FC" w:rsidP="00625297">
      <w:pPr>
        <w:spacing w:line="360" w:lineRule="auto"/>
        <w:rPr>
          <w:rFonts w:ascii="Calibri" w:hAnsi="Calibri" w:cs="Calibri"/>
          <w:color w:val="000000" w:themeColor="text1"/>
        </w:rPr>
      </w:pPr>
    </w:p>
    <w:p w14:paraId="55717392" w14:textId="18B48856" w:rsidR="009371FC" w:rsidRDefault="009371FC" w:rsidP="00625297">
      <w:pPr>
        <w:spacing w:line="360" w:lineRule="auto"/>
        <w:rPr>
          <w:rFonts w:ascii="Calibri" w:hAnsi="Calibri" w:cs="Calibri"/>
          <w:color w:val="000000" w:themeColor="text1"/>
        </w:rPr>
      </w:pPr>
      <w:r>
        <w:rPr>
          <w:rFonts w:ascii="Calibri" w:hAnsi="Calibri" w:cs="Calibri"/>
          <w:noProof/>
        </w:rPr>
        <w:drawing>
          <wp:anchor distT="0" distB="0" distL="114300" distR="114300" simplePos="0" relativeHeight="251663360" behindDoc="1" locked="0" layoutInCell="1" allowOverlap="1" wp14:anchorId="7BA6E40A" wp14:editId="2B9068F4">
            <wp:simplePos x="0" y="0"/>
            <wp:positionH relativeFrom="column">
              <wp:posOffset>518982</wp:posOffset>
            </wp:positionH>
            <wp:positionV relativeFrom="paragraph">
              <wp:posOffset>105522</wp:posOffset>
            </wp:positionV>
            <wp:extent cx="4986020" cy="4474210"/>
            <wp:effectExtent l="0" t="0" r="5080" b="0"/>
            <wp:wrapTight wrapText="bothSides">
              <wp:wrapPolygon edited="0">
                <wp:start x="0" y="0"/>
                <wp:lineTo x="0" y="21520"/>
                <wp:lineTo x="21567" y="21520"/>
                <wp:lineTo x="21567" y="0"/>
                <wp:lineTo x="0" y="0"/>
              </wp:wrapPolygon>
            </wp:wrapTight>
            <wp:docPr id="1139097453"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97453" name="Picture 1" descr="A screenshot of a pap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86020" cy="4474210"/>
                    </a:xfrm>
                    <a:prstGeom prst="rect">
                      <a:avLst/>
                    </a:prstGeom>
                  </pic:spPr>
                </pic:pic>
              </a:graphicData>
            </a:graphic>
            <wp14:sizeRelH relativeFrom="page">
              <wp14:pctWidth>0</wp14:pctWidth>
            </wp14:sizeRelH>
            <wp14:sizeRelV relativeFrom="page">
              <wp14:pctHeight>0</wp14:pctHeight>
            </wp14:sizeRelV>
          </wp:anchor>
        </w:drawing>
      </w:r>
    </w:p>
    <w:p w14:paraId="04BDF623" w14:textId="77777777" w:rsidR="009371FC" w:rsidRDefault="009371FC" w:rsidP="00625297">
      <w:pPr>
        <w:spacing w:line="360" w:lineRule="auto"/>
        <w:rPr>
          <w:rFonts w:ascii="Calibri" w:hAnsi="Calibri" w:cs="Calibri"/>
          <w:color w:val="000000" w:themeColor="text1"/>
        </w:rPr>
      </w:pPr>
    </w:p>
    <w:p w14:paraId="1EC19D06" w14:textId="77777777" w:rsidR="009371FC" w:rsidRDefault="009371FC" w:rsidP="00625297">
      <w:pPr>
        <w:spacing w:line="360" w:lineRule="auto"/>
        <w:rPr>
          <w:rFonts w:ascii="Calibri" w:hAnsi="Calibri" w:cs="Calibri"/>
          <w:color w:val="000000" w:themeColor="text1"/>
        </w:rPr>
      </w:pPr>
    </w:p>
    <w:p w14:paraId="2FC5012B" w14:textId="77777777" w:rsidR="009371FC" w:rsidRDefault="009371FC" w:rsidP="00625297">
      <w:pPr>
        <w:spacing w:line="360" w:lineRule="auto"/>
        <w:rPr>
          <w:rFonts w:ascii="Calibri" w:hAnsi="Calibri" w:cs="Calibri"/>
          <w:color w:val="000000" w:themeColor="text1"/>
        </w:rPr>
      </w:pPr>
    </w:p>
    <w:p w14:paraId="7D71ADC8" w14:textId="77777777" w:rsidR="009371FC" w:rsidRDefault="009371FC" w:rsidP="00625297">
      <w:pPr>
        <w:spacing w:line="360" w:lineRule="auto"/>
        <w:rPr>
          <w:rFonts w:ascii="Calibri" w:hAnsi="Calibri" w:cs="Calibri"/>
          <w:color w:val="000000" w:themeColor="text1"/>
        </w:rPr>
      </w:pPr>
    </w:p>
    <w:p w14:paraId="58267B95" w14:textId="77777777" w:rsidR="009371FC" w:rsidRDefault="009371FC" w:rsidP="00625297">
      <w:pPr>
        <w:spacing w:line="360" w:lineRule="auto"/>
        <w:rPr>
          <w:rFonts w:ascii="Calibri" w:hAnsi="Calibri" w:cs="Calibri"/>
          <w:color w:val="000000" w:themeColor="text1"/>
        </w:rPr>
      </w:pPr>
    </w:p>
    <w:p w14:paraId="151FB716" w14:textId="77777777" w:rsidR="009371FC" w:rsidRDefault="009371FC" w:rsidP="00625297">
      <w:pPr>
        <w:spacing w:line="360" w:lineRule="auto"/>
        <w:rPr>
          <w:rFonts w:ascii="Calibri" w:hAnsi="Calibri" w:cs="Calibri"/>
          <w:color w:val="000000" w:themeColor="text1"/>
        </w:rPr>
      </w:pPr>
    </w:p>
    <w:p w14:paraId="598AB699" w14:textId="77777777" w:rsidR="009371FC" w:rsidRDefault="009371FC" w:rsidP="00625297">
      <w:pPr>
        <w:spacing w:line="360" w:lineRule="auto"/>
        <w:rPr>
          <w:rFonts w:ascii="Calibri" w:hAnsi="Calibri" w:cs="Calibri"/>
          <w:color w:val="000000" w:themeColor="text1"/>
        </w:rPr>
      </w:pPr>
    </w:p>
    <w:p w14:paraId="4B7C3D66" w14:textId="77777777" w:rsidR="009371FC" w:rsidRDefault="009371FC" w:rsidP="00625297">
      <w:pPr>
        <w:spacing w:line="360" w:lineRule="auto"/>
        <w:rPr>
          <w:rFonts w:ascii="Calibri" w:hAnsi="Calibri" w:cs="Calibri"/>
          <w:color w:val="000000" w:themeColor="text1"/>
        </w:rPr>
      </w:pPr>
    </w:p>
    <w:p w14:paraId="24304909" w14:textId="77777777" w:rsidR="009371FC" w:rsidRDefault="009371FC" w:rsidP="00625297">
      <w:pPr>
        <w:spacing w:line="360" w:lineRule="auto"/>
        <w:rPr>
          <w:rFonts w:ascii="Calibri" w:hAnsi="Calibri" w:cs="Calibri"/>
          <w:color w:val="000000" w:themeColor="text1"/>
        </w:rPr>
      </w:pPr>
    </w:p>
    <w:p w14:paraId="0DF685C0" w14:textId="77777777" w:rsidR="009371FC" w:rsidRDefault="009371FC" w:rsidP="00625297">
      <w:pPr>
        <w:spacing w:line="360" w:lineRule="auto"/>
        <w:rPr>
          <w:rFonts w:ascii="Calibri" w:hAnsi="Calibri" w:cs="Calibri"/>
          <w:color w:val="000000" w:themeColor="text1"/>
        </w:rPr>
      </w:pPr>
    </w:p>
    <w:p w14:paraId="51B0F231" w14:textId="77777777" w:rsidR="009371FC" w:rsidRDefault="009371FC" w:rsidP="00625297">
      <w:pPr>
        <w:spacing w:line="360" w:lineRule="auto"/>
        <w:rPr>
          <w:rFonts w:ascii="Calibri" w:hAnsi="Calibri" w:cs="Calibri"/>
          <w:color w:val="000000" w:themeColor="text1"/>
        </w:rPr>
      </w:pPr>
    </w:p>
    <w:p w14:paraId="4644E9A5" w14:textId="77777777" w:rsidR="009371FC" w:rsidRDefault="009371FC" w:rsidP="00625297">
      <w:pPr>
        <w:spacing w:line="360" w:lineRule="auto"/>
        <w:rPr>
          <w:rFonts w:ascii="Calibri" w:hAnsi="Calibri" w:cs="Calibri"/>
          <w:color w:val="000000" w:themeColor="text1"/>
        </w:rPr>
      </w:pPr>
    </w:p>
    <w:p w14:paraId="6FCB966D" w14:textId="77777777" w:rsidR="009371FC" w:rsidRDefault="009371FC" w:rsidP="00625297">
      <w:pPr>
        <w:spacing w:line="360" w:lineRule="auto"/>
        <w:rPr>
          <w:rFonts w:ascii="Calibri" w:hAnsi="Calibri" w:cs="Calibri"/>
          <w:color w:val="000000" w:themeColor="text1"/>
        </w:rPr>
      </w:pPr>
    </w:p>
    <w:p w14:paraId="4EA36A3C" w14:textId="77777777" w:rsidR="009371FC" w:rsidRDefault="009371FC" w:rsidP="00625297">
      <w:pPr>
        <w:spacing w:line="360" w:lineRule="auto"/>
        <w:rPr>
          <w:rFonts w:ascii="Calibri" w:hAnsi="Calibri" w:cs="Calibri"/>
          <w:color w:val="000000" w:themeColor="text1"/>
        </w:rPr>
      </w:pPr>
    </w:p>
    <w:p w14:paraId="2BB0BB51" w14:textId="77777777" w:rsidR="009371FC" w:rsidRDefault="009371FC" w:rsidP="00625297">
      <w:pPr>
        <w:spacing w:line="360" w:lineRule="auto"/>
        <w:rPr>
          <w:rFonts w:ascii="Calibri" w:hAnsi="Calibri" w:cs="Calibri"/>
          <w:color w:val="000000" w:themeColor="text1"/>
        </w:rPr>
      </w:pPr>
    </w:p>
    <w:p w14:paraId="731DDA4E" w14:textId="77777777" w:rsidR="009371FC" w:rsidRDefault="009371FC" w:rsidP="00625297">
      <w:pPr>
        <w:spacing w:line="360" w:lineRule="auto"/>
        <w:rPr>
          <w:rFonts w:ascii="Calibri" w:hAnsi="Calibri" w:cs="Calibri"/>
          <w:color w:val="000000" w:themeColor="text1"/>
        </w:rPr>
      </w:pPr>
    </w:p>
    <w:p w14:paraId="0B40050F" w14:textId="77777777" w:rsidR="008D46DB" w:rsidRPr="00625297" w:rsidRDefault="008D46DB" w:rsidP="00625297">
      <w:pPr>
        <w:spacing w:line="360" w:lineRule="auto"/>
        <w:rPr>
          <w:rFonts w:ascii="Calibri" w:hAnsi="Calibri" w:cs="Calibri"/>
          <w:i/>
          <w:iCs/>
          <w:color w:val="000000" w:themeColor="text1"/>
        </w:rPr>
      </w:pPr>
    </w:p>
    <w:p w14:paraId="3BB795D3" w14:textId="66C8C056" w:rsidR="00893B8B" w:rsidRPr="00893B8B" w:rsidRDefault="00893B8B" w:rsidP="00893B8B">
      <w:pPr>
        <w:spacing w:line="360" w:lineRule="auto"/>
        <w:rPr>
          <w:rFonts w:ascii="Calibri" w:hAnsi="Calibri" w:cs="Calibri"/>
        </w:rPr>
      </w:pPr>
      <w:r w:rsidRPr="00893B8B">
        <w:rPr>
          <w:rFonts w:ascii="Calibri" w:hAnsi="Calibri" w:cs="Calibri"/>
        </w:rPr>
        <w:lastRenderedPageBreak/>
        <w:t xml:space="preserve">Archaeologists study past funerary practices to understand historical contexts and provide insights into social environments. Burial is a significant act that offers information about funerary practices and social contexts (Parker-Pearson, 2021, pp. 17-23). Archaeologists can reverse the burial process of the deceased, and the objects interred when they open a tomb and investigate its contents layer by layer (Lai, 2015, pp. 189-192). Since 1974, an underground army consisting of several thousand life-sized terracotta soldiers, horses, and war chariots has been excavated from a site located near the burial chamber of the First Chinese Emperor, Qin Shi Huangdi (246-210 B.C.), in </w:t>
      </w:r>
      <w:proofErr w:type="spellStart"/>
      <w:r w:rsidRPr="00893B8B">
        <w:rPr>
          <w:rFonts w:ascii="Calibri" w:hAnsi="Calibri" w:cs="Calibri"/>
        </w:rPr>
        <w:t>Lintong</w:t>
      </w:r>
      <w:proofErr w:type="spellEnd"/>
      <w:r w:rsidRPr="00893B8B">
        <w:rPr>
          <w:rFonts w:ascii="Calibri" w:hAnsi="Calibri" w:cs="Calibri"/>
        </w:rPr>
        <w:t>, Shaanxi province located approximately thirty-five kilometres east of the provincial capital of Xi'an (</w:t>
      </w:r>
      <w:proofErr w:type="spellStart"/>
      <w:r w:rsidRPr="00893B8B">
        <w:rPr>
          <w:rFonts w:ascii="Calibri" w:hAnsi="Calibri" w:cs="Calibri"/>
        </w:rPr>
        <w:t>Ledderose</w:t>
      </w:r>
      <w:proofErr w:type="spellEnd"/>
      <w:r w:rsidRPr="00893B8B">
        <w:rPr>
          <w:rFonts w:ascii="Calibri" w:hAnsi="Calibri" w:cs="Calibri"/>
        </w:rPr>
        <w:t>, 2000, pp. 51-73; De Gruyter, 2015; Shi, 2014). This discovery has gained widespread recognition as one of the most magnificent archaeological findings of the twentieth century (</w:t>
      </w:r>
      <w:proofErr w:type="spellStart"/>
      <w:r w:rsidRPr="00893B8B">
        <w:rPr>
          <w:rFonts w:ascii="Calibri" w:hAnsi="Calibri" w:cs="Calibri"/>
        </w:rPr>
        <w:t>Kesner</w:t>
      </w:r>
      <w:proofErr w:type="spellEnd"/>
      <w:r w:rsidRPr="00893B8B">
        <w:rPr>
          <w:rFonts w:ascii="Calibri" w:hAnsi="Calibri" w:cs="Calibri"/>
        </w:rPr>
        <w:t>, 1995).</w:t>
      </w:r>
    </w:p>
    <w:p w14:paraId="2C393D11" w14:textId="3D6C2FD7" w:rsidR="00893B8B" w:rsidRPr="00893B8B" w:rsidRDefault="00893B8B" w:rsidP="00893B8B">
      <w:pPr>
        <w:spacing w:line="360" w:lineRule="auto"/>
        <w:rPr>
          <w:rFonts w:ascii="Calibri" w:hAnsi="Calibri" w:cs="Calibri"/>
        </w:rPr>
      </w:pPr>
      <w:r w:rsidRPr="00893B8B">
        <w:rPr>
          <w:rFonts w:ascii="Calibri" w:hAnsi="Calibri" w:cs="Calibri"/>
        </w:rPr>
        <w:t>This essay will ex</w:t>
      </w:r>
      <w:r w:rsidR="00231BDF">
        <w:rPr>
          <w:rFonts w:ascii="Calibri" w:hAnsi="Calibri" w:cs="Calibri"/>
        </w:rPr>
        <w:t>plore</w:t>
      </w:r>
      <w:r w:rsidRPr="00893B8B">
        <w:rPr>
          <w:rFonts w:ascii="Calibri" w:hAnsi="Calibri" w:cs="Calibri"/>
        </w:rPr>
        <w:t xml:space="preserve"> Chinese beliefs about the afterlife during the reign of Qin Shi Huangdi. The focus will be on analysing the </w:t>
      </w:r>
      <w:r w:rsidR="00231BDF">
        <w:rPr>
          <w:rFonts w:ascii="Calibri" w:hAnsi="Calibri" w:cs="Calibri"/>
        </w:rPr>
        <w:t xml:space="preserve">reason the </w:t>
      </w:r>
      <w:r w:rsidRPr="00893B8B">
        <w:rPr>
          <w:rFonts w:ascii="Calibri" w:hAnsi="Calibri" w:cs="Calibri"/>
        </w:rPr>
        <w:t>terracotta warriors</w:t>
      </w:r>
      <w:r w:rsidR="00231BDF">
        <w:rPr>
          <w:rFonts w:ascii="Calibri" w:hAnsi="Calibri" w:cs="Calibri"/>
        </w:rPr>
        <w:t xml:space="preserve"> were created</w:t>
      </w:r>
      <w:r w:rsidR="00FD4941">
        <w:rPr>
          <w:rFonts w:ascii="Calibri" w:hAnsi="Calibri" w:cs="Calibri"/>
        </w:rPr>
        <w:t xml:space="preserve"> and their significance in the Emperor's belief in the afterlife, his fear of death, and his </w:t>
      </w:r>
      <w:r w:rsidRPr="00893B8B">
        <w:rPr>
          <w:rFonts w:ascii="Calibri" w:hAnsi="Calibri" w:cs="Calibri"/>
        </w:rPr>
        <w:t>pursuit of immortality</w:t>
      </w:r>
      <w:r w:rsidR="00231BDF">
        <w:rPr>
          <w:rFonts w:ascii="Calibri" w:hAnsi="Calibri" w:cs="Calibri"/>
        </w:rPr>
        <w:t>.</w:t>
      </w:r>
      <w:r w:rsidRPr="00893B8B">
        <w:rPr>
          <w:rFonts w:ascii="Calibri" w:hAnsi="Calibri" w:cs="Calibri"/>
        </w:rPr>
        <w:t xml:space="preserve"> </w:t>
      </w:r>
      <w:r w:rsidR="003E6508">
        <w:rPr>
          <w:rFonts w:ascii="Calibri" w:hAnsi="Calibri" w:cs="Calibri"/>
        </w:rPr>
        <w:t xml:space="preserve">During his reign, the Emperor's soldiers played a crucial role in conquering and maintaining dominance over China. The terracotta soldiers were created in their likeness to </w:t>
      </w:r>
      <w:r w:rsidR="00231BDF">
        <w:rPr>
          <w:rFonts w:ascii="Calibri" w:hAnsi="Calibri" w:cs="Calibri"/>
        </w:rPr>
        <w:t xml:space="preserve">allow the Emperor to </w:t>
      </w:r>
      <w:r w:rsidR="00FD4941">
        <w:rPr>
          <w:rFonts w:ascii="Calibri" w:hAnsi="Calibri" w:cs="Calibri"/>
        </w:rPr>
        <w:t xml:space="preserve">protect him and allow him to </w:t>
      </w:r>
      <w:r w:rsidR="00231BDF">
        <w:rPr>
          <w:rFonts w:ascii="Calibri" w:hAnsi="Calibri" w:cs="Calibri"/>
        </w:rPr>
        <w:t xml:space="preserve">continue to rule in the afterlife. </w:t>
      </w:r>
    </w:p>
    <w:p w14:paraId="2AE87D2F" w14:textId="19AC8BBC" w:rsidR="00893B8B" w:rsidRPr="00893B8B" w:rsidRDefault="007D625A" w:rsidP="00893B8B">
      <w:pPr>
        <w:spacing w:line="360" w:lineRule="auto"/>
        <w:rPr>
          <w:rFonts w:ascii="Calibri" w:hAnsi="Calibri" w:cs="Calibri"/>
        </w:rPr>
      </w:pPr>
      <w:r>
        <w:rPr>
          <w:rFonts w:ascii="Calibri" w:hAnsi="Calibri" w:cs="Calibri"/>
          <w:noProof/>
        </w:rPr>
        <w:drawing>
          <wp:anchor distT="0" distB="0" distL="114300" distR="114300" simplePos="0" relativeHeight="251664384" behindDoc="1" locked="0" layoutInCell="1" allowOverlap="1" wp14:anchorId="1315CE32" wp14:editId="3BA6E9BA">
            <wp:simplePos x="0" y="0"/>
            <wp:positionH relativeFrom="margin">
              <wp:posOffset>3850640</wp:posOffset>
            </wp:positionH>
            <wp:positionV relativeFrom="margin">
              <wp:posOffset>4885690</wp:posOffset>
            </wp:positionV>
            <wp:extent cx="1912620" cy="2038350"/>
            <wp:effectExtent l="0" t="0" r="5080" b="6350"/>
            <wp:wrapSquare wrapText="bothSides"/>
            <wp:docPr id="1990990373" name="Picture 2" descr="A close-up of a paint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90373" name="Picture 2" descr="A close-up of a painting of a pers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2620" cy="2038350"/>
                    </a:xfrm>
                    <a:prstGeom prst="rect">
                      <a:avLst/>
                    </a:prstGeom>
                  </pic:spPr>
                </pic:pic>
              </a:graphicData>
            </a:graphic>
            <wp14:sizeRelH relativeFrom="page">
              <wp14:pctWidth>0</wp14:pctWidth>
            </wp14:sizeRelH>
            <wp14:sizeRelV relativeFrom="page">
              <wp14:pctHeight>0</wp14:pctHeight>
            </wp14:sizeRelV>
          </wp:anchor>
        </w:drawing>
      </w:r>
    </w:p>
    <w:p w14:paraId="5BCC966B" w14:textId="5AFE08A1" w:rsidR="00893B8B" w:rsidRPr="00893B8B" w:rsidRDefault="007D625A" w:rsidP="00893B8B">
      <w:pPr>
        <w:spacing w:line="360" w:lineRule="auto"/>
        <w:rPr>
          <w:rFonts w:ascii="Calibri" w:hAnsi="Calibri" w:cs="Calibri"/>
        </w:rPr>
      </w:pPr>
      <w:r>
        <w:rPr>
          <w:rFonts w:ascii="Calibri" w:hAnsi="Calibri" w:cs="Calibri"/>
          <w:noProof/>
        </w:rPr>
        <w:drawing>
          <wp:anchor distT="0" distB="0" distL="114300" distR="114300" simplePos="0" relativeHeight="251665408" behindDoc="1" locked="0" layoutInCell="1" allowOverlap="1" wp14:anchorId="52A34DB5" wp14:editId="1F69DF44">
            <wp:simplePos x="0" y="0"/>
            <wp:positionH relativeFrom="margin">
              <wp:posOffset>-160020</wp:posOffset>
            </wp:positionH>
            <wp:positionV relativeFrom="margin">
              <wp:posOffset>6701155</wp:posOffset>
            </wp:positionV>
            <wp:extent cx="1998345" cy="2186940"/>
            <wp:effectExtent l="0" t="0" r="0" b="0"/>
            <wp:wrapSquare wrapText="bothSides"/>
            <wp:docPr id="173621301" name="Picture 3" descr="A map of china with red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1301" name="Picture 3" descr="A map of china with red and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8345" cy="2186940"/>
                    </a:xfrm>
                    <a:prstGeom prst="rect">
                      <a:avLst/>
                    </a:prstGeom>
                  </pic:spPr>
                </pic:pic>
              </a:graphicData>
            </a:graphic>
            <wp14:sizeRelH relativeFrom="page">
              <wp14:pctWidth>0</wp14:pctWidth>
            </wp14:sizeRelH>
            <wp14:sizeRelV relativeFrom="page">
              <wp14:pctHeight>0</wp14:pctHeight>
            </wp14:sizeRelV>
          </wp:anchor>
        </w:drawing>
      </w:r>
      <w:r w:rsidR="00893B8B" w:rsidRPr="00893B8B">
        <w:rPr>
          <w:rFonts w:ascii="Calibri" w:hAnsi="Calibri" w:cs="Calibri"/>
        </w:rPr>
        <w:t>Qin Shi Huangdi is a highly significant historical figure in Chinese and world history</w:t>
      </w:r>
      <w:r>
        <w:rPr>
          <w:rFonts w:ascii="Calibri" w:hAnsi="Calibri" w:cs="Calibri"/>
        </w:rPr>
        <w:t xml:space="preserve"> (See Figure 1)</w:t>
      </w:r>
      <w:r w:rsidR="00893B8B" w:rsidRPr="00893B8B">
        <w:rPr>
          <w:rFonts w:ascii="Calibri" w:hAnsi="Calibri" w:cs="Calibri"/>
        </w:rPr>
        <w:t>. Originally known as King Zheng of Qin, he conquered the Six States, which marked the end of the Warring States period and the unification of the territory now recognised as China</w:t>
      </w:r>
      <w:r>
        <w:rPr>
          <w:rFonts w:ascii="Calibri" w:hAnsi="Calibri" w:cs="Calibri"/>
        </w:rPr>
        <w:t xml:space="preserve"> (See Figure 2)</w:t>
      </w:r>
      <w:r w:rsidR="00893B8B" w:rsidRPr="00893B8B">
        <w:rPr>
          <w:rFonts w:ascii="Calibri" w:hAnsi="Calibri" w:cs="Calibri"/>
        </w:rPr>
        <w:t xml:space="preserve">. In 221 B.C., the Chinese Empire was established when he declared himself as the ruler (Rawson, 2002; Portal, 2007, p. 30) and named himself Qin Shi Huangdi, which translates to the First August Emperor of Qin or Great August Thearch with its spiritual undertones (Rawson, 2023, pp. 327-360). The Emperor regarded himself as a supreme ruler with cosmic authority (Portal, 2007, pp. 114-151). Much speculation existed surrounding cosmology during the late Warring States and </w:t>
      </w:r>
      <w:r w:rsidR="00893B8B" w:rsidRPr="00893B8B">
        <w:rPr>
          <w:rFonts w:ascii="Calibri" w:hAnsi="Calibri" w:cs="Calibri"/>
        </w:rPr>
        <w:lastRenderedPageBreak/>
        <w:t>early Empires era (Lai, 2015, pp. 1-24). The concept of immortality had a distinct meaning in the East compared to the West. The term</w:t>
      </w:r>
      <w:r w:rsidR="00262BAD">
        <w:rPr>
          <w:rFonts w:ascii="Calibri" w:hAnsi="Calibri" w:cs="Calibri"/>
        </w:rPr>
        <w:t xml:space="preserve"> </w:t>
      </w:r>
      <w:r w:rsidR="00893B8B" w:rsidRPr="00893B8B">
        <w:rPr>
          <w:rFonts w:ascii="Calibri" w:hAnsi="Calibri" w:cs="Calibri"/>
        </w:rPr>
        <w:t xml:space="preserve">' </w:t>
      </w:r>
      <w:r w:rsidR="00893B8B" w:rsidRPr="00262BAD">
        <w:rPr>
          <w:rFonts w:ascii="Calibri" w:hAnsi="Calibri" w:cs="Calibri"/>
          <w:i/>
          <w:iCs/>
        </w:rPr>
        <w:t>bu si</w:t>
      </w:r>
      <w:r w:rsidR="00262BAD">
        <w:rPr>
          <w:rFonts w:ascii="Calibri" w:hAnsi="Calibri" w:cs="Calibri"/>
          <w:i/>
          <w:iCs/>
        </w:rPr>
        <w:t xml:space="preserve"> </w:t>
      </w:r>
      <w:r w:rsidR="00893B8B" w:rsidRPr="00262BAD">
        <w:rPr>
          <w:rFonts w:ascii="Calibri" w:hAnsi="Calibri" w:cs="Calibri"/>
        </w:rPr>
        <w:t xml:space="preserve">' </w:t>
      </w:r>
      <w:r w:rsidR="00893B8B" w:rsidRPr="00893B8B">
        <w:rPr>
          <w:rFonts w:ascii="Calibri" w:hAnsi="Calibri" w:cs="Calibri"/>
        </w:rPr>
        <w:t xml:space="preserve">in Chinese translates to 'non-death' and was the form of immortality the First Emperor of China sought to achieve (Portal, 2007, pp. 114-152). It was believed that every person had two souls: the </w:t>
      </w:r>
      <w:proofErr w:type="spellStart"/>
      <w:r w:rsidR="00893B8B" w:rsidRPr="00893B8B">
        <w:rPr>
          <w:rFonts w:ascii="Calibri" w:hAnsi="Calibri" w:cs="Calibri"/>
        </w:rPr>
        <w:t>hun</w:t>
      </w:r>
      <w:proofErr w:type="spellEnd"/>
      <w:r w:rsidR="00893B8B" w:rsidRPr="00893B8B">
        <w:rPr>
          <w:rFonts w:ascii="Calibri" w:hAnsi="Calibri" w:cs="Calibri"/>
        </w:rPr>
        <w:t xml:space="preserve"> soul and the po soul (Hung, 2009). The spirit soul would depart to the land of immortals after death, while the earth soul would stay with the body during burial. It was essential to attend to both souls to ensure they found peace. The governance system in the spirit world resembled the Chinese Kingdom, where individuals could use the same objects they had used in their previous life in the next life, and the key to these objects was realism (Man, 2018, pp. 107-145). Since the po soul cannot leave the tomb, it turns it into a replica of the deceased individual's house where it can reside, just as it did during life (Lewis, 2010, p. 199). The Emperor sought physical immortality by consulting with alchemists who recommended mercury-containing pills and potions (Portal, 2007, p. 21). Multiple voyages were despatched to the far eastern sea to find the legendary lands of Penglai, Yingzhou, and Fangzhang</w:t>
      </w:r>
      <w:r w:rsidR="00BE3ADE">
        <w:rPr>
          <w:rFonts w:ascii="Calibri" w:hAnsi="Calibri" w:cs="Calibri"/>
        </w:rPr>
        <w:t xml:space="preserve"> to</w:t>
      </w:r>
      <w:r w:rsidR="00893B8B" w:rsidRPr="00893B8B">
        <w:rPr>
          <w:rFonts w:ascii="Calibri" w:hAnsi="Calibri" w:cs="Calibri"/>
        </w:rPr>
        <w:t xml:space="preserve"> find the elusive herbs and plants that held the key to immortality, but these proved fruitless. He passed away unexpectedly while on a tour of the eastern region in 210 B.C., possibly due to the consumption of mercury pills</w:t>
      </w:r>
      <w:r w:rsidR="00123BC2">
        <w:rPr>
          <w:rFonts w:ascii="Calibri" w:hAnsi="Calibri" w:cs="Calibri"/>
        </w:rPr>
        <w:t xml:space="preserve"> </w:t>
      </w:r>
      <w:r w:rsidR="006C3BCE">
        <w:rPr>
          <w:rFonts w:ascii="Calibri" w:hAnsi="Calibri" w:cs="Calibri"/>
        </w:rPr>
        <w:t>because of</w:t>
      </w:r>
      <w:r w:rsidR="00123BC2">
        <w:rPr>
          <w:rFonts w:ascii="Calibri" w:hAnsi="Calibri" w:cs="Calibri"/>
        </w:rPr>
        <w:t xml:space="preserve"> his pursuit of immortality</w:t>
      </w:r>
      <w:r w:rsidR="00893B8B" w:rsidRPr="00893B8B">
        <w:rPr>
          <w:rFonts w:ascii="Calibri" w:hAnsi="Calibri" w:cs="Calibri"/>
        </w:rPr>
        <w:t xml:space="preserve"> (O'Connor and Weatherall, 2019, p. 46). </w:t>
      </w:r>
    </w:p>
    <w:p w14:paraId="52B3734B" w14:textId="0AFAC2F1" w:rsidR="00893B8B" w:rsidRPr="00893B8B" w:rsidRDefault="000A112A" w:rsidP="00893B8B">
      <w:pPr>
        <w:spacing w:line="360" w:lineRule="auto"/>
        <w:rPr>
          <w:rFonts w:ascii="Calibri" w:hAnsi="Calibri" w:cs="Calibri"/>
        </w:rPr>
      </w:pPr>
      <w:r>
        <w:rPr>
          <w:rFonts w:ascii="Calibri" w:hAnsi="Calibri" w:cs="Calibri"/>
          <w:noProof/>
        </w:rPr>
        <w:drawing>
          <wp:anchor distT="0" distB="0" distL="114300" distR="114300" simplePos="0" relativeHeight="251666432" behindDoc="1" locked="0" layoutInCell="1" allowOverlap="1" wp14:anchorId="59368B72" wp14:editId="0220E01B">
            <wp:simplePos x="0" y="0"/>
            <wp:positionH relativeFrom="margin">
              <wp:posOffset>2590165</wp:posOffset>
            </wp:positionH>
            <wp:positionV relativeFrom="margin">
              <wp:posOffset>4966335</wp:posOffset>
            </wp:positionV>
            <wp:extent cx="3154045" cy="1424940"/>
            <wp:effectExtent l="0" t="0" r="0" b="0"/>
            <wp:wrapSquare wrapText="bothSides"/>
            <wp:docPr id="2012158198" name="Picture 4" descr="A map of land and a map of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58198" name="Picture 4" descr="A map of land and a map of la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4045" cy="1424940"/>
                    </a:xfrm>
                    <a:prstGeom prst="rect">
                      <a:avLst/>
                    </a:prstGeom>
                  </pic:spPr>
                </pic:pic>
              </a:graphicData>
            </a:graphic>
            <wp14:sizeRelH relativeFrom="page">
              <wp14:pctWidth>0</wp14:pctWidth>
            </wp14:sizeRelH>
            <wp14:sizeRelV relativeFrom="page">
              <wp14:pctHeight>0</wp14:pctHeight>
            </wp14:sizeRelV>
          </wp:anchor>
        </w:drawing>
      </w:r>
    </w:p>
    <w:p w14:paraId="577FF6F5" w14:textId="23A311DE" w:rsidR="00BE3ADE" w:rsidRPr="00893B8B" w:rsidRDefault="00893B8B" w:rsidP="00BE3ADE">
      <w:pPr>
        <w:spacing w:line="360" w:lineRule="auto"/>
        <w:rPr>
          <w:rFonts w:ascii="Calibri" w:hAnsi="Calibri" w:cs="Calibri"/>
        </w:rPr>
      </w:pPr>
      <w:r w:rsidRPr="00893B8B">
        <w:rPr>
          <w:rFonts w:ascii="Calibri" w:hAnsi="Calibri" w:cs="Calibri"/>
        </w:rPr>
        <w:t>The Emperor constructed the grand tomb complex</w:t>
      </w:r>
      <w:r w:rsidR="000A112A">
        <w:rPr>
          <w:rFonts w:ascii="Calibri" w:hAnsi="Calibri" w:cs="Calibri"/>
        </w:rPr>
        <w:t xml:space="preserve"> (See Figure 3)</w:t>
      </w:r>
      <w:r w:rsidRPr="00893B8B">
        <w:rPr>
          <w:rFonts w:ascii="Calibri" w:hAnsi="Calibri" w:cs="Calibri"/>
        </w:rPr>
        <w:t xml:space="preserve"> to </w:t>
      </w:r>
      <w:r w:rsidR="00262BAD">
        <w:rPr>
          <w:rFonts w:ascii="Calibri" w:hAnsi="Calibri" w:cs="Calibri"/>
        </w:rPr>
        <w:t>facilitate</w:t>
      </w:r>
      <w:r w:rsidRPr="00893B8B">
        <w:rPr>
          <w:rFonts w:ascii="Calibri" w:hAnsi="Calibri" w:cs="Calibri"/>
        </w:rPr>
        <w:t xml:space="preserve"> his power on his journey into eternity, desiring to be considered a universal and eternal ruler (Portal, 2007, p. 114-151). Chinese rulers' tombs have been a significant concern since ancient times (</w:t>
      </w:r>
      <w:proofErr w:type="spellStart"/>
      <w:r w:rsidRPr="00893B8B">
        <w:rPr>
          <w:rFonts w:ascii="Calibri" w:hAnsi="Calibri" w:cs="Calibri"/>
        </w:rPr>
        <w:t>Ledderose</w:t>
      </w:r>
      <w:proofErr w:type="spellEnd"/>
      <w:r w:rsidRPr="00893B8B">
        <w:rPr>
          <w:rFonts w:ascii="Calibri" w:hAnsi="Calibri" w:cs="Calibri"/>
        </w:rPr>
        <w:t>, 2000, pp. 51-73), and to ensure their occupants lived on after death, they were designed as miniature replicas of the world they knew in life (Portal, 2007, p. 114-151). The First Emperor's burial compound was built at a critical moment when his power was matched by his ability to command vast economic resources and exert exclusive authority over visual representation (</w:t>
      </w:r>
      <w:proofErr w:type="spellStart"/>
      <w:r w:rsidRPr="00893B8B">
        <w:rPr>
          <w:rFonts w:ascii="Calibri" w:hAnsi="Calibri" w:cs="Calibri"/>
        </w:rPr>
        <w:t>Kesner</w:t>
      </w:r>
      <w:proofErr w:type="spellEnd"/>
      <w:r w:rsidRPr="00893B8B">
        <w:rPr>
          <w:rFonts w:ascii="Calibri" w:hAnsi="Calibri" w:cs="Calibri"/>
        </w:rPr>
        <w:t>, 1995). The burial of the Emperor included intricate bronze chariots, depictions of the cosmos on pottery, paintings, as well as the terracotta warriors (</w:t>
      </w:r>
      <w:proofErr w:type="spellStart"/>
      <w:r w:rsidRPr="00893B8B">
        <w:rPr>
          <w:rFonts w:ascii="Calibri" w:hAnsi="Calibri" w:cs="Calibri"/>
        </w:rPr>
        <w:t>Selbitschka</w:t>
      </w:r>
      <w:proofErr w:type="spellEnd"/>
      <w:r w:rsidRPr="00893B8B">
        <w:rPr>
          <w:rFonts w:ascii="Calibri" w:hAnsi="Calibri" w:cs="Calibri"/>
        </w:rPr>
        <w:t xml:space="preserve">, 2015). </w:t>
      </w:r>
      <w:r w:rsidR="007520C6">
        <w:rPr>
          <w:rFonts w:ascii="Calibri" w:hAnsi="Calibri" w:cs="Calibri"/>
        </w:rPr>
        <w:t xml:space="preserve">After his death, the Emperor planned to govern his empire from his tomb, a </w:t>
      </w:r>
      <w:r w:rsidR="002074AD">
        <w:rPr>
          <w:rFonts w:ascii="Calibri" w:hAnsi="Calibri" w:cs="Calibri"/>
        </w:rPr>
        <w:t>miniature</w:t>
      </w:r>
      <w:r w:rsidR="007520C6">
        <w:rPr>
          <w:rFonts w:ascii="Calibri" w:hAnsi="Calibri" w:cs="Calibri"/>
        </w:rPr>
        <w:t xml:space="preserve"> replica of his palace, as described by </w:t>
      </w:r>
      <w:proofErr w:type="spellStart"/>
      <w:r w:rsidR="007520C6">
        <w:rPr>
          <w:rFonts w:ascii="Calibri" w:hAnsi="Calibri" w:cs="Calibri"/>
        </w:rPr>
        <w:t>Sima</w:t>
      </w:r>
      <w:proofErr w:type="spellEnd"/>
      <w:r w:rsidR="007520C6">
        <w:rPr>
          <w:rFonts w:ascii="Calibri" w:hAnsi="Calibri" w:cs="Calibri"/>
        </w:rPr>
        <w:t xml:space="preserve"> Qian, the Grand Historian</w:t>
      </w:r>
      <w:r w:rsidR="000A112A">
        <w:rPr>
          <w:rFonts w:ascii="Calibri" w:hAnsi="Calibri" w:cs="Calibri"/>
        </w:rPr>
        <w:t xml:space="preserve"> (See Figure 4)</w:t>
      </w:r>
      <w:r w:rsidR="007520C6">
        <w:rPr>
          <w:rFonts w:ascii="Calibri" w:hAnsi="Calibri" w:cs="Calibri"/>
        </w:rPr>
        <w:t xml:space="preserve">, in his </w:t>
      </w:r>
      <w:r w:rsidR="000A112A">
        <w:rPr>
          <w:rFonts w:ascii="Calibri" w:hAnsi="Calibri" w:cs="Calibri"/>
          <w:noProof/>
        </w:rPr>
        <w:lastRenderedPageBreak/>
        <w:drawing>
          <wp:anchor distT="0" distB="0" distL="114300" distR="114300" simplePos="0" relativeHeight="251667456" behindDoc="1" locked="0" layoutInCell="1" allowOverlap="1" wp14:anchorId="458364F9" wp14:editId="693E8AC2">
            <wp:simplePos x="0" y="0"/>
            <wp:positionH relativeFrom="margin">
              <wp:align>left</wp:align>
            </wp:positionH>
            <wp:positionV relativeFrom="margin">
              <wp:align>top</wp:align>
            </wp:positionV>
            <wp:extent cx="1865630" cy="2612390"/>
            <wp:effectExtent l="0" t="0" r="1270" b="3810"/>
            <wp:wrapSquare wrapText="bothSides"/>
            <wp:docPr id="1030023544" name="Picture 5"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23544" name="Picture 5" descr="A drawing of a pers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65630" cy="2612390"/>
                    </a:xfrm>
                    <a:prstGeom prst="rect">
                      <a:avLst/>
                    </a:prstGeom>
                  </pic:spPr>
                </pic:pic>
              </a:graphicData>
            </a:graphic>
            <wp14:sizeRelH relativeFrom="page">
              <wp14:pctWidth>0</wp14:pctWidth>
            </wp14:sizeRelH>
            <wp14:sizeRelV relativeFrom="page">
              <wp14:pctHeight>0</wp14:pctHeight>
            </wp14:sizeRelV>
          </wp:anchor>
        </w:drawing>
      </w:r>
      <w:r w:rsidR="007520C6">
        <w:rPr>
          <w:rFonts w:ascii="Calibri" w:hAnsi="Calibri" w:cs="Calibri"/>
        </w:rPr>
        <w:t xml:space="preserve">book 'Records of the Historian'. The construction of the tomb began shortly after the young prince, who was only thirteen years old at the time, became the King of Qin in 247 B.C. </w:t>
      </w:r>
      <w:r w:rsidRPr="00893B8B">
        <w:rPr>
          <w:rFonts w:ascii="Calibri" w:hAnsi="Calibri" w:cs="Calibri"/>
        </w:rPr>
        <w:t>(</w:t>
      </w:r>
      <w:proofErr w:type="spellStart"/>
      <w:r w:rsidRPr="00893B8B">
        <w:rPr>
          <w:rFonts w:ascii="Calibri" w:hAnsi="Calibri" w:cs="Calibri"/>
        </w:rPr>
        <w:t>Ledderose</w:t>
      </w:r>
      <w:proofErr w:type="spellEnd"/>
      <w:r w:rsidRPr="00893B8B">
        <w:rPr>
          <w:rFonts w:ascii="Calibri" w:hAnsi="Calibri" w:cs="Calibri"/>
        </w:rPr>
        <w:t xml:space="preserve">, 2000, pp. 51-73). Following the king's rise to Emperor plans for his tomb were expanded to a grander scale. With the conclusion of the military campaigns, many conscripts became available, and over seven hundred thousand men were recruited from all parts of the realm to construct the Emperor's tomb. </w:t>
      </w:r>
      <w:proofErr w:type="gramStart"/>
      <w:r w:rsidRPr="00893B8B">
        <w:rPr>
          <w:rFonts w:ascii="Calibri" w:hAnsi="Calibri" w:cs="Calibri"/>
        </w:rPr>
        <w:t>The majority of</w:t>
      </w:r>
      <w:proofErr w:type="gramEnd"/>
      <w:r w:rsidRPr="00893B8B">
        <w:rPr>
          <w:rFonts w:ascii="Calibri" w:hAnsi="Calibri" w:cs="Calibri"/>
        </w:rPr>
        <w:t xml:space="preserve"> these individuals were enslaved labourers, forced labourers, and prisoners. It is believed that work on the terracotta army began during this period (</w:t>
      </w:r>
      <w:proofErr w:type="spellStart"/>
      <w:r w:rsidRPr="00893B8B">
        <w:rPr>
          <w:rFonts w:ascii="Calibri" w:hAnsi="Calibri" w:cs="Calibri"/>
        </w:rPr>
        <w:t>Ledderose</w:t>
      </w:r>
      <w:proofErr w:type="spellEnd"/>
      <w:r w:rsidRPr="00893B8B">
        <w:rPr>
          <w:rFonts w:ascii="Calibri" w:hAnsi="Calibri" w:cs="Calibri"/>
        </w:rPr>
        <w:t>, 2000, pp. 51-73). During the creation of the Emperor's burial compound, there was a significant shift in Chinese art. The change gradually moved towards representational concerns and psychological realism, often described as a progression from decoration to representation (</w:t>
      </w:r>
      <w:proofErr w:type="spellStart"/>
      <w:r w:rsidRPr="00893B8B">
        <w:rPr>
          <w:rFonts w:ascii="Calibri" w:hAnsi="Calibri" w:cs="Calibri"/>
        </w:rPr>
        <w:t>Kesner</w:t>
      </w:r>
      <w:proofErr w:type="spellEnd"/>
      <w:r w:rsidRPr="00893B8B">
        <w:rPr>
          <w:rFonts w:ascii="Calibri" w:hAnsi="Calibri" w:cs="Calibri"/>
        </w:rPr>
        <w:t xml:space="preserve">, 1995). In ancient Chinese culture, it was customary to furnish graves with a wide range of sacrificial goods as a crucial part of the mortuary practice. The Li Ji and </w:t>
      </w:r>
      <w:proofErr w:type="spellStart"/>
      <w:r w:rsidRPr="00893B8B">
        <w:rPr>
          <w:rFonts w:ascii="Calibri" w:hAnsi="Calibri" w:cs="Calibri"/>
        </w:rPr>
        <w:t>Zhouli</w:t>
      </w:r>
      <w:proofErr w:type="spellEnd"/>
      <w:r w:rsidRPr="00893B8B">
        <w:rPr>
          <w:rFonts w:ascii="Calibri" w:hAnsi="Calibri" w:cs="Calibri"/>
        </w:rPr>
        <w:t xml:space="preserve"> texts from the late Zhou dynasty mention a specific type of object called mingqi or spirit vessels meant to be buried with the deceased (</w:t>
      </w:r>
      <w:proofErr w:type="spellStart"/>
      <w:r w:rsidRPr="00893B8B">
        <w:rPr>
          <w:rFonts w:ascii="Calibri" w:hAnsi="Calibri" w:cs="Calibri"/>
        </w:rPr>
        <w:t>Kesner</w:t>
      </w:r>
      <w:proofErr w:type="spellEnd"/>
      <w:r w:rsidRPr="00893B8B">
        <w:rPr>
          <w:rFonts w:ascii="Calibri" w:hAnsi="Calibri" w:cs="Calibri"/>
        </w:rPr>
        <w:t>, 1995). They were designed to act as substitutes for real people who could not be buried with their masters for various moral and economic reasons. These surrogate beings were created to compensate for the absence of real individuals and render the same service to the tomb occupant in the hereafter, just as their models did in worldly life (</w:t>
      </w:r>
      <w:proofErr w:type="spellStart"/>
      <w:r w:rsidRPr="00893B8B">
        <w:rPr>
          <w:rFonts w:ascii="Calibri" w:hAnsi="Calibri" w:cs="Calibri"/>
        </w:rPr>
        <w:t>Kesner</w:t>
      </w:r>
      <w:proofErr w:type="spellEnd"/>
      <w:r w:rsidRPr="00893B8B">
        <w:rPr>
          <w:rFonts w:ascii="Calibri" w:hAnsi="Calibri" w:cs="Calibri"/>
        </w:rPr>
        <w:t xml:space="preserve">, 1995). These spirit vessels are </w:t>
      </w:r>
      <w:r w:rsidR="00123BC2" w:rsidRPr="00893B8B">
        <w:rPr>
          <w:rFonts w:ascii="Calibri" w:hAnsi="Calibri" w:cs="Calibri"/>
        </w:rPr>
        <w:t>epitomised</w:t>
      </w:r>
      <w:r w:rsidRPr="00893B8B">
        <w:rPr>
          <w:rFonts w:ascii="Calibri" w:hAnsi="Calibri" w:cs="Calibri"/>
        </w:rPr>
        <w:t xml:space="preserve"> by the 7,000 life-size terracotta figures ready to serve their Emperor in the afterlife (Rawson, 2002). The authenticity of the army is convincing, and its completeness is also notable.</w:t>
      </w:r>
      <w:r w:rsidR="002074AD">
        <w:rPr>
          <w:rFonts w:ascii="Calibri" w:hAnsi="Calibri" w:cs="Calibri"/>
        </w:rPr>
        <w:t xml:space="preserve"> </w:t>
      </w:r>
      <w:r w:rsidRPr="00893B8B">
        <w:rPr>
          <w:rFonts w:ascii="Calibri" w:hAnsi="Calibri" w:cs="Calibri"/>
        </w:rPr>
        <w:t>Nonetheless, at its creation, neither the Emperor's allies nor his foes could see the army as it was hidden in underground structures. Given these circumstances, it is highly improbable that the army's impact was in its ability to impress the living but was created solely for the Emperor's service in the afterlife (Rawson, 2002).</w:t>
      </w:r>
      <w:r w:rsidR="00BE3ADE">
        <w:rPr>
          <w:rFonts w:ascii="Calibri" w:hAnsi="Calibri" w:cs="Calibri"/>
        </w:rPr>
        <w:t xml:space="preserve"> </w:t>
      </w:r>
      <w:r w:rsidR="00BE3ADE" w:rsidRPr="00893B8B">
        <w:rPr>
          <w:rFonts w:ascii="Calibri" w:hAnsi="Calibri" w:cs="Calibri"/>
        </w:rPr>
        <w:t xml:space="preserve">The terracotta army exemplifies the First Emperor's unwavering belief in an afterlife and his desire to remain the Emperor even after death. </w:t>
      </w:r>
      <w:r w:rsidR="002074AD">
        <w:rPr>
          <w:rFonts w:ascii="Calibri" w:hAnsi="Calibri" w:cs="Calibri"/>
        </w:rPr>
        <w:t xml:space="preserve">The primary objective behind the creation of the terracotta army was to provide unwavering loyalty and service to the Emperor in his eternal reign beyond life. </w:t>
      </w:r>
      <w:r w:rsidR="00631F5B">
        <w:rPr>
          <w:rFonts w:ascii="Calibri" w:hAnsi="Calibri" w:cs="Calibri"/>
          <w:noProof/>
        </w:rPr>
        <w:lastRenderedPageBreak/>
        <w:drawing>
          <wp:anchor distT="0" distB="0" distL="114300" distR="114300" simplePos="0" relativeHeight="251668480" behindDoc="1" locked="0" layoutInCell="1" allowOverlap="1" wp14:anchorId="0DBD074E" wp14:editId="441F23A5">
            <wp:simplePos x="0" y="0"/>
            <wp:positionH relativeFrom="margin">
              <wp:align>right</wp:align>
            </wp:positionH>
            <wp:positionV relativeFrom="margin">
              <wp:align>top</wp:align>
            </wp:positionV>
            <wp:extent cx="2346960" cy="2468880"/>
            <wp:effectExtent l="0" t="0" r="2540" b="0"/>
            <wp:wrapSquare wrapText="bothSides"/>
            <wp:docPr id="1842517978" name="Picture 6" descr="A group of statues of soldi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17978" name="Picture 6" descr="A group of statues of soldie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960" cy="2468880"/>
                    </a:xfrm>
                    <a:prstGeom prst="rect">
                      <a:avLst/>
                    </a:prstGeom>
                  </pic:spPr>
                </pic:pic>
              </a:graphicData>
            </a:graphic>
            <wp14:sizeRelH relativeFrom="page">
              <wp14:pctWidth>0</wp14:pctWidth>
            </wp14:sizeRelH>
            <wp14:sizeRelV relativeFrom="page">
              <wp14:pctHeight>0</wp14:pctHeight>
            </wp14:sizeRelV>
          </wp:anchor>
        </w:drawing>
      </w:r>
      <w:r w:rsidR="002074AD">
        <w:rPr>
          <w:rFonts w:ascii="Calibri" w:hAnsi="Calibri" w:cs="Calibri"/>
        </w:rPr>
        <w:t>The army was explicitly intended to safeguard the tomb and guarantee the Emperor's everlasting rest</w:t>
      </w:r>
      <w:r w:rsidR="002074AD" w:rsidRPr="00893B8B">
        <w:rPr>
          <w:rFonts w:ascii="Calibri" w:hAnsi="Calibri" w:cs="Calibri"/>
        </w:rPr>
        <w:t xml:space="preserve"> (</w:t>
      </w:r>
      <w:proofErr w:type="spellStart"/>
      <w:r w:rsidR="002074AD" w:rsidRPr="00893B8B">
        <w:rPr>
          <w:rFonts w:ascii="Calibri" w:hAnsi="Calibri" w:cs="Calibri"/>
        </w:rPr>
        <w:t>Kesner</w:t>
      </w:r>
      <w:proofErr w:type="spellEnd"/>
      <w:r w:rsidR="002074AD" w:rsidRPr="00893B8B">
        <w:rPr>
          <w:rFonts w:ascii="Calibri" w:hAnsi="Calibri" w:cs="Calibri"/>
        </w:rPr>
        <w:t>, 1995).</w:t>
      </w:r>
    </w:p>
    <w:p w14:paraId="30364E00" w14:textId="50D453BC" w:rsidR="002074AD" w:rsidRDefault="002074AD" w:rsidP="00893B8B">
      <w:pPr>
        <w:spacing w:line="360" w:lineRule="auto"/>
        <w:rPr>
          <w:rFonts w:ascii="Calibri" w:hAnsi="Calibri" w:cs="Calibri"/>
        </w:rPr>
      </w:pPr>
    </w:p>
    <w:p w14:paraId="2C963C1C" w14:textId="39FE8644" w:rsidR="00893B8B" w:rsidRPr="00893B8B" w:rsidRDefault="00234BF4" w:rsidP="00893B8B">
      <w:pPr>
        <w:spacing w:line="360" w:lineRule="auto"/>
        <w:rPr>
          <w:rFonts w:ascii="Calibri" w:hAnsi="Calibri" w:cs="Calibri"/>
        </w:rPr>
      </w:pPr>
      <w:r>
        <w:rPr>
          <w:rFonts w:ascii="Calibri" w:hAnsi="Calibri" w:cs="Calibri"/>
          <w:noProof/>
        </w:rPr>
        <w:drawing>
          <wp:anchor distT="0" distB="0" distL="114300" distR="114300" simplePos="0" relativeHeight="251669504" behindDoc="1" locked="0" layoutInCell="1" allowOverlap="1" wp14:anchorId="46B08853" wp14:editId="42422A73">
            <wp:simplePos x="0" y="0"/>
            <wp:positionH relativeFrom="margin">
              <wp:align>left</wp:align>
            </wp:positionH>
            <wp:positionV relativeFrom="margin">
              <wp:align>bottom</wp:align>
            </wp:positionV>
            <wp:extent cx="2006600" cy="2912745"/>
            <wp:effectExtent l="0" t="0" r="0" b="0"/>
            <wp:wrapSquare wrapText="bothSides"/>
            <wp:docPr id="1283225099" name="Picture 7"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25099" name="Picture 7" descr="A statue of a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06600" cy="2912745"/>
                    </a:xfrm>
                    <a:prstGeom prst="rect">
                      <a:avLst/>
                    </a:prstGeom>
                  </pic:spPr>
                </pic:pic>
              </a:graphicData>
            </a:graphic>
            <wp14:sizeRelH relativeFrom="page">
              <wp14:pctWidth>0</wp14:pctWidth>
            </wp14:sizeRelH>
            <wp14:sizeRelV relativeFrom="page">
              <wp14:pctHeight>0</wp14:pctHeight>
            </wp14:sizeRelV>
          </wp:anchor>
        </w:drawing>
      </w:r>
      <w:r w:rsidR="00BE3ADE">
        <w:rPr>
          <w:rFonts w:ascii="Calibri" w:hAnsi="Calibri" w:cs="Calibri"/>
        </w:rPr>
        <w:t>The terracotta army</w:t>
      </w:r>
      <w:r w:rsidR="00631F5B">
        <w:rPr>
          <w:rFonts w:ascii="Calibri" w:hAnsi="Calibri" w:cs="Calibri"/>
        </w:rPr>
        <w:t xml:space="preserve"> (See Figure 5)</w:t>
      </w:r>
      <w:r w:rsidR="00BE3ADE">
        <w:rPr>
          <w:rFonts w:ascii="Calibri" w:hAnsi="Calibri" w:cs="Calibri"/>
        </w:rPr>
        <w:t xml:space="preserve"> is located near the tomb of the Emperor. The burial compound also houses structures like a funerary precinct, sacrificial pits, and auxiliary burials. However, the most prominent feature is the terracotta army</w:t>
      </w:r>
      <w:r w:rsidR="00893B8B" w:rsidRPr="00893B8B">
        <w:rPr>
          <w:rFonts w:ascii="Calibri" w:hAnsi="Calibri" w:cs="Calibri"/>
        </w:rPr>
        <w:t xml:space="preserve">. According to the widely accepted theory, the underground army was created as a copy of the Qin Army. The figures made of clay, which included soldiers and horses, represent the army of Qin Shi </w:t>
      </w:r>
      <w:proofErr w:type="gramStart"/>
      <w:r w:rsidR="00893B8B" w:rsidRPr="00893B8B">
        <w:rPr>
          <w:rFonts w:ascii="Calibri" w:hAnsi="Calibri" w:cs="Calibri"/>
        </w:rPr>
        <w:t>Huang</w:t>
      </w:r>
      <w:proofErr w:type="gramEnd"/>
      <w:r w:rsidR="00893B8B" w:rsidRPr="00893B8B">
        <w:rPr>
          <w:rFonts w:ascii="Calibri" w:hAnsi="Calibri" w:cs="Calibri"/>
        </w:rPr>
        <w:t xml:space="preserve"> and stand in place of the actual soldiers. Clay is an affordable and easy-to-handle material used in large-scale manufacturing for over a thousand years (Man, 2018, pp. 175-213). The First Emperor united the nation with a balanced army of archers, infantry, and charioteers. Unity was crucial in the afterlife, where soldiers were believed to continue being a part of life in the tomb (Man, 2018, pp. 175-213). The army is a complete garrison facing East and are renowned for their remarkable realism.</w:t>
      </w:r>
      <w:r w:rsidR="002074AD">
        <w:rPr>
          <w:rFonts w:ascii="Calibri" w:hAnsi="Calibri" w:cs="Calibri"/>
        </w:rPr>
        <w:t xml:space="preserve"> </w:t>
      </w:r>
      <w:r w:rsidR="00893B8B" w:rsidRPr="00893B8B">
        <w:rPr>
          <w:rFonts w:ascii="Calibri" w:hAnsi="Calibri" w:cs="Calibri"/>
        </w:rPr>
        <w:t xml:space="preserve">Every warrior is carefully designed with intricate details, including unique hairstyles and features. They differ in terms of build, expression, and posture. Due to prolonged exposure to dry air, their colours have faded, causing them to lose some of their original realism. These warriors were not created as a memorial (Hu </w:t>
      </w:r>
      <w:r w:rsidR="00893B8B" w:rsidRPr="00234BF4">
        <w:rPr>
          <w:rFonts w:ascii="Calibri" w:hAnsi="Calibri" w:cs="Calibri"/>
          <w:i/>
          <w:iCs/>
        </w:rPr>
        <w:t>et al.,</w:t>
      </w:r>
      <w:r w:rsidR="00893B8B" w:rsidRPr="00893B8B">
        <w:rPr>
          <w:rFonts w:ascii="Calibri" w:hAnsi="Calibri" w:cs="Calibri"/>
        </w:rPr>
        <w:t xml:space="preserve"> 2022). Originally, the warriors were painted in authentic colours</w:t>
      </w:r>
      <w:r w:rsidR="00EC7739">
        <w:rPr>
          <w:rFonts w:ascii="Calibri" w:hAnsi="Calibri" w:cs="Calibri"/>
        </w:rPr>
        <w:t xml:space="preserve"> (See Figure </w:t>
      </w:r>
      <w:r>
        <w:rPr>
          <w:rFonts w:ascii="Calibri" w:hAnsi="Calibri" w:cs="Calibri"/>
        </w:rPr>
        <w:t>6</w:t>
      </w:r>
      <w:r w:rsidR="00EC7739">
        <w:rPr>
          <w:rFonts w:ascii="Calibri" w:hAnsi="Calibri" w:cs="Calibri"/>
        </w:rPr>
        <w:t>)</w:t>
      </w:r>
      <w:r w:rsidR="00893B8B" w:rsidRPr="00893B8B">
        <w:rPr>
          <w:rFonts w:ascii="Calibri" w:hAnsi="Calibri" w:cs="Calibri"/>
        </w:rPr>
        <w:t xml:space="preserve"> and equipped with fully functional bronze weapons, making them even more lifelike and distinctive (</w:t>
      </w:r>
      <w:proofErr w:type="spellStart"/>
      <w:r w:rsidR="00893B8B" w:rsidRPr="00893B8B">
        <w:rPr>
          <w:rFonts w:ascii="Calibri" w:hAnsi="Calibri" w:cs="Calibri"/>
        </w:rPr>
        <w:t>Ledderose</w:t>
      </w:r>
      <w:proofErr w:type="spellEnd"/>
      <w:r w:rsidR="00893B8B" w:rsidRPr="00893B8B">
        <w:rPr>
          <w:rFonts w:ascii="Calibri" w:hAnsi="Calibri" w:cs="Calibri"/>
        </w:rPr>
        <w:t>, 2000, pp. 51-73). The precision and attention given to their creation were crucial. If not for this level of accuracy, they would be unfit to function as a military force (Rawson, 2023, pp. 327-360).</w:t>
      </w:r>
      <w:r w:rsidR="002074AD">
        <w:rPr>
          <w:rFonts w:ascii="Calibri" w:hAnsi="Calibri" w:cs="Calibri"/>
        </w:rPr>
        <w:t xml:space="preserve"> </w:t>
      </w:r>
      <w:r w:rsidR="00893B8B" w:rsidRPr="00893B8B">
        <w:rPr>
          <w:rFonts w:ascii="Calibri" w:hAnsi="Calibri" w:cs="Calibri"/>
        </w:rPr>
        <w:t xml:space="preserve">The terracotta warriors were created to represent soldiers accurately and exhibit diverse facial features to replicate actual army units. These statues resemble individuals from the northern and western Chinese populations and can be considered three-dimensional portraits of the Qin people (Hu </w:t>
      </w:r>
      <w:r w:rsidR="00893B8B" w:rsidRPr="00F74FFA">
        <w:rPr>
          <w:rFonts w:ascii="Calibri" w:hAnsi="Calibri" w:cs="Calibri"/>
          <w:i/>
          <w:iCs/>
        </w:rPr>
        <w:t>et al.,</w:t>
      </w:r>
      <w:r w:rsidR="00893B8B" w:rsidRPr="00893B8B">
        <w:rPr>
          <w:rFonts w:ascii="Calibri" w:hAnsi="Calibri" w:cs="Calibri"/>
        </w:rPr>
        <w:t xml:space="preserve"> 2022). </w:t>
      </w:r>
      <w:r>
        <w:rPr>
          <w:rFonts w:ascii="Calibri" w:hAnsi="Calibri" w:cs="Calibri"/>
          <w:noProof/>
        </w:rPr>
        <w:lastRenderedPageBreak/>
        <w:drawing>
          <wp:anchor distT="0" distB="0" distL="114300" distR="114300" simplePos="0" relativeHeight="251670528" behindDoc="0" locked="0" layoutInCell="1" allowOverlap="1" wp14:anchorId="2DA2FEF6" wp14:editId="7F6351EC">
            <wp:simplePos x="0" y="0"/>
            <wp:positionH relativeFrom="margin">
              <wp:align>right</wp:align>
            </wp:positionH>
            <wp:positionV relativeFrom="margin">
              <wp:align>top</wp:align>
            </wp:positionV>
            <wp:extent cx="1843405" cy="2755900"/>
            <wp:effectExtent l="0" t="0" r="0" b="0"/>
            <wp:wrapSquare wrapText="bothSides"/>
            <wp:docPr id="950183321" name="Picture 8" descr="A group of statu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83321" name="Picture 8" descr="A group of statues of peop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43405" cy="2755900"/>
                    </a:xfrm>
                    <a:prstGeom prst="rect">
                      <a:avLst/>
                    </a:prstGeom>
                  </pic:spPr>
                </pic:pic>
              </a:graphicData>
            </a:graphic>
            <wp14:sizeRelH relativeFrom="page">
              <wp14:pctWidth>0</wp14:pctWidth>
            </wp14:sizeRelH>
            <wp14:sizeRelV relativeFrom="page">
              <wp14:pctHeight>0</wp14:pctHeight>
            </wp14:sizeRelV>
          </wp:anchor>
        </w:drawing>
      </w:r>
      <w:r w:rsidR="00893B8B" w:rsidRPr="00893B8B">
        <w:rPr>
          <w:rFonts w:ascii="Calibri" w:hAnsi="Calibri" w:cs="Calibri"/>
        </w:rPr>
        <w:t>Experts debate whether the terracotta army was modelled after real soldiers or if the faces were created based on general stereotypes. Some archaeologists and authors believe that the lifelike features of the figures suggest they were based on actual warriors</w:t>
      </w:r>
      <w:r>
        <w:rPr>
          <w:rFonts w:ascii="Calibri" w:hAnsi="Calibri" w:cs="Calibri"/>
        </w:rPr>
        <w:t xml:space="preserve"> (See Figure 7)</w:t>
      </w:r>
      <w:r w:rsidR="00893B8B" w:rsidRPr="00893B8B">
        <w:rPr>
          <w:rFonts w:ascii="Calibri" w:hAnsi="Calibri" w:cs="Calibri"/>
        </w:rPr>
        <w:t>. However, most scholars argue that the faces of the clay soldiers follow specific patterns and are unlikely to represent individual people (</w:t>
      </w:r>
      <w:proofErr w:type="spellStart"/>
      <w:r w:rsidR="00893B8B" w:rsidRPr="00893B8B">
        <w:rPr>
          <w:rFonts w:ascii="Calibri" w:hAnsi="Calibri" w:cs="Calibri"/>
        </w:rPr>
        <w:t>Kesner</w:t>
      </w:r>
      <w:proofErr w:type="spellEnd"/>
      <w:r w:rsidR="00893B8B" w:rsidRPr="00893B8B">
        <w:rPr>
          <w:rFonts w:ascii="Calibri" w:hAnsi="Calibri" w:cs="Calibri"/>
        </w:rPr>
        <w:t>, 1995). The First Emperor commissioned the terracotta army to protect himself and his afterlife palace from potential threats (Rawson, 2023, pp. 327-360).</w:t>
      </w:r>
      <w:r w:rsidR="002074AD">
        <w:rPr>
          <w:rFonts w:ascii="Calibri" w:hAnsi="Calibri" w:cs="Calibri"/>
        </w:rPr>
        <w:t xml:space="preserve"> </w:t>
      </w:r>
      <w:r w:rsidR="00893B8B" w:rsidRPr="00893B8B">
        <w:rPr>
          <w:rFonts w:ascii="Calibri" w:hAnsi="Calibri" w:cs="Calibri"/>
        </w:rPr>
        <w:t xml:space="preserve">The reason why terracotta figures were used for the army instead of actual soldiers is unclear, but opinions can be offered. Some could argue that it was a logical decision not to bury real soldiers underground, as they could no longer continue to protect the empire he left behind and would, therefore, leave it considerably weakened. </w:t>
      </w:r>
      <w:r w:rsidR="002074AD">
        <w:rPr>
          <w:rFonts w:ascii="Calibri" w:hAnsi="Calibri" w:cs="Calibri"/>
        </w:rPr>
        <w:t>However, h</w:t>
      </w:r>
      <w:r w:rsidR="00893B8B" w:rsidRPr="00893B8B">
        <w:rPr>
          <w:rFonts w:ascii="Calibri" w:hAnsi="Calibri" w:cs="Calibri"/>
        </w:rPr>
        <w:t>uman victims were sacrificed and buried with the Emperor, including mausoleum workers (Bonnechere, 2013, pp. 153-173; Ma, 2016). The creators of the terracotta army aimed for durability, quick completion, and realistic appearance. To make the army appear convincing as a fighting force, the number of soldiers had to be significant, approaching or equalling that of a real army. The figures also needed to have enough variety to avoid being lifeless mannequins. The makers of the army worked hard and ingeniously to achieve these goals, and clay was the most suitable material for the task (</w:t>
      </w:r>
      <w:proofErr w:type="spellStart"/>
      <w:r w:rsidR="00893B8B" w:rsidRPr="00893B8B">
        <w:rPr>
          <w:rFonts w:ascii="Calibri" w:hAnsi="Calibri" w:cs="Calibri"/>
        </w:rPr>
        <w:t>Ledderose</w:t>
      </w:r>
      <w:proofErr w:type="spellEnd"/>
      <w:r w:rsidR="00893B8B" w:rsidRPr="00893B8B">
        <w:rPr>
          <w:rFonts w:ascii="Calibri" w:hAnsi="Calibri" w:cs="Calibri"/>
        </w:rPr>
        <w:t>, 2000, pp. 51-73). Figurines of soldiers, although small, were still being placed within or beside significant tombs of the later Han dynasty. However, life-sized representations were not included</w:t>
      </w:r>
      <w:r w:rsidR="002074AD">
        <w:rPr>
          <w:rFonts w:ascii="Calibri" w:hAnsi="Calibri" w:cs="Calibri"/>
        </w:rPr>
        <w:t>, and therefore, the First Emperor’s terracotta warriors are unique</w:t>
      </w:r>
      <w:r w:rsidR="00893B8B" w:rsidRPr="00893B8B">
        <w:rPr>
          <w:rFonts w:ascii="Calibri" w:hAnsi="Calibri" w:cs="Calibri"/>
        </w:rPr>
        <w:t xml:space="preserve"> (Rawson, 2023, pp. 327-360).</w:t>
      </w:r>
    </w:p>
    <w:p w14:paraId="115EF143" w14:textId="77777777" w:rsidR="00EC7739" w:rsidRDefault="00EC7739" w:rsidP="003854B6">
      <w:pPr>
        <w:spacing w:line="360" w:lineRule="auto"/>
        <w:rPr>
          <w:rFonts w:ascii="Calibri" w:hAnsi="Calibri" w:cs="Calibri"/>
          <w:color w:val="1C1C1C"/>
          <w:shd w:val="clear" w:color="auto" w:fill="FFFFFF"/>
        </w:rPr>
      </w:pPr>
    </w:p>
    <w:p w14:paraId="28CED6AF" w14:textId="76E02E59" w:rsidR="00893B8B" w:rsidRPr="003854B6" w:rsidRDefault="003854B6" w:rsidP="003854B6">
      <w:pPr>
        <w:spacing w:line="360" w:lineRule="auto"/>
        <w:rPr>
          <w:rFonts w:ascii="Calibri" w:hAnsi="Calibri" w:cs="Calibri"/>
          <w:b/>
          <w:bCs/>
        </w:rPr>
      </w:pPr>
      <w:r w:rsidRPr="003854B6">
        <w:rPr>
          <w:rFonts w:ascii="Calibri" w:hAnsi="Calibri" w:cs="Calibri"/>
          <w:color w:val="1C1C1C"/>
          <w:shd w:val="clear" w:color="auto" w:fill="FFFFFF"/>
        </w:rPr>
        <w:t xml:space="preserve">During the Warring States period, the Emperor's army played a crucial role in unifying other states, as evidenced by its presence and enormous size in the terracotta army. To the Emperor, his army was his existence, and he knew its incredible strength. This is why it is present in his tomb, giving him the authority and power to rule eternally as the supreme ruler. As the First Emperor, he needed a large army in life and death to continue his reign. His warriors were essential in carrying out his orders in the spirit realm, demonstrating how much he relied on and trusted his army. To cope with his fear of death, the Emperor made </w:t>
      </w:r>
      <w:r w:rsidRPr="003854B6">
        <w:rPr>
          <w:rFonts w:ascii="Calibri" w:hAnsi="Calibri" w:cs="Calibri"/>
          <w:color w:val="1C1C1C"/>
          <w:shd w:val="clear" w:color="auto" w:fill="FFFFFF"/>
        </w:rPr>
        <w:lastRenderedPageBreak/>
        <w:t>sure that all his earthly possessions would be with him in the afterlife. This way, he hoped to alleviate his intense fear and to feel more secure. The Emperor's anxiety about death is evidenced by his desire to have every element of his life, including his soldiers, accompany him to his burial chamber. The terracotta army was created to serve as a vessel for the Emperor's actual army, allowing them to be with him in death. He believed that his po soul would continue to exist within his tomb, so he felt it necessary to include everything from his life in the burial chamber. Building the Emperor's army of spirit vessels held immense significance for him, as sacrificing his actual soldiers to accompany him in the afterlife was not a practical option. Doing so would have weakened his newly formed empire. It is worth considering whether the Emperor's pursuit of immortality was driven by a fear of death rather than a desire for eternal rule.</w:t>
      </w:r>
    </w:p>
    <w:p w14:paraId="7651F342" w14:textId="77777777" w:rsidR="002074AD" w:rsidRDefault="002074AD" w:rsidP="00280857">
      <w:pPr>
        <w:rPr>
          <w:rFonts w:ascii="Calibri" w:hAnsi="Calibri" w:cs="Calibri"/>
          <w:b/>
          <w:bCs/>
        </w:rPr>
      </w:pPr>
    </w:p>
    <w:p w14:paraId="0B09E053" w14:textId="77777777" w:rsidR="002074AD" w:rsidRDefault="002074AD" w:rsidP="00280857">
      <w:pPr>
        <w:rPr>
          <w:rFonts w:ascii="Calibri" w:hAnsi="Calibri" w:cs="Calibri"/>
          <w:b/>
          <w:bCs/>
        </w:rPr>
      </w:pPr>
    </w:p>
    <w:p w14:paraId="44B61C5B" w14:textId="77777777" w:rsidR="002074AD" w:rsidRDefault="002074AD" w:rsidP="00280857">
      <w:pPr>
        <w:rPr>
          <w:rFonts w:ascii="Calibri" w:hAnsi="Calibri" w:cs="Calibri"/>
          <w:b/>
          <w:bCs/>
        </w:rPr>
      </w:pPr>
    </w:p>
    <w:p w14:paraId="2DE699D2" w14:textId="77777777" w:rsidR="002074AD" w:rsidRDefault="002074AD" w:rsidP="00280857">
      <w:pPr>
        <w:rPr>
          <w:rFonts w:ascii="Calibri" w:hAnsi="Calibri" w:cs="Calibri"/>
          <w:b/>
          <w:bCs/>
        </w:rPr>
      </w:pPr>
    </w:p>
    <w:p w14:paraId="7BBCECCA" w14:textId="77777777" w:rsidR="002074AD" w:rsidRDefault="002074AD" w:rsidP="00280857">
      <w:pPr>
        <w:rPr>
          <w:rFonts w:ascii="Calibri" w:hAnsi="Calibri" w:cs="Calibri"/>
          <w:b/>
          <w:bCs/>
        </w:rPr>
      </w:pPr>
    </w:p>
    <w:p w14:paraId="1BC49F15" w14:textId="77777777" w:rsidR="002074AD" w:rsidRDefault="002074AD" w:rsidP="00280857">
      <w:pPr>
        <w:rPr>
          <w:rFonts w:ascii="Calibri" w:hAnsi="Calibri" w:cs="Calibri"/>
          <w:b/>
          <w:bCs/>
        </w:rPr>
      </w:pPr>
    </w:p>
    <w:p w14:paraId="619BABAD" w14:textId="77777777" w:rsidR="002074AD" w:rsidRDefault="002074AD" w:rsidP="00280857">
      <w:pPr>
        <w:rPr>
          <w:rFonts w:ascii="Calibri" w:hAnsi="Calibri" w:cs="Calibri"/>
          <w:b/>
          <w:bCs/>
        </w:rPr>
      </w:pPr>
    </w:p>
    <w:p w14:paraId="63C80CAE" w14:textId="77777777" w:rsidR="002074AD" w:rsidRDefault="002074AD" w:rsidP="00280857">
      <w:pPr>
        <w:rPr>
          <w:rFonts w:ascii="Calibri" w:hAnsi="Calibri" w:cs="Calibri"/>
          <w:b/>
          <w:bCs/>
        </w:rPr>
      </w:pPr>
    </w:p>
    <w:p w14:paraId="3D6ADC97" w14:textId="77777777" w:rsidR="002074AD" w:rsidRDefault="002074AD" w:rsidP="00280857">
      <w:pPr>
        <w:rPr>
          <w:rFonts w:ascii="Calibri" w:hAnsi="Calibri" w:cs="Calibri"/>
          <w:b/>
          <w:bCs/>
        </w:rPr>
      </w:pPr>
    </w:p>
    <w:p w14:paraId="7E81D4ED" w14:textId="77777777" w:rsidR="002074AD" w:rsidRDefault="002074AD" w:rsidP="00280857">
      <w:pPr>
        <w:rPr>
          <w:rFonts w:ascii="Calibri" w:hAnsi="Calibri" w:cs="Calibri"/>
          <w:b/>
          <w:bCs/>
        </w:rPr>
      </w:pPr>
    </w:p>
    <w:p w14:paraId="062601EE" w14:textId="77777777" w:rsidR="002074AD" w:rsidRDefault="002074AD" w:rsidP="00280857">
      <w:pPr>
        <w:rPr>
          <w:rFonts w:ascii="Calibri" w:hAnsi="Calibri" w:cs="Calibri"/>
          <w:b/>
          <w:bCs/>
        </w:rPr>
      </w:pPr>
    </w:p>
    <w:p w14:paraId="4D54E1A4" w14:textId="77777777" w:rsidR="002074AD" w:rsidRDefault="002074AD" w:rsidP="00280857">
      <w:pPr>
        <w:rPr>
          <w:rFonts w:ascii="Calibri" w:hAnsi="Calibri" w:cs="Calibri"/>
          <w:b/>
          <w:bCs/>
        </w:rPr>
      </w:pPr>
    </w:p>
    <w:p w14:paraId="46E459B3" w14:textId="77777777" w:rsidR="002074AD" w:rsidRDefault="002074AD" w:rsidP="00280857">
      <w:pPr>
        <w:rPr>
          <w:rFonts w:ascii="Calibri" w:hAnsi="Calibri" w:cs="Calibri"/>
          <w:b/>
          <w:bCs/>
        </w:rPr>
      </w:pPr>
    </w:p>
    <w:p w14:paraId="7FF68C26" w14:textId="77777777" w:rsidR="002074AD" w:rsidRDefault="002074AD" w:rsidP="00280857">
      <w:pPr>
        <w:rPr>
          <w:rFonts w:ascii="Calibri" w:hAnsi="Calibri" w:cs="Calibri"/>
          <w:b/>
          <w:bCs/>
        </w:rPr>
      </w:pPr>
    </w:p>
    <w:p w14:paraId="26FA8E15" w14:textId="77777777" w:rsidR="002074AD" w:rsidRDefault="002074AD" w:rsidP="00280857">
      <w:pPr>
        <w:rPr>
          <w:rFonts w:ascii="Calibri" w:hAnsi="Calibri" w:cs="Calibri"/>
          <w:b/>
          <w:bCs/>
        </w:rPr>
      </w:pPr>
    </w:p>
    <w:p w14:paraId="541EF362" w14:textId="77777777" w:rsidR="002074AD" w:rsidRDefault="002074AD" w:rsidP="00280857">
      <w:pPr>
        <w:rPr>
          <w:rFonts w:ascii="Calibri" w:hAnsi="Calibri" w:cs="Calibri"/>
          <w:b/>
          <w:bCs/>
        </w:rPr>
      </w:pPr>
    </w:p>
    <w:p w14:paraId="3C1FDC9F" w14:textId="77777777" w:rsidR="002074AD" w:rsidRDefault="002074AD" w:rsidP="00280857">
      <w:pPr>
        <w:rPr>
          <w:rFonts w:ascii="Calibri" w:hAnsi="Calibri" w:cs="Calibri"/>
          <w:b/>
          <w:bCs/>
        </w:rPr>
      </w:pPr>
    </w:p>
    <w:p w14:paraId="46D6C327" w14:textId="77777777" w:rsidR="002074AD" w:rsidRDefault="002074AD" w:rsidP="00280857">
      <w:pPr>
        <w:rPr>
          <w:rFonts w:ascii="Calibri" w:hAnsi="Calibri" w:cs="Calibri"/>
          <w:b/>
          <w:bCs/>
        </w:rPr>
      </w:pPr>
    </w:p>
    <w:p w14:paraId="1DE0673C" w14:textId="77777777" w:rsidR="003854B6" w:rsidRDefault="003854B6" w:rsidP="00280857">
      <w:pPr>
        <w:rPr>
          <w:rFonts w:ascii="Calibri" w:hAnsi="Calibri" w:cs="Calibri"/>
          <w:b/>
          <w:bCs/>
        </w:rPr>
      </w:pPr>
    </w:p>
    <w:p w14:paraId="267FE3D3" w14:textId="77777777" w:rsidR="003854B6" w:rsidRDefault="003854B6" w:rsidP="00280857">
      <w:pPr>
        <w:rPr>
          <w:rFonts w:ascii="Calibri" w:hAnsi="Calibri" w:cs="Calibri"/>
          <w:b/>
          <w:bCs/>
        </w:rPr>
      </w:pPr>
    </w:p>
    <w:p w14:paraId="2858529C" w14:textId="77777777" w:rsidR="00234BF4" w:rsidRDefault="00234BF4" w:rsidP="00280857">
      <w:pPr>
        <w:rPr>
          <w:rFonts w:ascii="Calibri" w:hAnsi="Calibri" w:cs="Calibri"/>
          <w:b/>
          <w:bCs/>
        </w:rPr>
      </w:pPr>
    </w:p>
    <w:p w14:paraId="35FF148B" w14:textId="77777777" w:rsidR="00234BF4" w:rsidRDefault="00234BF4" w:rsidP="00280857">
      <w:pPr>
        <w:rPr>
          <w:rFonts w:ascii="Calibri" w:hAnsi="Calibri" w:cs="Calibri"/>
          <w:b/>
          <w:bCs/>
        </w:rPr>
      </w:pPr>
    </w:p>
    <w:p w14:paraId="17321611" w14:textId="77777777" w:rsidR="00234BF4" w:rsidRDefault="00234BF4" w:rsidP="00280857">
      <w:pPr>
        <w:rPr>
          <w:rFonts w:ascii="Calibri" w:hAnsi="Calibri" w:cs="Calibri"/>
          <w:b/>
          <w:bCs/>
        </w:rPr>
      </w:pPr>
    </w:p>
    <w:p w14:paraId="4EDA12FC" w14:textId="77777777" w:rsidR="00234BF4" w:rsidRDefault="00234BF4" w:rsidP="00280857">
      <w:pPr>
        <w:rPr>
          <w:rFonts w:ascii="Calibri" w:hAnsi="Calibri" w:cs="Calibri"/>
          <w:b/>
          <w:bCs/>
        </w:rPr>
      </w:pPr>
    </w:p>
    <w:p w14:paraId="56B08E3D" w14:textId="77777777" w:rsidR="00234BF4" w:rsidRDefault="00234BF4" w:rsidP="00280857">
      <w:pPr>
        <w:rPr>
          <w:rFonts w:ascii="Calibri" w:hAnsi="Calibri" w:cs="Calibri"/>
          <w:b/>
          <w:bCs/>
        </w:rPr>
      </w:pPr>
    </w:p>
    <w:p w14:paraId="1321FF6E" w14:textId="77777777" w:rsidR="00234BF4" w:rsidRDefault="00234BF4" w:rsidP="00280857">
      <w:pPr>
        <w:rPr>
          <w:rFonts w:ascii="Calibri" w:hAnsi="Calibri" w:cs="Calibri"/>
          <w:b/>
          <w:bCs/>
        </w:rPr>
      </w:pPr>
    </w:p>
    <w:p w14:paraId="2C97027A" w14:textId="77777777" w:rsidR="00234BF4" w:rsidRDefault="00234BF4" w:rsidP="00280857">
      <w:pPr>
        <w:rPr>
          <w:rFonts w:ascii="Calibri" w:hAnsi="Calibri" w:cs="Calibri"/>
          <w:b/>
          <w:bCs/>
        </w:rPr>
      </w:pPr>
    </w:p>
    <w:p w14:paraId="1092ECEA" w14:textId="77777777" w:rsidR="00234BF4" w:rsidRDefault="00234BF4" w:rsidP="00280857">
      <w:pPr>
        <w:rPr>
          <w:rFonts w:ascii="Calibri" w:hAnsi="Calibri" w:cs="Calibri"/>
          <w:b/>
          <w:bCs/>
        </w:rPr>
      </w:pPr>
    </w:p>
    <w:p w14:paraId="2581802E" w14:textId="77777777" w:rsidR="00234BF4" w:rsidRDefault="00234BF4" w:rsidP="00280857">
      <w:pPr>
        <w:rPr>
          <w:rFonts w:ascii="Calibri" w:hAnsi="Calibri" w:cs="Calibri"/>
          <w:b/>
          <w:bCs/>
        </w:rPr>
      </w:pPr>
    </w:p>
    <w:p w14:paraId="6D8CFA72" w14:textId="77777777" w:rsidR="00234BF4" w:rsidRDefault="00234BF4" w:rsidP="00280857">
      <w:pPr>
        <w:rPr>
          <w:rFonts w:ascii="Calibri" w:hAnsi="Calibri" w:cs="Calibri"/>
          <w:b/>
          <w:bCs/>
        </w:rPr>
      </w:pPr>
    </w:p>
    <w:p w14:paraId="065099BE" w14:textId="77777777" w:rsidR="00234BF4" w:rsidRDefault="00234BF4" w:rsidP="00280857">
      <w:pPr>
        <w:rPr>
          <w:rFonts w:ascii="Calibri" w:hAnsi="Calibri" w:cs="Calibri"/>
          <w:b/>
          <w:bCs/>
        </w:rPr>
      </w:pPr>
    </w:p>
    <w:p w14:paraId="7C1256E3" w14:textId="03A01AC3" w:rsidR="007B799C" w:rsidRDefault="007B799C" w:rsidP="00280857">
      <w:pPr>
        <w:rPr>
          <w:rFonts w:ascii="Calibri" w:hAnsi="Calibri" w:cs="Calibri"/>
          <w:b/>
          <w:bCs/>
        </w:rPr>
      </w:pPr>
      <w:r w:rsidRPr="00625297">
        <w:rPr>
          <w:rFonts w:ascii="Calibri" w:hAnsi="Calibri" w:cs="Calibri"/>
          <w:b/>
          <w:bCs/>
        </w:rPr>
        <w:lastRenderedPageBreak/>
        <w:t>REFERENCES</w:t>
      </w:r>
    </w:p>
    <w:p w14:paraId="5FBF20DE" w14:textId="77777777" w:rsidR="006C3BCE" w:rsidRDefault="006C3BCE" w:rsidP="007A4D78">
      <w:pPr>
        <w:rPr>
          <w:rFonts w:ascii="Calibri" w:hAnsi="Calibri" w:cs="Calibri"/>
          <w:b/>
          <w:bCs/>
        </w:rPr>
      </w:pPr>
    </w:p>
    <w:p w14:paraId="5217D996" w14:textId="5D534D08" w:rsidR="006C3BCE" w:rsidRDefault="006C3BCE" w:rsidP="007A4D78">
      <w:pPr>
        <w:rPr>
          <w:rFonts w:ascii="Calibri" w:hAnsi="Calibri" w:cs="Calibri"/>
        </w:rPr>
      </w:pPr>
      <w:r w:rsidRPr="007A4D78">
        <w:rPr>
          <w:rFonts w:ascii="Calibri" w:hAnsi="Calibri" w:cs="Calibri"/>
        </w:rPr>
        <w:t xml:space="preserve">Bonnechere, P. (2013) </w:t>
      </w:r>
      <w:r>
        <w:rPr>
          <w:rFonts w:ascii="Calibri" w:hAnsi="Calibri" w:cs="Calibri"/>
          <w:i/>
          <w:iCs/>
        </w:rPr>
        <w:t xml:space="preserve">Sacrifices humains, </w:t>
      </w:r>
      <w:r w:rsidRPr="007A4D78">
        <w:rPr>
          <w:rFonts w:ascii="Calibri" w:hAnsi="Calibri" w:cs="Calibri"/>
          <w:i/>
          <w:iCs/>
        </w:rPr>
        <w:t xml:space="preserve">Human </w:t>
      </w:r>
      <w:r>
        <w:rPr>
          <w:rFonts w:ascii="Calibri" w:hAnsi="Calibri" w:cs="Calibri"/>
          <w:i/>
          <w:iCs/>
        </w:rPr>
        <w:t>s</w:t>
      </w:r>
      <w:r w:rsidRPr="007A4D78">
        <w:rPr>
          <w:rFonts w:ascii="Calibri" w:hAnsi="Calibri" w:cs="Calibri"/>
          <w:i/>
          <w:iCs/>
        </w:rPr>
        <w:t>acrifice</w:t>
      </w:r>
      <w:r>
        <w:rPr>
          <w:rFonts w:ascii="Calibri" w:hAnsi="Calibri" w:cs="Calibri"/>
          <w:i/>
          <w:iCs/>
        </w:rPr>
        <w:t xml:space="preserve">. </w:t>
      </w:r>
      <w:r>
        <w:rPr>
          <w:rFonts w:ascii="Calibri" w:hAnsi="Calibri" w:cs="Calibri"/>
        </w:rPr>
        <w:t xml:space="preserve">Liege: Presses Universitaires de Liege. </w:t>
      </w:r>
      <w:r w:rsidRPr="007A4D78">
        <w:rPr>
          <w:rFonts w:ascii="Calibri" w:hAnsi="Calibri" w:cs="Calibri"/>
        </w:rPr>
        <w:t xml:space="preserve">Available at: </w:t>
      </w:r>
      <w:hyperlink r:id="rId16" w:anchor=":~:text=63%20Human%20victims%2C%20young%20women,in%20the%20second%20century%20BCE" w:history="1">
        <w:r w:rsidRPr="007A4D78">
          <w:rPr>
            <w:rStyle w:val="Hyperlink"/>
            <w:rFonts w:ascii="Calibri" w:hAnsi="Calibri" w:cs="Calibri"/>
          </w:rPr>
          <w:t>https://books.openedition.org/pulg/8173?lang=en#:~:text=63%20Human%20victims%2C%20young%20women,in%20the%20second%20century%20BCE</w:t>
        </w:r>
      </w:hyperlink>
      <w:r w:rsidRPr="007A4D78">
        <w:rPr>
          <w:rFonts w:ascii="Calibri" w:hAnsi="Calibri" w:cs="Calibri"/>
        </w:rPr>
        <w:t xml:space="preserve"> (Accessed: 6 March 2024).</w:t>
      </w:r>
    </w:p>
    <w:p w14:paraId="7E20CF41" w14:textId="77777777" w:rsidR="006C3BCE" w:rsidRPr="007A4D78" w:rsidRDefault="006C3BCE" w:rsidP="007A4D78">
      <w:pPr>
        <w:rPr>
          <w:rFonts w:ascii="Calibri" w:hAnsi="Calibri" w:cs="Calibri"/>
          <w:b/>
          <w:bCs/>
          <w:color w:val="000000" w:themeColor="text1"/>
        </w:rPr>
      </w:pPr>
    </w:p>
    <w:p w14:paraId="78033E3C"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t>De Gruyter, W</w:t>
      </w:r>
      <w:r>
        <w:rPr>
          <w:rFonts w:ascii="Calibri" w:hAnsi="Calibri" w:cs="Calibri"/>
          <w:color w:val="000000" w:themeColor="text1"/>
          <w:shd w:val="clear" w:color="auto" w:fill="FFFFFF"/>
        </w:rPr>
        <w:t>.</w:t>
      </w:r>
      <w:r w:rsidRPr="00625297">
        <w:rPr>
          <w:rFonts w:ascii="Calibri" w:hAnsi="Calibri" w:cs="Calibri"/>
          <w:color w:val="000000" w:themeColor="text1"/>
          <w:shd w:val="clear" w:color="auto" w:fill="FFFFFF"/>
        </w:rPr>
        <w:t xml:space="preserve"> (2015) ‘Emperor Qin </w:t>
      </w:r>
      <w:proofErr w:type="spellStart"/>
      <w:r w:rsidRPr="00625297">
        <w:rPr>
          <w:rFonts w:ascii="Calibri" w:hAnsi="Calibri" w:cs="Calibri"/>
          <w:color w:val="000000" w:themeColor="text1"/>
          <w:shd w:val="clear" w:color="auto" w:fill="FFFFFF"/>
        </w:rPr>
        <w:t>Shihuang’s</w:t>
      </w:r>
      <w:proofErr w:type="spellEnd"/>
      <w:r w:rsidRPr="00625297">
        <w:rPr>
          <w:rFonts w:ascii="Calibri" w:hAnsi="Calibri" w:cs="Calibri"/>
          <w:color w:val="000000" w:themeColor="text1"/>
          <w:shd w:val="clear" w:color="auto" w:fill="FFFFFF"/>
        </w:rPr>
        <w:t xml:space="preserve"> Mausoleum site in Xi’an’, </w:t>
      </w:r>
      <w:r w:rsidRPr="00625297">
        <w:rPr>
          <w:rFonts w:ascii="Calibri" w:hAnsi="Calibri" w:cs="Calibri"/>
          <w:i/>
          <w:iCs/>
          <w:color w:val="000000" w:themeColor="text1"/>
        </w:rPr>
        <w:t xml:space="preserve">Chinese </w:t>
      </w:r>
      <w:r>
        <w:rPr>
          <w:rFonts w:ascii="Calibri" w:hAnsi="Calibri" w:cs="Calibri"/>
          <w:i/>
          <w:iCs/>
          <w:color w:val="000000" w:themeColor="text1"/>
        </w:rPr>
        <w:t>A</w:t>
      </w:r>
      <w:r w:rsidRPr="00625297">
        <w:rPr>
          <w:rFonts w:ascii="Calibri" w:hAnsi="Calibri" w:cs="Calibri"/>
          <w:i/>
          <w:iCs/>
          <w:color w:val="000000" w:themeColor="text1"/>
        </w:rPr>
        <w:t>rchaeology</w:t>
      </w:r>
      <w:r w:rsidRPr="00625297">
        <w:rPr>
          <w:rFonts w:ascii="Calibri" w:hAnsi="Calibri" w:cs="Calibri"/>
          <w:color w:val="000000" w:themeColor="text1"/>
          <w:shd w:val="clear" w:color="auto" w:fill="FFFFFF"/>
        </w:rPr>
        <w:t xml:space="preserve">, 15(1). Available at: </w:t>
      </w:r>
      <w:hyperlink r:id="rId17" w:history="1">
        <w:r w:rsidRPr="00625297">
          <w:rPr>
            <w:rStyle w:val="Hyperlink"/>
            <w:rFonts w:ascii="Calibri" w:hAnsi="Calibri" w:cs="Calibri"/>
            <w:color w:val="000000" w:themeColor="text1"/>
            <w:shd w:val="clear" w:color="auto" w:fill="FFFFFF"/>
          </w:rPr>
          <w:t>https://doi.org/10.1515/char-2015-0004</w:t>
        </w:r>
      </w:hyperlink>
      <w:r w:rsidRPr="00625297">
        <w:rPr>
          <w:rFonts w:ascii="Calibri" w:hAnsi="Calibri" w:cs="Calibri"/>
          <w:color w:val="000000" w:themeColor="text1"/>
          <w:shd w:val="clear" w:color="auto" w:fill="FFFFFF"/>
        </w:rPr>
        <w:t xml:space="preserve"> </w:t>
      </w:r>
    </w:p>
    <w:p w14:paraId="6BCB81ED" w14:textId="77777777" w:rsidR="001233C6" w:rsidRDefault="001233C6" w:rsidP="00280857">
      <w:pPr>
        <w:rPr>
          <w:rFonts w:ascii="Calibri" w:hAnsi="Calibri" w:cs="Calibri"/>
          <w:color w:val="000000" w:themeColor="text1"/>
          <w:shd w:val="clear" w:color="auto" w:fill="FFFFFF"/>
        </w:rPr>
      </w:pPr>
    </w:p>
    <w:p w14:paraId="4F4A193C" w14:textId="37DC6165" w:rsidR="001233C6" w:rsidRDefault="001233C6" w:rsidP="00280857">
      <w:pPr>
        <w:rPr>
          <w:rFonts w:ascii="Calibri" w:hAnsi="Calibri" w:cs="Calibri"/>
          <w:color w:val="000000" w:themeColor="text1"/>
          <w:shd w:val="clear" w:color="auto" w:fill="FFFFFF"/>
        </w:rPr>
      </w:pPr>
      <w:r w:rsidRPr="001233C6">
        <w:rPr>
          <w:rFonts w:ascii="Calibri" w:hAnsi="Calibri" w:cs="Calibri"/>
          <w:color w:val="000000" w:themeColor="text1"/>
          <w:shd w:val="clear" w:color="auto" w:fill="FFFFFF"/>
        </w:rPr>
        <w:t>Hu, Y.</w:t>
      </w:r>
      <w:r w:rsidRPr="001233C6">
        <w:rPr>
          <w:rStyle w:val="apple-converted-space"/>
          <w:rFonts w:ascii="Calibri" w:hAnsi="Calibri" w:cs="Calibri"/>
          <w:color w:val="000000" w:themeColor="text1"/>
          <w:shd w:val="clear" w:color="auto" w:fill="FFFFFF"/>
        </w:rPr>
        <w:t> </w:t>
      </w:r>
      <w:r w:rsidRPr="001233C6">
        <w:rPr>
          <w:rFonts w:ascii="Calibri" w:hAnsi="Calibri" w:cs="Calibri"/>
          <w:i/>
          <w:iCs/>
          <w:color w:val="000000" w:themeColor="text1"/>
        </w:rPr>
        <w:t>et al.</w:t>
      </w:r>
      <w:r w:rsidRPr="001233C6">
        <w:rPr>
          <w:rStyle w:val="apple-converted-space"/>
          <w:rFonts w:ascii="Calibri" w:hAnsi="Calibri" w:cs="Calibri"/>
          <w:color w:val="000000" w:themeColor="text1"/>
          <w:shd w:val="clear" w:color="auto" w:fill="FFFFFF"/>
        </w:rPr>
        <w:t> </w:t>
      </w:r>
      <w:r w:rsidRPr="001233C6">
        <w:rPr>
          <w:rFonts w:ascii="Calibri" w:hAnsi="Calibri" w:cs="Calibri"/>
          <w:color w:val="000000" w:themeColor="text1"/>
          <w:shd w:val="clear" w:color="auto" w:fill="FFFFFF"/>
        </w:rPr>
        <w:t xml:space="preserve">(2022) </w:t>
      </w:r>
      <w:r>
        <w:rPr>
          <w:rFonts w:ascii="Calibri" w:hAnsi="Calibri" w:cs="Calibri"/>
          <w:color w:val="000000" w:themeColor="text1"/>
          <w:shd w:val="clear" w:color="auto" w:fill="FFFFFF"/>
        </w:rPr>
        <w:t>‘</w:t>
      </w:r>
      <w:r w:rsidRPr="001233C6">
        <w:rPr>
          <w:rFonts w:ascii="Calibri" w:hAnsi="Calibri" w:cs="Calibri"/>
          <w:color w:val="000000" w:themeColor="text1"/>
          <w:shd w:val="clear" w:color="auto" w:fill="FFFFFF"/>
        </w:rPr>
        <w:t>Measurement and analysis of facial features of terracotta warriors based on high-precision 3D point clouds</w:t>
      </w:r>
      <w:r>
        <w:rPr>
          <w:rFonts w:ascii="Calibri" w:hAnsi="Calibri" w:cs="Calibri"/>
          <w:color w:val="000000" w:themeColor="text1"/>
          <w:shd w:val="clear" w:color="auto" w:fill="FFFFFF"/>
        </w:rPr>
        <w:t>’,</w:t>
      </w:r>
      <w:r w:rsidRPr="001233C6">
        <w:rPr>
          <w:rStyle w:val="apple-converted-space"/>
          <w:rFonts w:ascii="Calibri" w:hAnsi="Calibri" w:cs="Calibri"/>
          <w:color w:val="000000" w:themeColor="text1"/>
          <w:shd w:val="clear" w:color="auto" w:fill="FFFFFF"/>
        </w:rPr>
        <w:t> </w:t>
      </w:r>
      <w:r w:rsidRPr="001233C6">
        <w:rPr>
          <w:rFonts w:ascii="Calibri" w:hAnsi="Calibri" w:cs="Calibri"/>
          <w:i/>
          <w:iCs/>
          <w:color w:val="000000" w:themeColor="text1"/>
        </w:rPr>
        <w:t xml:space="preserve">Heritage </w:t>
      </w:r>
      <w:r>
        <w:rPr>
          <w:rFonts w:ascii="Calibri" w:hAnsi="Calibri" w:cs="Calibri"/>
          <w:i/>
          <w:iCs/>
          <w:color w:val="000000" w:themeColor="text1"/>
        </w:rPr>
        <w:t>S</w:t>
      </w:r>
      <w:r w:rsidRPr="001233C6">
        <w:rPr>
          <w:rFonts w:ascii="Calibri" w:hAnsi="Calibri" w:cs="Calibri"/>
          <w:i/>
          <w:iCs/>
          <w:color w:val="000000" w:themeColor="text1"/>
        </w:rPr>
        <w:t>cience</w:t>
      </w:r>
      <w:r w:rsidRPr="001233C6">
        <w:rPr>
          <w:rFonts w:ascii="Calibri" w:hAnsi="Calibri" w:cs="Calibri"/>
          <w:color w:val="000000" w:themeColor="text1"/>
          <w:shd w:val="clear" w:color="auto" w:fill="FFFFFF"/>
        </w:rPr>
        <w:t xml:space="preserve">, 10(1), pp. 1–23. Available at: </w:t>
      </w:r>
      <w:hyperlink r:id="rId18" w:history="1">
        <w:r w:rsidRPr="00125A95">
          <w:rPr>
            <w:rStyle w:val="Hyperlink"/>
            <w:rFonts w:ascii="Calibri" w:hAnsi="Calibri" w:cs="Calibri"/>
            <w:shd w:val="clear" w:color="auto" w:fill="FFFFFF"/>
          </w:rPr>
          <w:t>https://doi.org/10.1186/s40494-022-00662-0</w:t>
        </w:r>
      </w:hyperlink>
    </w:p>
    <w:p w14:paraId="0568645D" w14:textId="77777777" w:rsidR="006C3BCE" w:rsidRPr="00625297" w:rsidRDefault="006C3BCE" w:rsidP="00280857">
      <w:pPr>
        <w:rPr>
          <w:rFonts w:ascii="Calibri" w:hAnsi="Calibri" w:cs="Calibri"/>
          <w:color w:val="000000" w:themeColor="text1"/>
          <w:spacing w:val="-5"/>
        </w:rPr>
      </w:pPr>
    </w:p>
    <w:p w14:paraId="2F776F78" w14:textId="77777777" w:rsidR="006C3BCE" w:rsidRDefault="006C3BCE" w:rsidP="00280857">
      <w:pPr>
        <w:rPr>
          <w:rFonts w:ascii="Calibri" w:hAnsi="Calibri" w:cs="Calibri"/>
          <w:color w:val="000000"/>
          <w:spacing w:val="-5"/>
        </w:rPr>
      </w:pPr>
      <w:r w:rsidRPr="00625297">
        <w:rPr>
          <w:rFonts w:ascii="Calibri" w:hAnsi="Calibri" w:cs="Calibri"/>
          <w:color w:val="000000"/>
          <w:spacing w:val="-5"/>
        </w:rPr>
        <w:t>Hung, W. (2009). ‘Enlivening the Soul in Chinese Tombs’,</w:t>
      </w:r>
      <w:r w:rsidRPr="00625297">
        <w:rPr>
          <w:rStyle w:val="apple-converted-space"/>
          <w:rFonts w:ascii="Calibri" w:hAnsi="Calibri" w:cs="Calibri"/>
          <w:color w:val="000000"/>
          <w:spacing w:val="-5"/>
        </w:rPr>
        <w:t xml:space="preserve"> </w:t>
      </w:r>
      <w:r w:rsidRPr="00625297">
        <w:rPr>
          <w:rFonts w:ascii="Calibri" w:hAnsi="Calibri" w:cs="Calibri"/>
          <w:i/>
          <w:iCs/>
          <w:color w:val="000000"/>
          <w:spacing w:val="-5"/>
        </w:rPr>
        <w:t>Anthropology and Aesthetics</w:t>
      </w:r>
      <w:r w:rsidRPr="00625297">
        <w:rPr>
          <w:rFonts w:ascii="Calibri" w:hAnsi="Calibri" w:cs="Calibri"/>
          <w:color w:val="000000"/>
          <w:spacing w:val="-5"/>
        </w:rPr>
        <w:t>,</w:t>
      </w:r>
      <w:r w:rsidRPr="00625297">
        <w:rPr>
          <w:rStyle w:val="apple-converted-space"/>
          <w:rFonts w:ascii="Calibri" w:hAnsi="Calibri" w:cs="Calibri"/>
          <w:color w:val="000000"/>
          <w:spacing w:val="-5"/>
        </w:rPr>
        <w:t> </w:t>
      </w:r>
      <w:r w:rsidRPr="00625297">
        <w:rPr>
          <w:rFonts w:ascii="Calibri" w:hAnsi="Calibri" w:cs="Calibri"/>
          <w:color w:val="000000"/>
          <w:spacing w:val="-5"/>
        </w:rPr>
        <w:t xml:space="preserve">55/56, pp. 21–41. Available at: </w:t>
      </w:r>
      <w:hyperlink r:id="rId19" w:history="1">
        <w:r w:rsidRPr="00625297">
          <w:rPr>
            <w:rStyle w:val="Hyperlink"/>
            <w:rFonts w:ascii="Calibri" w:hAnsi="Calibri" w:cs="Calibri"/>
            <w:spacing w:val="-5"/>
          </w:rPr>
          <w:t>http://www.jstor.org/stable/25608834</w:t>
        </w:r>
      </w:hyperlink>
      <w:r w:rsidRPr="00625297">
        <w:rPr>
          <w:rFonts w:ascii="Calibri" w:hAnsi="Calibri" w:cs="Calibri"/>
          <w:color w:val="000000"/>
          <w:spacing w:val="-5"/>
        </w:rPr>
        <w:t xml:space="preserve"> (Accessed: 29 February 2024).</w:t>
      </w:r>
    </w:p>
    <w:p w14:paraId="52455398" w14:textId="77777777" w:rsidR="006C3BCE" w:rsidRPr="00625297" w:rsidRDefault="006C3BCE" w:rsidP="00280857">
      <w:pPr>
        <w:rPr>
          <w:rFonts w:ascii="Calibri" w:hAnsi="Calibri" w:cs="Calibri"/>
          <w:color w:val="000000"/>
          <w:spacing w:val="-5"/>
        </w:rPr>
      </w:pPr>
    </w:p>
    <w:p w14:paraId="13FC292F" w14:textId="467DCF04" w:rsidR="006C3BCE" w:rsidRDefault="006C3BCE" w:rsidP="00280857">
      <w:pPr>
        <w:rPr>
          <w:rFonts w:ascii="Calibri" w:hAnsi="Calibri" w:cs="Calibri"/>
          <w:color w:val="000000" w:themeColor="text1"/>
          <w:spacing w:val="-5"/>
        </w:rPr>
      </w:pPr>
      <w:proofErr w:type="spellStart"/>
      <w:r w:rsidRPr="00020B62">
        <w:rPr>
          <w:rFonts w:ascii="Calibri" w:hAnsi="Calibri" w:cs="Calibri"/>
          <w:color w:val="000000" w:themeColor="text1"/>
          <w:shd w:val="clear" w:color="auto" w:fill="FFFFFF"/>
        </w:rPr>
        <w:t>Kesner</w:t>
      </w:r>
      <w:proofErr w:type="spellEnd"/>
      <w:r w:rsidRPr="00020B62">
        <w:rPr>
          <w:rFonts w:ascii="Calibri" w:hAnsi="Calibri" w:cs="Calibri"/>
          <w:color w:val="000000" w:themeColor="text1"/>
          <w:shd w:val="clear" w:color="auto" w:fill="FFFFFF"/>
        </w:rPr>
        <w:t>, L. (1995) ‘Likeness of No One: (Re)presenting the First Emperor’s Army’,</w:t>
      </w:r>
      <w:r w:rsidRPr="00020B62">
        <w:rPr>
          <w:rStyle w:val="apple-converted-space"/>
          <w:rFonts w:ascii="Calibri" w:hAnsi="Calibri" w:cs="Calibri"/>
          <w:color w:val="000000" w:themeColor="text1"/>
          <w:shd w:val="clear" w:color="auto" w:fill="FFFFFF"/>
        </w:rPr>
        <w:t> </w:t>
      </w:r>
      <w:r w:rsidRPr="00020B62">
        <w:rPr>
          <w:rFonts w:ascii="Calibri" w:hAnsi="Calibri" w:cs="Calibri"/>
          <w:i/>
          <w:iCs/>
          <w:color w:val="000000" w:themeColor="text1"/>
        </w:rPr>
        <w:t>The Art Bulletin</w:t>
      </w:r>
      <w:r w:rsidRPr="00020B62">
        <w:rPr>
          <w:rFonts w:ascii="Calibri" w:hAnsi="Calibri" w:cs="Calibri"/>
          <w:color w:val="000000" w:themeColor="text1"/>
          <w:shd w:val="clear" w:color="auto" w:fill="FFFFFF"/>
        </w:rPr>
        <w:t xml:space="preserve">, 77(1), pp. 115–132. Available at: </w:t>
      </w:r>
      <w:hyperlink r:id="rId20" w:history="1">
        <w:r w:rsidRPr="00125A95">
          <w:rPr>
            <w:rStyle w:val="Hyperlink"/>
            <w:rFonts w:ascii="Calibri" w:hAnsi="Calibri" w:cs="Calibri"/>
            <w:spacing w:val="-5"/>
          </w:rPr>
          <w:t>https://doi.org/10.2307/3046084</w:t>
        </w:r>
      </w:hyperlink>
      <w:r w:rsidRPr="00020B62">
        <w:rPr>
          <w:rFonts w:ascii="Calibri" w:hAnsi="Calibri" w:cs="Calibri"/>
          <w:color w:val="000000" w:themeColor="text1"/>
          <w:spacing w:val="-5"/>
        </w:rPr>
        <w:t xml:space="preserve"> </w:t>
      </w:r>
    </w:p>
    <w:p w14:paraId="730C2B18" w14:textId="77777777" w:rsidR="006C3BCE" w:rsidRPr="00020B62" w:rsidRDefault="006C3BCE" w:rsidP="00280857">
      <w:pPr>
        <w:rPr>
          <w:rFonts w:ascii="Calibri" w:hAnsi="Calibri" w:cs="Calibri"/>
          <w:color w:val="000000" w:themeColor="text1"/>
          <w:spacing w:val="-5"/>
        </w:rPr>
      </w:pPr>
    </w:p>
    <w:p w14:paraId="4BC4BAB4"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t>Lai, G. (2015)</w:t>
      </w:r>
      <w:r w:rsidRPr="00625297">
        <w:rPr>
          <w:rStyle w:val="apple-converted-space"/>
          <w:rFonts w:ascii="Calibri" w:hAnsi="Calibri" w:cs="Calibri"/>
          <w:color w:val="000000" w:themeColor="text1"/>
          <w:shd w:val="clear" w:color="auto" w:fill="FFFFFF"/>
        </w:rPr>
        <w:t> </w:t>
      </w:r>
      <w:r w:rsidRPr="00625297">
        <w:rPr>
          <w:rFonts w:ascii="Calibri" w:hAnsi="Calibri" w:cs="Calibri"/>
          <w:i/>
          <w:iCs/>
          <w:color w:val="000000" w:themeColor="text1"/>
        </w:rPr>
        <w:t>Excavating the Afterlife: The Archaeology of Early Chinese Religion</w:t>
      </w:r>
      <w:r w:rsidRPr="00625297">
        <w:rPr>
          <w:rFonts w:ascii="Calibri" w:hAnsi="Calibri" w:cs="Calibri"/>
          <w:color w:val="000000" w:themeColor="text1"/>
          <w:shd w:val="clear" w:color="auto" w:fill="FFFFFF"/>
        </w:rPr>
        <w:t>. University of Washington Press.</w:t>
      </w:r>
    </w:p>
    <w:p w14:paraId="4502A25D" w14:textId="77777777" w:rsidR="006C3BCE" w:rsidRPr="00625297" w:rsidRDefault="006C3BCE" w:rsidP="00280857">
      <w:pPr>
        <w:rPr>
          <w:rFonts w:ascii="Calibri" w:hAnsi="Calibri" w:cs="Calibri"/>
          <w:color w:val="000000" w:themeColor="text1"/>
          <w:shd w:val="clear" w:color="auto" w:fill="FFFFFF"/>
        </w:rPr>
      </w:pPr>
    </w:p>
    <w:p w14:paraId="553B61EF" w14:textId="77777777" w:rsidR="006C3BCE" w:rsidRDefault="006C3BCE" w:rsidP="00280857">
      <w:pPr>
        <w:rPr>
          <w:rFonts w:ascii="Calibri" w:eastAsia="Times New Roman" w:hAnsi="Calibri" w:cs="Calibri"/>
          <w:kern w:val="0"/>
          <w:lang w:eastAsia="en-GB"/>
          <w14:ligatures w14:val="none"/>
        </w:rPr>
      </w:pPr>
      <w:proofErr w:type="spellStart"/>
      <w:r w:rsidRPr="00625297">
        <w:rPr>
          <w:rFonts w:ascii="Calibri" w:eastAsia="Times New Roman" w:hAnsi="Calibri" w:cs="Calibri"/>
          <w:kern w:val="0"/>
          <w:lang w:eastAsia="en-GB"/>
          <w14:ligatures w14:val="none"/>
        </w:rPr>
        <w:t>Ledderose</w:t>
      </w:r>
      <w:proofErr w:type="spellEnd"/>
      <w:r w:rsidRPr="00625297">
        <w:rPr>
          <w:rFonts w:ascii="Calibri" w:eastAsia="Times New Roman" w:hAnsi="Calibri" w:cs="Calibri"/>
          <w:kern w:val="0"/>
          <w:lang w:eastAsia="en-GB"/>
          <w14:ligatures w14:val="none"/>
        </w:rPr>
        <w:t xml:space="preserve">, L. (2000) ‘A Magic Army for the Emperor’, </w:t>
      </w:r>
      <w:r w:rsidRPr="00625297">
        <w:rPr>
          <w:rFonts w:ascii="Calibri" w:eastAsia="Times New Roman" w:hAnsi="Calibri" w:cs="Calibri"/>
          <w:i/>
          <w:iCs/>
          <w:kern w:val="0"/>
          <w:lang w:eastAsia="en-GB"/>
          <w14:ligatures w14:val="none"/>
        </w:rPr>
        <w:t>Ten Thousand Things: Module and Mass Production in Chinese Art</w:t>
      </w:r>
      <w:r w:rsidRPr="00625297">
        <w:rPr>
          <w:rFonts w:ascii="Calibri" w:eastAsia="Times New Roman" w:hAnsi="Calibri" w:cs="Calibri"/>
          <w:kern w:val="0"/>
          <w:lang w:eastAsia="en-GB"/>
          <w14:ligatures w14:val="none"/>
        </w:rPr>
        <w:t xml:space="preserve">, 46, pp. 51–73. Available at: </w:t>
      </w:r>
      <w:hyperlink r:id="rId21" w:history="1">
        <w:r w:rsidRPr="00625297">
          <w:rPr>
            <w:rStyle w:val="Hyperlink"/>
            <w:rFonts w:ascii="Calibri" w:eastAsia="Times New Roman" w:hAnsi="Calibri" w:cs="Calibri"/>
            <w:kern w:val="0"/>
            <w:lang w:eastAsia="en-GB"/>
            <w14:ligatures w14:val="none"/>
          </w:rPr>
          <w:t>https://doi.org/10.2307/jj.5425913.7</w:t>
        </w:r>
      </w:hyperlink>
      <w:r w:rsidRPr="00625297">
        <w:rPr>
          <w:rFonts w:ascii="Calibri" w:eastAsia="Times New Roman" w:hAnsi="Calibri" w:cs="Calibri"/>
          <w:kern w:val="0"/>
          <w:lang w:eastAsia="en-GB"/>
          <w14:ligatures w14:val="none"/>
        </w:rPr>
        <w:t xml:space="preserve"> </w:t>
      </w:r>
    </w:p>
    <w:p w14:paraId="6EE7C5B2" w14:textId="77777777" w:rsidR="006C3BCE" w:rsidRPr="00625297" w:rsidRDefault="006C3BCE" w:rsidP="00280857">
      <w:pPr>
        <w:rPr>
          <w:rFonts w:ascii="Calibri" w:eastAsia="Times New Roman" w:hAnsi="Calibri" w:cs="Calibri"/>
          <w:kern w:val="0"/>
          <w:lang w:eastAsia="en-GB"/>
          <w14:ligatures w14:val="none"/>
        </w:rPr>
      </w:pPr>
    </w:p>
    <w:p w14:paraId="6228DFCB"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t>Lewis, M.E. (2010)</w:t>
      </w:r>
      <w:r w:rsidRPr="00625297">
        <w:rPr>
          <w:rStyle w:val="apple-converted-space"/>
          <w:rFonts w:ascii="Calibri" w:hAnsi="Calibri" w:cs="Calibri"/>
          <w:color w:val="000000" w:themeColor="text1"/>
          <w:shd w:val="clear" w:color="auto" w:fill="FFFFFF"/>
        </w:rPr>
        <w:t> </w:t>
      </w:r>
      <w:r w:rsidRPr="00625297">
        <w:rPr>
          <w:rFonts w:ascii="Calibri" w:hAnsi="Calibri" w:cs="Calibri"/>
          <w:i/>
          <w:iCs/>
          <w:color w:val="000000" w:themeColor="text1"/>
        </w:rPr>
        <w:t>The early Chinese empires: Qin and Han</w:t>
      </w:r>
      <w:r w:rsidRPr="00625297">
        <w:rPr>
          <w:rFonts w:ascii="Calibri" w:hAnsi="Calibri" w:cs="Calibri"/>
          <w:color w:val="000000" w:themeColor="text1"/>
          <w:shd w:val="clear" w:color="auto" w:fill="FFFFFF"/>
        </w:rPr>
        <w:t>. 1</w:t>
      </w:r>
      <w:r w:rsidRPr="00625297">
        <w:rPr>
          <w:rFonts w:ascii="Calibri" w:hAnsi="Calibri" w:cs="Calibri"/>
          <w:color w:val="000000" w:themeColor="text1"/>
          <w:shd w:val="clear" w:color="auto" w:fill="FFFFFF"/>
          <w:vertAlign w:val="superscript"/>
        </w:rPr>
        <w:t>st</w:t>
      </w:r>
      <w:r w:rsidRPr="00625297">
        <w:rPr>
          <w:rFonts w:ascii="Calibri" w:hAnsi="Calibri" w:cs="Calibri"/>
          <w:color w:val="000000" w:themeColor="text1"/>
          <w:shd w:val="clear" w:color="auto" w:fill="FFFFFF"/>
        </w:rPr>
        <w:t xml:space="preserve"> </w:t>
      </w:r>
      <w:proofErr w:type="spellStart"/>
      <w:r w:rsidRPr="00625297">
        <w:rPr>
          <w:rFonts w:ascii="Calibri" w:hAnsi="Calibri" w:cs="Calibri"/>
          <w:color w:val="000000" w:themeColor="text1"/>
          <w:shd w:val="clear" w:color="auto" w:fill="FFFFFF"/>
        </w:rPr>
        <w:t>edn</w:t>
      </w:r>
      <w:proofErr w:type="spellEnd"/>
      <w:r w:rsidRPr="00625297">
        <w:rPr>
          <w:rFonts w:ascii="Calibri" w:hAnsi="Calibri" w:cs="Calibri"/>
          <w:color w:val="000000" w:themeColor="text1"/>
          <w:shd w:val="clear" w:color="auto" w:fill="FFFFFF"/>
        </w:rPr>
        <w:t xml:space="preserve">. Cambridge, Mass: </w:t>
      </w:r>
      <w:proofErr w:type="spellStart"/>
      <w:r w:rsidRPr="00625297">
        <w:rPr>
          <w:rFonts w:ascii="Calibri" w:hAnsi="Calibri" w:cs="Calibri"/>
          <w:color w:val="000000" w:themeColor="text1"/>
          <w:shd w:val="clear" w:color="auto" w:fill="FFFFFF"/>
        </w:rPr>
        <w:t>Belknap</w:t>
      </w:r>
      <w:proofErr w:type="spellEnd"/>
      <w:r w:rsidRPr="00625297">
        <w:rPr>
          <w:rFonts w:ascii="Calibri" w:hAnsi="Calibri" w:cs="Calibri"/>
          <w:color w:val="000000" w:themeColor="text1"/>
          <w:shd w:val="clear" w:color="auto" w:fill="FFFFFF"/>
        </w:rPr>
        <w:t xml:space="preserve"> Press of Harvard University.</w:t>
      </w:r>
    </w:p>
    <w:p w14:paraId="067EEB80" w14:textId="77777777" w:rsidR="006C3BCE" w:rsidRDefault="006C3BCE" w:rsidP="00280857">
      <w:pPr>
        <w:rPr>
          <w:rFonts w:ascii="Calibri" w:hAnsi="Calibri" w:cs="Calibri"/>
          <w:color w:val="000000" w:themeColor="text1"/>
          <w:shd w:val="clear" w:color="auto" w:fill="FFFFFF"/>
        </w:rPr>
      </w:pPr>
    </w:p>
    <w:p w14:paraId="551E6402" w14:textId="77777777" w:rsidR="006C3BCE" w:rsidRDefault="006C3BCE" w:rsidP="00280857">
      <w:pPr>
        <w:rPr>
          <w:rStyle w:val="Hyperlink"/>
          <w:rFonts w:ascii="Calibri" w:hAnsi="Calibri" w:cs="Calibri"/>
          <w:shd w:val="clear" w:color="auto" w:fill="FFFFFF"/>
        </w:rPr>
      </w:pPr>
      <w:r w:rsidRPr="00C12249">
        <w:rPr>
          <w:rFonts w:ascii="Calibri" w:hAnsi="Calibri" w:cs="Calibri"/>
          <w:color w:val="000000" w:themeColor="text1"/>
          <w:shd w:val="clear" w:color="auto" w:fill="FFFFFF"/>
        </w:rPr>
        <w:t>Ma, Y.</w:t>
      </w:r>
      <w:r w:rsidRPr="00C12249">
        <w:rPr>
          <w:rStyle w:val="apple-converted-space"/>
          <w:rFonts w:ascii="Calibri" w:hAnsi="Calibri" w:cs="Calibri"/>
          <w:color w:val="000000" w:themeColor="text1"/>
          <w:shd w:val="clear" w:color="auto" w:fill="FFFFFF"/>
        </w:rPr>
        <w:t> </w:t>
      </w:r>
      <w:r w:rsidRPr="00C12249">
        <w:rPr>
          <w:rFonts w:ascii="Calibri" w:hAnsi="Calibri" w:cs="Calibri"/>
          <w:i/>
          <w:iCs/>
          <w:color w:val="000000" w:themeColor="text1"/>
        </w:rPr>
        <w:t>et al.</w:t>
      </w:r>
      <w:r w:rsidRPr="00C12249">
        <w:rPr>
          <w:rStyle w:val="apple-converted-space"/>
          <w:rFonts w:ascii="Calibri" w:hAnsi="Calibri" w:cs="Calibri"/>
          <w:color w:val="000000" w:themeColor="text1"/>
          <w:shd w:val="clear" w:color="auto" w:fill="FFFFFF"/>
        </w:rPr>
        <w:t> </w:t>
      </w:r>
      <w:r w:rsidRPr="00C12249">
        <w:rPr>
          <w:rFonts w:ascii="Calibri" w:hAnsi="Calibri" w:cs="Calibri"/>
          <w:color w:val="000000" w:themeColor="text1"/>
          <w:shd w:val="clear" w:color="auto" w:fill="FFFFFF"/>
        </w:rPr>
        <w:t xml:space="preserve">(2016) </w:t>
      </w:r>
      <w:r>
        <w:rPr>
          <w:rFonts w:ascii="Calibri" w:hAnsi="Calibri" w:cs="Calibri"/>
          <w:color w:val="000000" w:themeColor="text1"/>
          <w:shd w:val="clear" w:color="auto" w:fill="FFFFFF"/>
        </w:rPr>
        <w:t>‘</w:t>
      </w:r>
      <w:r w:rsidRPr="00C12249">
        <w:rPr>
          <w:rFonts w:ascii="Calibri" w:hAnsi="Calibri" w:cs="Calibri"/>
          <w:color w:val="000000" w:themeColor="text1"/>
          <w:shd w:val="clear" w:color="auto" w:fill="FFFFFF"/>
        </w:rPr>
        <w:t>Tracing the locality of prisoners and workers at the Mausoleum of Qin Shi Huang: First Emperor of China (259-210 BC)</w:t>
      </w:r>
      <w:r>
        <w:rPr>
          <w:rFonts w:ascii="Calibri" w:hAnsi="Calibri" w:cs="Calibri"/>
          <w:color w:val="000000" w:themeColor="text1"/>
          <w:shd w:val="clear" w:color="auto" w:fill="FFFFFF"/>
        </w:rPr>
        <w:t>’,</w:t>
      </w:r>
      <w:r w:rsidRPr="00C12249">
        <w:rPr>
          <w:rStyle w:val="apple-converted-space"/>
          <w:rFonts w:ascii="Calibri" w:hAnsi="Calibri" w:cs="Calibri"/>
          <w:color w:val="000000" w:themeColor="text1"/>
          <w:shd w:val="clear" w:color="auto" w:fill="FFFFFF"/>
        </w:rPr>
        <w:t> </w:t>
      </w:r>
      <w:r w:rsidRPr="00C12249">
        <w:rPr>
          <w:rFonts w:ascii="Calibri" w:hAnsi="Calibri" w:cs="Calibri"/>
          <w:i/>
          <w:iCs/>
          <w:color w:val="000000" w:themeColor="text1"/>
        </w:rPr>
        <w:t xml:space="preserve">Scientific </w:t>
      </w:r>
      <w:r>
        <w:rPr>
          <w:rFonts w:ascii="Calibri" w:hAnsi="Calibri" w:cs="Calibri"/>
          <w:i/>
          <w:iCs/>
          <w:color w:val="000000" w:themeColor="text1"/>
        </w:rPr>
        <w:t>R</w:t>
      </w:r>
      <w:r w:rsidRPr="00C12249">
        <w:rPr>
          <w:rFonts w:ascii="Calibri" w:hAnsi="Calibri" w:cs="Calibri"/>
          <w:i/>
          <w:iCs/>
          <w:color w:val="000000" w:themeColor="text1"/>
        </w:rPr>
        <w:t>eports</w:t>
      </w:r>
      <w:r w:rsidRPr="00C12249">
        <w:rPr>
          <w:rFonts w:ascii="Calibri" w:hAnsi="Calibri" w:cs="Calibri"/>
          <w:color w:val="000000" w:themeColor="text1"/>
          <w:shd w:val="clear" w:color="auto" w:fill="FFFFFF"/>
        </w:rPr>
        <w:t>, 6(1), p. 26731</w:t>
      </w:r>
      <w:r>
        <w:rPr>
          <w:rFonts w:ascii="Calibri" w:hAnsi="Calibri" w:cs="Calibri"/>
          <w:color w:val="000000" w:themeColor="text1"/>
          <w:shd w:val="clear" w:color="auto" w:fill="FFFFFF"/>
        </w:rPr>
        <w:t xml:space="preserve">. </w:t>
      </w:r>
      <w:r w:rsidRPr="00C12249">
        <w:rPr>
          <w:rFonts w:ascii="Calibri" w:hAnsi="Calibri" w:cs="Calibri"/>
          <w:color w:val="000000" w:themeColor="text1"/>
          <w:shd w:val="clear" w:color="auto" w:fill="FFFFFF"/>
        </w:rPr>
        <w:t xml:space="preserve">Available at: </w:t>
      </w:r>
      <w:hyperlink r:id="rId22" w:history="1">
        <w:r w:rsidRPr="000E0705">
          <w:rPr>
            <w:rStyle w:val="Hyperlink"/>
            <w:rFonts w:ascii="Calibri" w:hAnsi="Calibri" w:cs="Calibri"/>
            <w:shd w:val="clear" w:color="auto" w:fill="FFFFFF"/>
          </w:rPr>
          <w:t>https://doi.org/10.1038/srep26731</w:t>
        </w:r>
      </w:hyperlink>
    </w:p>
    <w:p w14:paraId="554991DC" w14:textId="77777777" w:rsidR="006C3BCE" w:rsidRDefault="006C3BCE" w:rsidP="00280857">
      <w:pPr>
        <w:rPr>
          <w:rFonts w:ascii="Calibri" w:hAnsi="Calibri" w:cs="Calibri"/>
          <w:color w:val="000000" w:themeColor="text1"/>
          <w:shd w:val="clear" w:color="auto" w:fill="FFFFFF"/>
        </w:rPr>
      </w:pPr>
    </w:p>
    <w:p w14:paraId="09EF84D6" w14:textId="77777777" w:rsidR="006C3BCE" w:rsidRDefault="006C3BCE" w:rsidP="00280857">
      <w:pPr>
        <w:rPr>
          <w:rFonts w:ascii="Calibri" w:hAnsi="Calibri" w:cs="Calibri"/>
        </w:rPr>
      </w:pPr>
      <w:r w:rsidRPr="00625297">
        <w:rPr>
          <w:rFonts w:ascii="Calibri" w:hAnsi="Calibri" w:cs="Calibri"/>
        </w:rPr>
        <w:t xml:space="preserve">Man, J. (2018) </w:t>
      </w:r>
      <w:r w:rsidRPr="00625297">
        <w:rPr>
          <w:rFonts w:ascii="Calibri" w:hAnsi="Calibri" w:cs="Calibri"/>
          <w:i/>
          <w:iCs/>
        </w:rPr>
        <w:t xml:space="preserve">The Terracotta Army: China’s First Emperor and the birth of a nation. </w:t>
      </w:r>
      <w:r w:rsidRPr="00625297">
        <w:rPr>
          <w:rFonts w:ascii="Calibri" w:hAnsi="Calibri" w:cs="Calibri"/>
        </w:rPr>
        <w:t>3</w:t>
      </w:r>
      <w:r w:rsidRPr="00625297">
        <w:rPr>
          <w:rFonts w:ascii="Calibri" w:hAnsi="Calibri" w:cs="Calibri"/>
          <w:vertAlign w:val="superscript"/>
        </w:rPr>
        <w:t>rd</w:t>
      </w:r>
      <w:r w:rsidRPr="00625297">
        <w:rPr>
          <w:rFonts w:ascii="Calibri" w:hAnsi="Calibri" w:cs="Calibri"/>
        </w:rPr>
        <w:t xml:space="preserve"> </w:t>
      </w:r>
      <w:proofErr w:type="spellStart"/>
      <w:r w:rsidRPr="00625297">
        <w:rPr>
          <w:rFonts w:ascii="Calibri" w:hAnsi="Calibri" w:cs="Calibri"/>
        </w:rPr>
        <w:t>edn</w:t>
      </w:r>
      <w:proofErr w:type="spellEnd"/>
      <w:r w:rsidRPr="00625297">
        <w:rPr>
          <w:rFonts w:ascii="Calibri" w:hAnsi="Calibri" w:cs="Calibri"/>
        </w:rPr>
        <w:t>. London: Transworld Publishers.</w:t>
      </w:r>
    </w:p>
    <w:p w14:paraId="5E8BD9E4" w14:textId="77777777" w:rsidR="006C3BCE" w:rsidRPr="00625297" w:rsidRDefault="006C3BCE" w:rsidP="00280857">
      <w:pPr>
        <w:rPr>
          <w:rFonts w:ascii="Calibri" w:hAnsi="Calibri" w:cs="Calibri"/>
        </w:rPr>
      </w:pPr>
    </w:p>
    <w:p w14:paraId="44C7ACA1" w14:textId="77777777" w:rsidR="006C3BCE" w:rsidRDefault="006C3BCE" w:rsidP="00280857">
      <w:pPr>
        <w:rPr>
          <w:rFonts w:ascii="Calibri" w:hAnsi="Calibri" w:cs="Calibri"/>
          <w:color w:val="000000" w:themeColor="text1"/>
          <w:spacing w:val="-5"/>
        </w:rPr>
      </w:pPr>
      <w:r w:rsidRPr="00625297">
        <w:rPr>
          <w:rFonts w:ascii="Calibri" w:hAnsi="Calibri" w:cs="Calibri"/>
          <w:color w:val="000000" w:themeColor="text1"/>
          <w:shd w:val="clear" w:color="auto" w:fill="FFFFFF"/>
        </w:rPr>
        <w:t>O’Connor</w:t>
      </w:r>
      <w:r>
        <w:rPr>
          <w:rFonts w:ascii="Calibri" w:hAnsi="Calibri" w:cs="Calibri"/>
          <w:color w:val="000000" w:themeColor="text1"/>
          <w:shd w:val="clear" w:color="auto" w:fill="FFFFFF"/>
        </w:rPr>
        <w:t>, C.</w:t>
      </w:r>
      <w:r w:rsidRPr="00625297">
        <w:rPr>
          <w:rFonts w:ascii="Calibri" w:hAnsi="Calibri" w:cs="Calibri"/>
          <w:color w:val="000000" w:themeColor="text1"/>
          <w:shd w:val="clear" w:color="auto" w:fill="FFFFFF"/>
        </w:rPr>
        <w:t xml:space="preserve"> and Weatherall</w:t>
      </w:r>
      <w:r>
        <w:rPr>
          <w:rFonts w:ascii="Calibri" w:hAnsi="Calibri" w:cs="Calibri"/>
          <w:color w:val="000000" w:themeColor="text1"/>
          <w:shd w:val="clear" w:color="auto" w:fill="FFFFFF"/>
        </w:rPr>
        <w:t>, J.</w:t>
      </w:r>
      <w:r w:rsidRPr="00625297">
        <w:rPr>
          <w:rFonts w:ascii="Calibri" w:hAnsi="Calibri" w:cs="Calibri"/>
          <w:color w:val="000000" w:themeColor="text1"/>
          <w:shd w:val="clear" w:color="auto" w:fill="FFFFFF"/>
        </w:rPr>
        <w:t xml:space="preserve"> (2019) ‘Polarization and Conformity’, in</w:t>
      </w:r>
      <w:r w:rsidRPr="00625297">
        <w:rPr>
          <w:rStyle w:val="apple-converted-space"/>
          <w:rFonts w:ascii="Calibri" w:hAnsi="Calibri" w:cs="Calibri"/>
          <w:color w:val="000000" w:themeColor="text1"/>
          <w:shd w:val="clear" w:color="auto" w:fill="FFFFFF"/>
        </w:rPr>
        <w:t> </w:t>
      </w:r>
      <w:r w:rsidRPr="00625297">
        <w:rPr>
          <w:rFonts w:ascii="Calibri" w:hAnsi="Calibri" w:cs="Calibri"/>
          <w:i/>
          <w:iCs/>
          <w:color w:val="000000" w:themeColor="text1"/>
        </w:rPr>
        <w:t>The Misinformation Age</w:t>
      </w:r>
      <w:r w:rsidRPr="00625297">
        <w:rPr>
          <w:rFonts w:ascii="Calibri" w:hAnsi="Calibri" w:cs="Calibri"/>
          <w:color w:val="000000" w:themeColor="text1"/>
          <w:shd w:val="clear" w:color="auto" w:fill="FFFFFF"/>
        </w:rPr>
        <w:t xml:space="preserve">. Yale University Press. Available at: </w:t>
      </w:r>
      <w:hyperlink r:id="rId23" w:history="1">
        <w:r w:rsidRPr="00625297">
          <w:rPr>
            <w:rStyle w:val="Hyperlink"/>
            <w:rFonts w:ascii="Calibri" w:hAnsi="Calibri" w:cs="Calibri"/>
            <w:color w:val="000000" w:themeColor="text1"/>
            <w:spacing w:val="-5"/>
          </w:rPr>
          <w:t>https://doi.org/10.2307/j.ctv8jp0hk</w:t>
        </w:r>
      </w:hyperlink>
      <w:r w:rsidRPr="00625297">
        <w:rPr>
          <w:rFonts w:ascii="Calibri" w:hAnsi="Calibri" w:cs="Calibri"/>
          <w:color w:val="000000" w:themeColor="text1"/>
          <w:spacing w:val="-5"/>
        </w:rPr>
        <w:t xml:space="preserve"> </w:t>
      </w:r>
    </w:p>
    <w:p w14:paraId="575C8C39" w14:textId="77777777" w:rsidR="006C3BCE" w:rsidRPr="00625297" w:rsidRDefault="006C3BCE" w:rsidP="00280857">
      <w:pPr>
        <w:rPr>
          <w:rFonts w:ascii="Calibri" w:hAnsi="Calibri" w:cs="Calibri"/>
          <w:color w:val="000000" w:themeColor="text1"/>
          <w:spacing w:val="-5"/>
        </w:rPr>
      </w:pPr>
    </w:p>
    <w:p w14:paraId="3B3680BE"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t>Parker Pearson, M. (2021)</w:t>
      </w:r>
      <w:r w:rsidRPr="00625297">
        <w:rPr>
          <w:rStyle w:val="apple-converted-space"/>
          <w:rFonts w:ascii="Calibri" w:hAnsi="Calibri" w:cs="Calibri"/>
          <w:color w:val="000000" w:themeColor="text1"/>
          <w:shd w:val="clear" w:color="auto" w:fill="FFFFFF"/>
        </w:rPr>
        <w:t> </w:t>
      </w:r>
      <w:r w:rsidRPr="00625297">
        <w:rPr>
          <w:rFonts w:ascii="Calibri" w:hAnsi="Calibri" w:cs="Calibri"/>
          <w:i/>
          <w:iCs/>
          <w:color w:val="000000" w:themeColor="text1"/>
        </w:rPr>
        <w:t>The archaeology of death and burial</w:t>
      </w:r>
      <w:r w:rsidRPr="00625297">
        <w:rPr>
          <w:rFonts w:ascii="Calibri" w:hAnsi="Calibri" w:cs="Calibri"/>
          <w:color w:val="000000" w:themeColor="text1"/>
          <w:shd w:val="clear" w:color="auto" w:fill="FFFFFF"/>
        </w:rPr>
        <w:t>. Gloucestershire, England: The History Press.</w:t>
      </w:r>
    </w:p>
    <w:p w14:paraId="00A4EB6E" w14:textId="77777777" w:rsidR="006C3BCE" w:rsidRPr="00625297" w:rsidRDefault="006C3BCE" w:rsidP="00280857">
      <w:pPr>
        <w:rPr>
          <w:rFonts w:ascii="Calibri" w:hAnsi="Calibri" w:cs="Calibri"/>
          <w:color w:val="000000" w:themeColor="text1"/>
          <w:shd w:val="clear" w:color="auto" w:fill="FFFFFF"/>
        </w:rPr>
      </w:pPr>
    </w:p>
    <w:p w14:paraId="34F5D436"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t xml:space="preserve">Portal, J. (2007) </w:t>
      </w:r>
      <w:r w:rsidRPr="00625297">
        <w:rPr>
          <w:rFonts w:ascii="Calibri" w:hAnsi="Calibri" w:cs="Calibri"/>
          <w:i/>
          <w:iCs/>
          <w:color w:val="000000" w:themeColor="text1"/>
          <w:shd w:val="clear" w:color="auto" w:fill="FFFFFF"/>
        </w:rPr>
        <w:t xml:space="preserve">The First Emperor: China’s Terracotta Army. </w:t>
      </w:r>
      <w:r w:rsidRPr="00625297">
        <w:rPr>
          <w:rFonts w:ascii="Calibri" w:hAnsi="Calibri" w:cs="Calibri"/>
          <w:color w:val="000000" w:themeColor="text1"/>
          <w:shd w:val="clear" w:color="auto" w:fill="FFFFFF"/>
        </w:rPr>
        <w:t>1</w:t>
      </w:r>
      <w:r w:rsidRPr="00625297">
        <w:rPr>
          <w:rFonts w:ascii="Calibri" w:hAnsi="Calibri" w:cs="Calibri"/>
          <w:color w:val="000000" w:themeColor="text1"/>
          <w:shd w:val="clear" w:color="auto" w:fill="FFFFFF"/>
          <w:vertAlign w:val="superscript"/>
        </w:rPr>
        <w:t>st</w:t>
      </w:r>
      <w:r w:rsidRPr="00625297">
        <w:rPr>
          <w:rFonts w:ascii="Calibri" w:hAnsi="Calibri" w:cs="Calibri"/>
          <w:color w:val="000000" w:themeColor="text1"/>
          <w:shd w:val="clear" w:color="auto" w:fill="FFFFFF"/>
        </w:rPr>
        <w:t xml:space="preserve"> </w:t>
      </w:r>
      <w:proofErr w:type="spellStart"/>
      <w:r w:rsidRPr="00625297">
        <w:rPr>
          <w:rFonts w:ascii="Calibri" w:hAnsi="Calibri" w:cs="Calibri"/>
          <w:color w:val="000000" w:themeColor="text1"/>
          <w:shd w:val="clear" w:color="auto" w:fill="FFFFFF"/>
        </w:rPr>
        <w:t>edn</w:t>
      </w:r>
      <w:proofErr w:type="spellEnd"/>
      <w:r w:rsidRPr="00625297">
        <w:rPr>
          <w:rFonts w:ascii="Calibri" w:hAnsi="Calibri" w:cs="Calibri"/>
          <w:color w:val="000000" w:themeColor="text1"/>
          <w:shd w:val="clear" w:color="auto" w:fill="FFFFFF"/>
        </w:rPr>
        <w:t>. The British Museum Press.</w:t>
      </w:r>
    </w:p>
    <w:p w14:paraId="5EBC123E" w14:textId="77777777" w:rsidR="006C3BCE" w:rsidRPr="00625297" w:rsidRDefault="006C3BCE" w:rsidP="00280857">
      <w:pPr>
        <w:rPr>
          <w:rFonts w:ascii="Calibri" w:hAnsi="Calibri" w:cs="Calibri"/>
          <w:color w:val="000000" w:themeColor="text1"/>
          <w:shd w:val="clear" w:color="auto" w:fill="FFFFFF"/>
        </w:rPr>
      </w:pPr>
    </w:p>
    <w:p w14:paraId="55DAF7A1" w14:textId="77777777" w:rsidR="006C3BCE" w:rsidRDefault="006C3BCE" w:rsidP="00280857">
      <w:pPr>
        <w:rPr>
          <w:rFonts w:ascii="Calibri" w:hAnsi="Calibri" w:cs="Calibri"/>
          <w:color w:val="000000" w:themeColor="text1"/>
          <w:shd w:val="clear" w:color="auto" w:fill="FFFFFF"/>
        </w:rPr>
      </w:pPr>
      <w:r w:rsidRPr="00625297">
        <w:rPr>
          <w:rFonts w:ascii="Calibri" w:hAnsi="Calibri" w:cs="Calibri"/>
          <w:color w:val="000000" w:themeColor="text1"/>
          <w:shd w:val="clear" w:color="auto" w:fill="FFFFFF"/>
        </w:rPr>
        <w:lastRenderedPageBreak/>
        <w:t>Rawson, J. (2002) ‘The power of images: the model universe of the First Emperor and its legacy’, </w:t>
      </w:r>
      <w:r w:rsidRPr="00625297">
        <w:rPr>
          <w:rFonts w:ascii="Calibri" w:hAnsi="Calibri" w:cs="Calibri"/>
          <w:i/>
          <w:iCs/>
          <w:color w:val="000000" w:themeColor="text1"/>
          <w:shd w:val="clear" w:color="auto" w:fill="FFFFFF"/>
        </w:rPr>
        <w:t>Historical Research: The Bulletin of the Institute of Historical Research</w:t>
      </w:r>
      <w:r w:rsidRPr="00625297">
        <w:rPr>
          <w:rFonts w:ascii="Calibri" w:hAnsi="Calibri" w:cs="Calibri"/>
          <w:color w:val="000000" w:themeColor="text1"/>
          <w:shd w:val="clear" w:color="auto" w:fill="FFFFFF"/>
        </w:rPr>
        <w:t>, </w:t>
      </w:r>
      <w:r w:rsidRPr="00625297">
        <w:rPr>
          <w:rFonts w:ascii="Calibri" w:hAnsi="Calibri" w:cs="Calibri"/>
          <w:i/>
          <w:iCs/>
          <w:color w:val="000000" w:themeColor="text1"/>
          <w:shd w:val="clear" w:color="auto" w:fill="FFFFFF"/>
        </w:rPr>
        <w:t>75</w:t>
      </w:r>
      <w:r w:rsidRPr="00625297">
        <w:rPr>
          <w:rFonts w:ascii="Calibri" w:hAnsi="Calibri" w:cs="Calibri"/>
          <w:color w:val="000000" w:themeColor="text1"/>
          <w:shd w:val="clear" w:color="auto" w:fill="FFFFFF"/>
        </w:rPr>
        <w:t xml:space="preserve">(188), pp. 123–154. Available at: </w:t>
      </w:r>
      <w:hyperlink r:id="rId24" w:history="1">
        <w:r w:rsidRPr="00625297">
          <w:rPr>
            <w:rStyle w:val="Hyperlink"/>
            <w:rFonts w:ascii="Calibri" w:hAnsi="Calibri" w:cs="Calibri"/>
            <w:color w:val="000000" w:themeColor="text1"/>
            <w:shd w:val="clear" w:color="auto" w:fill="FFFFFF"/>
          </w:rPr>
          <w:t>https://doi.org/10.1111/1468-2281.00144</w:t>
        </w:r>
      </w:hyperlink>
      <w:r w:rsidRPr="00625297">
        <w:rPr>
          <w:rFonts w:ascii="Calibri" w:hAnsi="Calibri" w:cs="Calibri"/>
          <w:color w:val="000000" w:themeColor="text1"/>
          <w:shd w:val="clear" w:color="auto" w:fill="FFFFFF"/>
        </w:rPr>
        <w:t xml:space="preserve"> </w:t>
      </w:r>
    </w:p>
    <w:p w14:paraId="66ED3AE0" w14:textId="77777777" w:rsidR="006C3BCE" w:rsidRPr="00625297" w:rsidRDefault="006C3BCE" w:rsidP="00280857">
      <w:pPr>
        <w:rPr>
          <w:rFonts w:ascii="Calibri" w:hAnsi="Calibri" w:cs="Calibri"/>
          <w:color w:val="000000" w:themeColor="text1"/>
          <w:shd w:val="clear" w:color="auto" w:fill="FFFFFF"/>
        </w:rPr>
      </w:pPr>
    </w:p>
    <w:p w14:paraId="4C5AB76D" w14:textId="77777777" w:rsidR="006C3BCE" w:rsidRDefault="006C3BCE" w:rsidP="00280857">
      <w:pPr>
        <w:rPr>
          <w:rFonts w:ascii="Calibri" w:hAnsi="Calibri" w:cs="Calibri"/>
        </w:rPr>
      </w:pPr>
      <w:r w:rsidRPr="00625297">
        <w:rPr>
          <w:rFonts w:ascii="Calibri" w:hAnsi="Calibri" w:cs="Calibri"/>
        </w:rPr>
        <w:t xml:space="preserve">Rawson, J. (2023) </w:t>
      </w:r>
      <w:r w:rsidRPr="00625297">
        <w:rPr>
          <w:rFonts w:ascii="Calibri" w:hAnsi="Calibri" w:cs="Calibri"/>
          <w:i/>
          <w:iCs/>
        </w:rPr>
        <w:t>Life and Afterlife in Ancient China.</w:t>
      </w:r>
      <w:r w:rsidRPr="00625297">
        <w:rPr>
          <w:rFonts w:ascii="Calibri" w:hAnsi="Calibri" w:cs="Calibri"/>
        </w:rPr>
        <w:t xml:space="preserve"> 1</w:t>
      </w:r>
      <w:r w:rsidRPr="00625297">
        <w:rPr>
          <w:rFonts w:ascii="Calibri" w:hAnsi="Calibri" w:cs="Calibri"/>
          <w:vertAlign w:val="superscript"/>
        </w:rPr>
        <w:t>st</w:t>
      </w:r>
      <w:r w:rsidRPr="00625297">
        <w:rPr>
          <w:rFonts w:ascii="Calibri" w:hAnsi="Calibri" w:cs="Calibri"/>
        </w:rPr>
        <w:t xml:space="preserve"> </w:t>
      </w:r>
      <w:proofErr w:type="spellStart"/>
      <w:r w:rsidRPr="00625297">
        <w:rPr>
          <w:rFonts w:ascii="Calibri" w:hAnsi="Calibri" w:cs="Calibri"/>
        </w:rPr>
        <w:t>edn</w:t>
      </w:r>
      <w:proofErr w:type="spellEnd"/>
      <w:r w:rsidRPr="00625297">
        <w:rPr>
          <w:rFonts w:ascii="Calibri" w:hAnsi="Calibri" w:cs="Calibri"/>
        </w:rPr>
        <w:t>. Milton Keynes: Penguin Random House.</w:t>
      </w:r>
    </w:p>
    <w:p w14:paraId="1A58681A" w14:textId="77777777" w:rsidR="006C3BCE" w:rsidRPr="00625297" w:rsidRDefault="006C3BCE" w:rsidP="00280857">
      <w:pPr>
        <w:rPr>
          <w:rFonts w:ascii="Calibri" w:hAnsi="Calibri" w:cs="Calibri"/>
        </w:rPr>
      </w:pPr>
    </w:p>
    <w:p w14:paraId="4F3BA591" w14:textId="77777777" w:rsidR="006C3BCE" w:rsidRDefault="006C3BCE" w:rsidP="00280857">
      <w:pPr>
        <w:rPr>
          <w:rFonts w:ascii="Calibri" w:hAnsi="Calibri" w:cs="Calibri"/>
          <w:color w:val="000000" w:themeColor="text1"/>
          <w:shd w:val="clear" w:color="auto" w:fill="FFFFFF"/>
        </w:rPr>
      </w:pPr>
      <w:proofErr w:type="spellStart"/>
      <w:r w:rsidRPr="00625297">
        <w:rPr>
          <w:rFonts w:ascii="Calibri" w:hAnsi="Calibri" w:cs="Calibri"/>
          <w:color w:val="000000" w:themeColor="text1"/>
          <w:shd w:val="clear" w:color="auto" w:fill="FFFFFF"/>
        </w:rPr>
        <w:t>Selbitschka</w:t>
      </w:r>
      <w:proofErr w:type="spellEnd"/>
      <w:r w:rsidRPr="00625297">
        <w:rPr>
          <w:rFonts w:ascii="Calibri" w:hAnsi="Calibri" w:cs="Calibri"/>
          <w:color w:val="000000" w:themeColor="text1"/>
          <w:shd w:val="clear" w:color="auto" w:fill="FFFFFF"/>
        </w:rPr>
        <w:t>, A. (2015) ‘Miniature tomb figurines and models in pre-imperial and early imperial China: origins, development and significance’, </w:t>
      </w:r>
      <w:r w:rsidRPr="00625297">
        <w:rPr>
          <w:rFonts w:ascii="Calibri" w:hAnsi="Calibri" w:cs="Calibri"/>
          <w:i/>
          <w:iCs/>
          <w:color w:val="000000" w:themeColor="text1"/>
          <w:shd w:val="clear" w:color="auto" w:fill="FFFFFF"/>
        </w:rPr>
        <w:t>World Archaeology</w:t>
      </w:r>
      <w:r w:rsidRPr="00625297">
        <w:rPr>
          <w:rFonts w:ascii="Calibri" w:hAnsi="Calibri" w:cs="Calibri"/>
          <w:color w:val="000000" w:themeColor="text1"/>
          <w:shd w:val="clear" w:color="auto" w:fill="FFFFFF"/>
        </w:rPr>
        <w:t>, </w:t>
      </w:r>
      <w:r w:rsidRPr="00625297">
        <w:rPr>
          <w:rFonts w:ascii="Calibri" w:hAnsi="Calibri" w:cs="Calibri"/>
          <w:i/>
          <w:iCs/>
          <w:color w:val="000000" w:themeColor="text1"/>
          <w:shd w:val="clear" w:color="auto" w:fill="FFFFFF"/>
        </w:rPr>
        <w:t>47</w:t>
      </w:r>
      <w:r w:rsidRPr="00625297">
        <w:rPr>
          <w:rFonts w:ascii="Calibri" w:hAnsi="Calibri" w:cs="Calibri"/>
          <w:color w:val="000000" w:themeColor="text1"/>
          <w:shd w:val="clear" w:color="auto" w:fill="FFFFFF"/>
        </w:rPr>
        <w:t xml:space="preserve">(1), pp. 20–44. Available at: </w:t>
      </w:r>
      <w:hyperlink r:id="rId25" w:history="1">
        <w:r w:rsidRPr="00625297">
          <w:rPr>
            <w:rStyle w:val="Hyperlink"/>
            <w:rFonts w:ascii="Calibri" w:hAnsi="Calibri" w:cs="Calibri"/>
            <w:color w:val="000000" w:themeColor="text1"/>
            <w:shd w:val="clear" w:color="auto" w:fill="FFFFFF"/>
          </w:rPr>
          <w:t>https://doi.org/10.1080/00438243.2014.991801</w:t>
        </w:r>
      </w:hyperlink>
      <w:r w:rsidRPr="00625297">
        <w:rPr>
          <w:rFonts w:ascii="Calibri" w:hAnsi="Calibri" w:cs="Calibri"/>
          <w:color w:val="000000" w:themeColor="text1"/>
          <w:shd w:val="clear" w:color="auto" w:fill="FFFFFF"/>
        </w:rPr>
        <w:t xml:space="preserve"> </w:t>
      </w:r>
    </w:p>
    <w:p w14:paraId="7457BFA0" w14:textId="77777777" w:rsidR="006C3BCE" w:rsidRPr="00625297" w:rsidRDefault="006C3BCE" w:rsidP="00280857">
      <w:pPr>
        <w:rPr>
          <w:rFonts w:ascii="Calibri" w:hAnsi="Calibri" w:cs="Calibri"/>
          <w:color w:val="000000" w:themeColor="text1"/>
          <w:shd w:val="clear" w:color="auto" w:fill="FFFFFF"/>
        </w:rPr>
      </w:pPr>
    </w:p>
    <w:p w14:paraId="3E4B84C4" w14:textId="77777777" w:rsidR="006C3BCE" w:rsidRPr="00625297" w:rsidRDefault="006C3BCE" w:rsidP="00280857">
      <w:pPr>
        <w:rPr>
          <w:rFonts w:ascii="Calibri" w:hAnsi="Calibri" w:cs="Calibri"/>
          <w:color w:val="000000" w:themeColor="text1"/>
          <w:spacing w:val="-5"/>
        </w:rPr>
      </w:pPr>
      <w:r w:rsidRPr="00625297">
        <w:rPr>
          <w:rFonts w:ascii="Calibri" w:hAnsi="Calibri" w:cs="Calibri"/>
          <w:color w:val="000000" w:themeColor="text1"/>
          <w:spacing w:val="-5"/>
        </w:rPr>
        <w:t xml:space="preserve">Shi, </w:t>
      </w:r>
      <w:proofErr w:type="spellStart"/>
      <w:r w:rsidRPr="00625297">
        <w:rPr>
          <w:rFonts w:ascii="Calibri" w:hAnsi="Calibri" w:cs="Calibri"/>
          <w:color w:val="000000" w:themeColor="text1"/>
          <w:spacing w:val="-5"/>
        </w:rPr>
        <w:t>Jie</w:t>
      </w:r>
      <w:proofErr w:type="spellEnd"/>
      <w:r w:rsidRPr="00625297">
        <w:rPr>
          <w:rFonts w:ascii="Calibri" w:hAnsi="Calibri" w:cs="Calibri"/>
          <w:color w:val="000000" w:themeColor="text1"/>
          <w:spacing w:val="-5"/>
        </w:rPr>
        <w:t xml:space="preserve">. (2014) ‘Incorporating all for one: The First Emperor’s tomb mound’, </w:t>
      </w:r>
      <w:r w:rsidRPr="00625297">
        <w:rPr>
          <w:rFonts w:ascii="Calibri" w:hAnsi="Calibri" w:cs="Calibri"/>
          <w:i/>
          <w:iCs/>
          <w:color w:val="000000" w:themeColor="text1"/>
          <w:spacing w:val="-5"/>
        </w:rPr>
        <w:t xml:space="preserve">Early China, </w:t>
      </w:r>
      <w:r w:rsidRPr="00625297">
        <w:rPr>
          <w:rStyle w:val="apple-converted-space"/>
          <w:rFonts w:ascii="Calibri" w:hAnsi="Calibri" w:cs="Calibri"/>
          <w:color w:val="000000" w:themeColor="text1"/>
          <w:spacing w:val="-5"/>
        </w:rPr>
        <w:t>37</w:t>
      </w:r>
      <w:r w:rsidRPr="00625297">
        <w:rPr>
          <w:rFonts w:ascii="Calibri" w:hAnsi="Calibri" w:cs="Calibri"/>
          <w:color w:val="000000" w:themeColor="text1"/>
          <w:spacing w:val="-5"/>
        </w:rPr>
        <w:t xml:space="preserve">, pp. 359–391. Available at: </w:t>
      </w:r>
      <w:hyperlink r:id="rId26" w:history="1">
        <w:r w:rsidRPr="00625297">
          <w:rPr>
            <w:rStyle w:val="Hyperlink"/>
            <w:rFonts w:ascii="Calibri" w:hAnsi="Calibri" w:cs="Calibri"/>
            <w:color w:val="000000" w:themeColor="text1"/>
            <w:spacing w:val="-5"/>
          </w:rPr>
          <w:t>http://www.jstor.org/stable/24392469</w:t>
        </w:r>
      </w:hyperlink>
      <w:r w:rsidRPr="00625297">
        <w:rPr>
          <w:rFonts w:ascii="Calibri" w:hAnsi="Calibri" w:cs="Calibri"/>
          <w:color w:val="000000" w:themeColor="text1"/>
          <w:spacing w:val="-5"/>
        </w:rPr>
        <w:t xml:space="preserve"> </w:t>
      </w:r>
    </w:p>
    <w:p w14:paraId="0C5FDACA" w14:textId="77777777" w:rsidR="00EE2C53" w:rsidRPr="007A24D1" w:rsidRDefault="00EE2C53" w:rsidP="007A24D1">
      <w:pPr>
        <w:rPr>
          <w:rFonts w:ascii="Calibri" w:hAnsi="Calibri" w:cs="Calibri"/>
          <w:color w:val="000000" w:themeColor="text1"/>
        </w:rPr>
      </w:pPr>
    </w:p>
    <w:p w14:paraId="7D4C5A64" w14:textId="77777777" w:rsidR="00EE2C53" w:rsidRPr="007A24D1" w:rsidRDefault="00EE2C53" w:rsidP="007A24D1">
      <w:pPr>
        <w:rPr>
          <w:rFonts w:ascii="Calibri" w:hAnsi="Calibri" w:cs="Calibri"/>
          <w:color w:val="000000" w:themeColor="text1"/>
        </w:rPr>
      </w:pPr>
    </w:p>
    <w:p w14:paraId="76E157C5" w14:textId="77777777" w:rsidR="000D7751" w:rsidRPr="007A24D1" w:rsidRDefault="000D7751" w:rsidP="007A24D1">
      <w:pPr>
        <w:pStyle w:val="NormalWeb"/>
        <w:spacing w:before="0" w:beforeAutospacing="0" w:after="0" w:afterAutospacing="0"/>
        <w:rPr>
          <w:rFonts w:ascii="Calibri" w:hAnsi="Calibri" w:cs="Calibri"/>
          <w:color w:val="000000" w:themeColor="text1"/>
        </w:rPr>
      </w:pPr>
    </w:p>
    <w:p w14:paraId="22AF6F4D" w14:textId="77777777" w:rsidR="000920D8" w:rsidRPr="00C81B13" w:rsidRDefault="000920D8" w:rsidP="00694B9E">
      <w:pPr>
        <w:rPr>
          <w:rFonts w:ascii="Calibri" w:hAnsi="Calibri" w:cs="Calibri"/>
        </w:rPr>
      </w:pPr>
    </w:p>
    <w:p w14:paraId="57D549AD" w14:textId="77777777" w:rsidR="00694B9E" w:rsidRPr="00694B9E" w:rsidRDefault="00694B9E" w:rsidP="00694B9E">
      <w:pPr>
        <w:rPr>
          <w:rFonts w:ascii="Calibri" w:hAnsi="Calibri" w:cs="Calibri"/>
          <w:b/>
          <w:bCs/>
        </w:rPr>
      </w:pPr>
    </w:p>
    <w:p w14:paraId="58F82CAC" w14:textId="77777777" w:rsidR="00694B9E" w:rsidRDefault="00694B9E" w:rsidP="00694B9E">
      <w:pPr>
        <w:rPr>
          <w:rFonts w:cstheme="minorHAnsi"/>
        </w:rPr>
      </w:pPr>
    </w:p>
    <w:p w14:paraId="1F653DB8" w14:textId="77777777" w:rsidR="00694B9E" w:rsidRDefault="00694B9E" w:rsidP="00694B9E">
      <w:pPr>
        <w:rPr>
          <w:rFonts w:cstheme="minorHAnsi"/>
        </w:rPr>
      </w:pPr>
    </w:p>
    <w:p w14:paraId="5ACCACA6" w14:textId="77777777" w:rsidR="00694B9E" w:rsidRPr="00E61E7C" w:rsidRDefault="00694B9E" w:rsidP="00694B9E">
      <w:pPr>
        <w:rPr>
          <w:rFonts w:cstheme="minorHAnsi"/>
        </w:rPr>
      </w:pPr>
    </w:p>
    <w:p w14:paraId="295BA297" w14:textId="77777777" w:rsidR="00126AEE" w:rsidRDefault="00126AEE"/>
    <w:sectPr w:rsidR="00126AEE" w:rsidSect="006E4862">
      <w:headerReference w:type="default" r:id="rId27"/>
      <w:footerReference w:type="even" r:id="rId28"/>
      <w:footerReference w:type="default" r:id="rId29"/>
      <w:pgSz w:w="11909" w:h="16834"/>
      <w:pgMar w:top="1418" w:right="1418" w:bottom="1418" w:left="1418"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CE4F" w14:textId="77777777" w:rsidR="006E4862" w:rsidRDefault="006E4862" w:rsidP="00DF6D15">
      <w:r>
        <w:separator/>
      </w:r>
    </w:p>
  </w:endnote>
  <w:endnote w:type="continuationSeparator" w:id="0">
    <w:p w14:paraId="13996AE8" w14:textId="77777777" w:rsidR="006E4862" w:rsidRDefault="006E4862" w:rsidP="00DF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281647"/>
      <w:docPartObj>
        <w:docPartGallery w:val="Page Numbers (Bottom of Page)"/>
        <w:docPartUnique/>
      </w:docPartObj>
    </w:sdtPr>
    <w:sdtContent>
      <w:p w14:paraId="596A12CE" w14:textId="6B5A7C74" w:rsidR="00DF6D15" w:rsidRDefault="00DF6D15" w:rsidP="00DF6D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48FB7" w14:textId="77777777" w:rsidR="00DF6D15" w:rsidRDefault="00DF6D15" w:rsidP="00DF6D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1502778"/>
      <w:docPartObj>
        <w:docPartGallery w:val="Page Numbers (Bottom of Page)"/>
        <w:docPartUnique/>
      </w:docPartObj>
    </w:sdtPr>
    <w:sdtContent>
      <w:p w14:paraId="053C57EF" w14:textId="12379C0C" w:rsidR="00DF6D15" w:rsidRDefault="00DF6D15" w:rsidP="00DF6D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6BFFAC" w14:textId="77777777" w:rsidR="00DF6D15" w:rsidRDefault="00DF6D15" w:rsidP="00DF6D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44C0" w14:textId="77777777" w:rsidR="006E4862" w:rsidRDefault="006E4862" w:rsidP="00DF6D15">
      <w:r>
        <w:separator/>
      </w:r>
    </w:p>
  </w:footnote>
  <w:footnote w:type="continuationSeparator" w:id="0">
    <w:p w14:paraId="6DF5B144" w14:textId="77777777" w:rsidR="006E4862" w:rsidRDefault="006E4862" w:rsidP="00DF6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C3A2" w14:textId="4700ECC9" w:rsidR="00256594" w:rsidRDefault="00256594">
    <w:pPr>
      <w:pStyle w:val="Header"/>
    </w:pPr>
    <w:r>
      <w:t>R. Bakewell (2204367)                                                                                                 Module: HPHP4002</w:t>
    </w:r>
  </w:p>
  <w:p w14:paraId="1B05D6F7" w14:textId="77777777" w:rsidR="00256594" w:rsidRDefault="002565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9E"/>
    <w:rsid w:val="000003F0"/>
    <w:rsid w:val="00012514"/>
    <w:rsid w:val="00020B62"/>
    <w:rsid w:val="00034EEC"/>
    <w:rsid w:val="000430B3"/>
    <w:rsid w:val="00045B4E"/>
    <w:rsid w:val="000661CB"/>
    <w:rsid w:val="00072AAF"/>
    <w:rsid w:val="000920D8"/>
    <w:rsid w:val="000A112A"/>
    <w:rsid w:val="000B6AB2"/>
    <w:rsid w:val="000D527E"/>
    <w:rsid w:val="000D7751"/>
    <w:rsid w:val="000F50E3"/>
    <w:rsid w:val="00100102"/>
    <w:rsid w:val="0011775D"/>
    <w:rsid w:val="001233C6"/>
    <w:rsid w:val="00123BC2"/>
    <w:rsid w:val="00126AEE"/>
    <w:rsid w:val="001342BC"/>
    <w:rsid w:val="00143BB7"/>
    <w:rsid w:val="001628D2"/>
    <w:rsid w:val="001671E3"/>
    <w:rsid w:val="001B2F7B"/>
    <w:rsid w:val="0020547F"/>
    <w:rsid w:val="002074AD"/>
    <w:rsid w:val="00214EFB"/>
    <w:rsid w:val="00215641"/>
    <w:rsid w:val="0022765B"/>
    <w:rsid w:val="00231BDF"/>
    <w:rsid w:val="00234BF4"/>
    <w:rsid w:val="00256594"/>
    <w:rsid w:val="00262BAD"/>
    <w:rsid w:val="002674D4"/>
    <w:rsid w:val="00280857"/>
    <w:rsid w:val="002812B7"/>
    <w:rsid w:val="00286614"/>
    <w:rsid w:val="0029649D"/>
    <w:rsid w:val="002F04E9"/>
    <w:rsid w:val="00315299"/>
    <w:rsid w:val="003225EF"/>
    <w:rsid w:val="00341B10"/>
    <w:rsid w:val="0035178D"/>
    <w:rsid w:val="003523E8"/>
    <w:rsid w:val="003662C5"/>
    <w:rsid w:val="00373E2E"/>
    <w:rsid w:val="003854B6"/>
    <w:rsid w:val="003B4F6D"/>
    <w:rsid w:val="003B61D8"/>
    <w:rsid w:val="003E150C"/>
    <w:rsid w:val="003E37FB"/>
    <w:rsid w:val="003E5D18"/>
    <w:rsid w:val="003E6508"/>
    <w:rsid w:val="003F30B9"/>
    <w:rsid w:val="00401D98"/>
    <w:rsid w:val="0041781A"/>
    <w:rsid w:val="0044538E"/>
    <w:rsid w:val="0045228A"/>
    <w:rsid w:val="00457B32"/>
    <w:rsid w:val="00470633"/>
    <w:rsid w:val="00474480"/>
    <w:rsid w:val="00475326"/>
    <w:rsid w:val="00480296"/>
    <w:rsid w:val="00484285"/>
    <w:rsid w:val="004879FA"/>
    <w:rsid w:val="004A2562"/>
    <w:rsid w:val="004C221C"/>
    <w:rsid w:val="004D2DF3"/>
    <w:rsid w:val="00504B4F"/>
    <w:rsid w:val="005232F9"/>
    <w:rsid w:val="005257C9"/>
    <w:rsid w:val="0052712D"/>
    <w:rsid w:val="00536761"/>
    <w:rsid w:val="00553E2C"/>
    <w:rsid w:val="00582892"/>
    <w:rsid w:val="00585E6F"/>
    <w:rsid w:val="00586816"/>
    <w:rsid w:val="005E57D9"/>
    <w:rsid w:val="00625297"/>
    <w:rsid w:val="00631F5B"/>
    <w:rsid w:val="0067370C"/>
    <w:rsid w:val="00694B9E"/>
    <w:rsid w:val="006C3BCE"/>
    <w:rsid w:val="006C7E0A"/>
    <w:rsid w:val="006E43DF"/>
    <w:rsid w:val="006E4862"/>
    <w:rsid w:val="006E555A"/>
    <w:rsid w:val="007013B3"/>
    <w:rsid w:val="0070446A"/>
    <w:rsid w:val="00705371"/>
    <w:rsid w:val="00737369"/>
    <w:rsid w:val="007520C6"/>
    <w:rsid w:val="0075481C"/>
    <w:rsid w:val="00756881"/>
    <w:rsid w:val="0076519D"/>
    <w:rsid w:val="0077321D"/>
    <w:rsid w:val="00783B94"/>
    <w:rsid w:val="007A24D1"/>
    <w:rsid w:val="007A3744"/>
    <w:rsid w:val="007A4D78"/>
    <w:rsid w:val="007B799C"/>
    <w:rsid w:val="007D625A"/>
    <w:rsid w:val="007D7BB2"/>
    <w:rsid w:val="007E51E8"/>
    <w:rsid w:val="007F0883"/>
    <w:rsid w:val="008053A8"/>
    <w:rsid w:val="00813A49"/>
    <w:rsid w:val="0084602C"/>
    <w:rsid w:val="00876D76"/>
    <w:rsid w:val="00885AD2"/>
    <w:rsid w:val="00893B8B"/>
    <w:rsid w:val="008B4808"/>
    <w:rsid w:val="008D46DB"/>
    <w:rsid w:val="008D667F"/>
    <w:rsid w:val="008E0818"/>
    <w:rsid w:val="008E396A"/>
    <w:rsid w:val="008F13AB"/>
    <w:rsid w:val="009008DF"/>
    <w:rsid w:val="00912B90"/>
    <w:rsid w:val="00915453"/>
    <w:rsid w:val="00917CAB"/>
    <w:rsid w:val="00920BA4"/>
    <w:rsid w:val="00925FA0"/>
    <w:rsid w:val="009371FC"/>
    <w:rsid w:val="00942187"/>
    <w:rsid w:val="009658BD"/>
    <w:rsid w:val="00980BB5"/>
    <w:rsid w:val="00984B04"/>
    <w:rsid w:val="009A12EA"/>
    <w:rsid w:val="009E7155"/>
    <w:rsid w:val="009F7523"/>
    <w:rsid w:val="00A04816"/>
    <w:rsid w:val="00A154F0"/>
    <w:rsid w:val="00A2612C"/>
    <w:rsid w:val="00A30306"/>
    <w:rsid w:val="00A40089"/>
    <w:rsid w:val="00A56940"/>
    <w:rsid w:val="00A83375"/>
    <w:rsid w:val="00AA0CAF"/>
    <w:rsid w:val="00AC4462"/>
    <w:rsid w:val="00AD0714"/>
    <w:rsid w:val="00AD0728"/>
    <w:rsid w:val="00AD77AA"/>
    <w:rsid w:val="00B04062"/>
    <w:rsid w:val="00B2336F"/>
    <w:rsid w:val="00B44CF3"/>
    <w:rsid w:val="00B64611"/>
    <w:rsid w:val="00BC59C3"/>
    <w:rsid w:val="00BE0068"/>
    <w:rsid w:val="00BE2F0D"/>
    <w:rsid w:val="00BE3ADE"/>
    <w:rsid w:val="00BF0164"/>
    <w:rsid w:val="00BF63D0"/>
    <w:rsid w:val="00BF6BDA"/>
    <w:rsid w:val="00BF7940"/>
    <w:rsid w:val="00C12249"/>
    <w:rsid w:val="00C441B5"/>
    <w:rsid w:val="00C51B2A"/>
    <w:rsid w:val="00C528E9"/>
    <w:rsid w:val="00C52FCC"/>
    <w:rsid w:val="00C76604"/>
    <w:rsid w:val="00C8006C"/>
    <w:rsid w:val="00C81B13"/>
    <w:rsid w:val="00C82681"/>
    <w:rsid w:val="00C918B6"/>
    <w:rsid w:val="00CA4330"/>
    <w:rsid w:val="00CB45E8"/>
    <w:rsid w:val="00CD6D15"/>
    <w:rsid w:val="00CF6CF2"/>
    <w:rsid w:val="00CF7C35"/>
    <w:rsid w:val="00D1629B"/>
    <w:rsid w:val="00D3547B"/>
    <w:rsid w:val="00D629D9"/>
    <w:rsid w:val="00D87816"/>
    <w:rsid w:val="00D91F25"/>
    <w:rsid w:val="00D92AC8"/>
    <w:rsid w:val="00DD459D"/>
    <w:rsid w:val="00DF6D15"/>
    <w:rsid w:val="00E2482D"/>
    <w:rsid w:val="00E37BED"/>
    <w:rsid w:val="00E41EF9"/>
    <w:rsid w:val="00E43399"/>
    <w:rsid w:val="00E74753"/>
    <w:rsid w:val="00E837A6"/>
    <w:rsid w:val="00E84300"/>
    <w:rsid w:val="00E84B79"/>
    <w:rsid w:val="00EC7739"/>
    <w:rsid w:val="00ED00CC"/>
    <w:rsid w:val="00ED777E"/>
    <w:rsid w:val="00EE2C53"/>
    <w:rsid w:val="00F74FFA"/>
    <w:rsid w:val="00F90DB7"/>
    <w:rsid w:val="00FD48CC"/>
    <w:rsid w:val="00FD4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7F900"/>
  <w15:chartTrackingRefBased/>
  <w15:docId w15:val="{989AB3FB-36CB-4722-95F6-A5EA1E99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B9E"/>
    <w:pPr>
      <w:spacing w:after="0" w:line="240" w:lineRule="auto"/>
    </w:pPr>
    <w:rPr>
      <w:sz w:val="24"/>
      <w:szCs w:val="24"/>
    </w:rPr>
  </w:style>
  <w:style w:type="paragraph" w:styleId="Heading1">
    <w:name w:val="heading 1"/>
    <w:basedOn w:val="Normal"/>
    <w:next w:val="Normal"/>
    <w:link w:val="Heading1Char"/>
    <w:uiPriority w:val="9"/>
    <w:qFormat/>
    <w:rsid w:val="00694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4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B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B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B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B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B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B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4B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B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B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B9E"/>
    <w:rPr>
      <w:rFonts w:eastAsiaTheme="majorEastAsia" w:cstheme="majorBidi"/>
      <w:color w:val="272727" w:themeColor="text1" w:themeTint="D8"/>
    </w:rPr>
  </w:style>
  <w:style w:type="paragraph" w:styleId="Title">
    <w:name w:val="Title"/>
    <w:basedOn w:val="Normal"/>
    <w:next w:val="Normal"/>
    <w:link w:val="TitleChar"/>
    <w:uiPriority w:val="10"/>
    <w:qFormat/>
    <w:rsid w:val="00694B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B9E"/>
    <w:pPr>
      <w:spacing w:before="160"/>
      <w:jc w:val="center"/>
    </w:pPr>
    <w:rPr>
      <w:i/>
      <w:iCs/>
      <w:color w:val="404040" w:themeColor="text1" w:themeTint="BF"/>
    </w:rPr>
  </w:style>
  <w:style w:type="character" w:customStyle="1" w:styleId="QuoteChar">
    <w:name w:val="Quote Char"/>
    <w:basedOn w:val="DefaultParagraphFont"/>
    <w:link w:val="Quote"/>
    <w:uiPriority w:val="29"/>
    <w:rsid w:val="00694B9E"/>
    <w:rPr>
      <w:i/>
      <w:iCs/>
      <w:color w:val="404040" w:themeColor="text1" w:themeTint="BF"/>
    </w:rPr>
  </w:style>
  <w:style w:type="paragraph" w:styleId="ListParagraph">
    <w:name w:val="List Paragraph"/>
    <w:basedOn w:val="Normal"/>
    <w:uiPriority w:val="34"/>
    <w:qFormat/>
    <w:rsid w:val="00694B9E"/>
    <w:pPr>
      <w:ind w:left="720"/>
      <w:contextualSpacing/>
    </w:pPr>
  </w:style>
  <w:style w:type="character" w:styleId="IntenseEmphasis">
    <w:name w:val="Intense Emphasis"/>
    <w:basedOn w:val="DefaultParagraphFont"/>
    <w:uiPriority w:val="21"/>
    <w:qFormat/>
    <w:rsid w:val="00694B9E"/>
    <w:rPr>
      <w:i/>
      <w:iCs/>
      <w:color w:val="0F4761" w:themeColor="accent1" w:themeShade="BF"/>
    </w:rPr>
  </w:style>
  <w:style w:type="paragraph" w:styleId="IntenseQuote">
    <w:name w:val="Intense Quote"/>
    <w:basedOn w:val="Normal"/>
    <w:next w:val="Normal"/>
    <w:link w:val="IntenseQuoteChar"/>
    <w:uiPriority w:val="30"/>
    <w:qFormat/>
    <w:rsid w:val="00694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B9E"/>
    <w:rPr>
      <w:i/>
      <w:iCs/>
      <w:color w:val="0F4761" w:themeColor="accent1" w:themeShade="BF"/>
    </w:rPr>
  </w:style>
  <w:style w:type="character" w:styleId="IntenseReference">
    <w:name w:val="Intense Reference"/>
    <w:basedOn w:val="DefaultParagraphFont"/>
    <w:uiPriority w:val="32"/>
    <w:qFormat/>
    <w:rsid w:val="00694B9E"/>
    <w:rPr>
      <w:b/>
      <w:bCs/>
      <w:smallCaps/>
      <w:color w:val="0F4761" w:themeColor="accent1" w:themeShade="BF"/>
      <w:spacing w:val="5"/>
    </w:rPr>
  </w:style>
  <w:style w:type="paragraph" w:styleId="NormalWeb">
    <w:name w:val="Normal (Web)"/>
    <w:basedOn w:val="Normal"/>
    <w:uiPriority w:val="99"/>
    <w:unhideWhenUsed/>
    <w:rsid w:val="006C7E0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879FA"/>
  </w:style>
  <w:style w:type="character" w:styleId="Hyperlink">
    <w:name w:val="Hyperlink"/>
    <w:basedOn w:val="DefaultParagraphFont"/>
    <w:uiPriority w:val="99"/>
    <w:unhideWhenUsed/>
    <w:rsid w:val="004879FA"/>
    <w:rPr>
      <w:color w:val="467886" w:themeColor="hyperlink"/>
      <w:u w:val="single"/>
    </w:rPr>
  </w:style>
  <w:style w:type="character" w:styleId="UnresolvedMention">
    <w:name w:val="Unresolved Mention"/>
    <w:basedOn w:val="DefaultParagraphFont"/>
    <w:uiPriority w:val="99"/>
    <w:semiHidden/>
    <w:unhideWhenUsed/>
    <w:rsid w:val="004879FA"/>
    <w:rPr>
      <w:color w:val="605E5C"/>
      <w:shd w:val="clear" w:color="auto" w:fill="E1DFDD"/>
    </w:rPr>
  </w:style>
  <w:style w:type="character" w:styleId="CommentReference">
    <w:name w:val="annotation reference"/>
    <w:basedOn w:val="DefaultParagraphFont"/>
    <w:uiPriority w:val="99"/>
    <w:semiHidden/>
    <w:unhideWhenUsed/>
    <w:rsid w:val="0044538E"/>
    <w:rPr>
      <w:sz w:val="16"/>
      <w:szCs w:val="16"/>
    </w:rPr>
  </w:style>
  <w:style w:type="paragraph" w:styleId="CommentText">
    <w:name w:val="annotation text"/>
    <w:basedOn w:val="Normal"/>
    <w:link w:val="CommentTextChar"/>
    <w:uiPriority w:val="99"/>
    <w:semiHidden/>
    <w:unhideWhenUsed/>
    <w:rsid w:val="0044538E"/>
    <w:rPr>
      <w:sz w:val="20"/>
      <w:szCs w:val="20"/>
    </w:rPr>
  </w:style>
  <w:style w:type="character" w:customStyle="1" w:styleId="CommentTextChar">
    <w:name w:val="Comment Text Char"/>
    <w:basedOn w:val="DefaultParagraphFont"/>
    <w:link w:val="CommentText"/>
    <w:uiPriority w:val="99"/>
    <w:semiHidden/>
    <w:rsid w:val="0044538E"/>
    <w:rPr>
      <w:sz w:val="20"/>
      <w:szCs w:val="20"/>
    </w:rPr>
  </w:style>
  <w:style w:type="paragraph" w:styleId="CommentSubject">
    <w:name w:val="annotation subject"/>
    <w:basedOn w:val="CommentText"/>
    <w:next w:val="CommentText"/>
    <w:link w:val="CommentSubjectChar"/>
    <w:uiPriority w:val="99"/>
    <w:semiHidden/>
    <w:unhideWhenUsed/>
    <w:rsid w:val="0044538E"/>
    <w:rPr>
      <w:b/>
      <w:bCs/>
    </w:rPr>
  </w:style>
  <w:style w:type="character" w:customStyle="1" w:styleId="CommentSubjectChar">
    <w:name w:val="Comment Subject Char"/>
    <w:basedOn w:val="CommentTextChar"/>
    <w:link w:val="CommentSubject"/>
    <w:uiPriority w:val="99"/>
    <w:semiHidden/>
    <w:rsid w:val="0044538E"/>
    <w:rPr>
      <w:b/>
      <w:bCs/>
      <w:sz w:val="20"/>
      <w:szCs w:val="20"/>
    </w:rPr>
  </w:style>
  <w:style w:type="character" w:styleId="FollowedHyperlink">
    <w:name w:val="FollowedHyperlink"/>
    <w:basedOn w:val="DefaultParagraphFont"/>
    <w:uiPriority w:val="99"/>
    <w:semiHidden/>
    <w:unhideWhenUsed/>
    <w:rsid w:val="007B799C"/>
    <w:rPr>
      <w:color w:val="96607D" w:themeColor="followedHyperlink"/>
      <w:u w:val="single"/>
    </w:rPr>
  </w:style>
  <w:style w:type="paragraph" w:styleId="Footer">
    <w:name w:val="footer"/>
    <w:basedOn w:val="Normal"/>
    <w:link w:val="FooterChar"/>
    <w:uiPriority w:val="99"/>
    <w:unhideWhenUsed/>
    <w:rsid w:val="00DF6D15"/>
    <w:pPr>
      <w:tabs>
        <w:tab w:val="center" w:pos="4513"/>
        <w:tab w:val="right" w:pos="9026"/>
      </w:tabs>
    </w:pPr>
  </w:style>
  <w:style w:type="character" w:customStyle="1" w:styleId="FooterChar">
    <w:name w:val="Footer Char"/>
    <w:basedOn w:val="DefaultParagraphFont"/>
    <w:link w:val="Footer"/>
    <w:uiPriority w:val="99"/>
    <w:rsid w:val="00DF6D15"/>
    <w:rPr>
      <w:sz w:val="24"/>
      <w:szCs w:val="24"/>
    </w:rPr>
  </w:style>
  <w:style w:type="character" w:styleId="PageNumber">
    <w:name w:val="page number"/>
    <w:basedOn w:val="DefaultParagraphFont"/>
    <w:uiPriority w:val="99"/>
    <w:semiHidden/>
    <w:unhideWhenUsed/>
    <w:rsid w:val="00DF6D15"/>
  </w:style>
  <w:style w:type="paragraph" w:styleId="NoSpacing">
    <w:name w:val="No Spacing"/>
    <w:link w:val="NoSpacingChar"/>
    <w:uiPriority w:val="1"/>
    <w:qFormat/>
    <w:rsid w:val="00DF6D15"/>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DF6D15"/>
    <w:rPr>
      <w:rFonts w:eastAsiaTheme="minorEastAsia"/>
      <w:kern w:val="0"/>
      <w:lang w:val="en-US" w:eastAsia="zh-CN"/>
      <w14:ligatures w14:val="none"/>
    </w:rPr>
  </w:style>
  <w:style w:type="paragraph" w:styleId="Header">
    <w:name w:val="header"/>
    <w:basedOn w:val="Normal"/>
    <w:link w:val="HeaderChar"/>
    <w:uiPriority w:val="99"/>
    <w:unhideWhenUsed/>
    <w:rsid w:val="00256594"/>
    <w:pPr>
      <w:tabs>
        <w:tab w:val="center" w:pos="4513"/>
        <w:tab w:val="right" w:pos="9026"/>
      </w:tabs>
    </w:pPr>
  </w:style>
  <w:style w:type="character" w:customStyle="1" w:styleId="HeaderChar">
    <w:name w:val="Header Char"/>
    <w:basedOn w:val="DefaultParagraphFont"/>
    <w:link w:val="Header"/>
    <w:uiPriority w:val="99"/>
    <w:rsid w:val="00256594"/>
    <w:rPr>
      <w:sz w:val="24"/>
      <w:szCs w:val="24"/>
    </w:rPr>
  </w:style>
  <w:style w:type="character" w:styleId="Emphasis">
    <w:name w:val="Emphasis"/>
    <w:basedOn w:val="DefaultParagraphFont"/>
    <w:uiPriority w:val="20"/>
    <w:qFormat/>
    <w:rsid w:val="002276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186/s40494-022-00662-0" TargetMode="External"/><Relationship Id="rId26" Type="http://schemas.openxmlformats.org/officeDocument/2006/relationships/hyperlink" Target="http://www.jstor.org/stable/24392469" TargetMode="External"/><Relationship Id="rId3" Type="http://schemas.openxmlformats.org/officeDocument/2006/relationships/webSettings" Target="webSettings.xml"/><Relationship Id="rId21" Type="http://schemas.openxmlformats.org/officeDocument/2006/relationships/hyperlink" Target="https://doi.org/10.2307/jj.5425913.7"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1515/char-2015-0004" TargetMode="External"/><Relationship Id="rId25" Type="http://schemas.openxmlformats.org/officeDocument/2006/relationships/hyperlink" Target="https://doi.org/10.1080/00438243.2014.991801" TargetMode="External"/><Relationship Id="rId2" Type="http://schemas.openxmlformats.org/officeDocument/2006/relationships/settings" Target="settings.xml"/><Relationship Id="rId16" Type="http://schemas.openxmlformats.org/officeDocument/2006/relationships/hyperlink" Target="https://books.openedition.org/pulg/8173?lang=en" TargetMode="External"/><Relationship Id="rId20" Type="http://schemas.openxmlformats.org/officeDocument/2006/relationships/hyperlink" Target="https://doi.org/10.2307/3046084"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111/1468-2281.00144"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doi.org/10.2307/j.ctv8jp0hk" TargetMode="External"/><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www.jstor.org/stable/25608834"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038/srep26731"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6</cp:revision>
  <cp:lastPrinted>2024-03-08T13:25:00Z</cp:lastPrinted>
  <dcterms:created xsi:type="dcterms:W3CDTF">2024-03-08T13:16:00Z</dcterms:created>
  <dcterms:modified xsi:type="dcterms:W3CDTF">2024-03-08T13:43:00Z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4e14f8a8-f301-4a2c-9e6f-ec2b358f2b15</vt:lpwstr>
  </property>
</Properties>
</file>