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8C2B0" w14:textId="364D7330" w:rsidR="003D174C" w:rsidRPr="00556B8D" w:rsidRDefault="003D174C" w:rsidP="003D174C">
      <w:pPr>
        <w:jc w:val="center"/>
        <w:rPr>
          <w:rFonts w:ascii="Arial" w:hAnsi="Arial" w:cs="Arial"/>
          <w:sz w:val="72"/>
          <w:szCs w:val="72"/>
        </w:rPr>
      </w:pPr>
      <w:r w:rsidRPr="00556B8D">
        <w:rPr>
          <w:rFonts w:ascii="Arial" w:hAnsi="Arial" w:cs="Arial"/>
          <w:sz w:val="72"/>
          <w:szCs w:val="72"/>
        </w:rPr>
        <w:t>LCLM5001 – Understanding and Engaging Stakeholders  </w:t>
      </w:r>
    </w:p>
    <w:p w14:paraId="69B09FA4" w14:textId="77777777" w:rsidR="003D174C" w:rsidRPr="00556B8D" w:rsidRDefault="003D174C" w:rsidP="003D174C">
      <w:pPr>
        <w:jc w:val="center"/>
        <w:rPr>
          <w:rFonts w:ascii="Arial" w:hAnsi="Arial" w:cs="Arial"/>
          <w:sz w:val="72"/>
          <w:szCs w:val="72"/>
        </w:rPr>
      </w:pPr>
    </w:p>
    <w:p w14:paraId="094D38BE" w14:textId="01B74A42" w:rsidR="003D174C" w:rsidRPr="00556B8D" w:rsidRDefault="003D174C" w:rsidP="003D174C">
      <w:pPr>
        <w:jc w:val="center"/>
        <w:rPr>
          <w:rFonts w:ascii="Arial" w:hAnsi="Arial" w:cs="Arial"/>
          <w:sz w:val="72"/>
          <w:szCs w:val="72"/>
        </w:rPr>
      </w:pPr>
      <w:r w:rsidRPr="00556B8D">
        <w:rPr>
          <w:rFonts w:ascii="Arial" w:hAnsi="Arial" w:cs="Arial"/>
          <w:sz w:val="72"/>
          <w:szCs w:val="72"/>
        </w:rPr>
        <w:t>Understanding the Importance of Stakeholder Engagement in Successful Commencement and Completion of Project</w:t>
      </w:r>
    </w:p>
    <w:p w14:paraId="2B3D005B" w14:textId="77777777" w:rsidR="003D174C" w:rsidRPr="00556B8D" w:rsidRDefault="003D174C" w:rsidP="003D174C">
      <w:pPr>
        <w:jc w:val="center"/>
        <w:rPr>
          <w:rFonts w:ascii="Arial" w:hAnsi="Arial" w:cs="Arial"/>
          <w:sz w:val="72"/>
          <w:szCs w:val="72"/>
        </w:rPr>
      </w:pPr>
    </w:p>
    <w:p w14:paraId="592A8E21" w14:textId="738CF786" w:rsidR="003D174C" w:rsidRPr="00556B8D" w:rsidRDefault="003D174C" w:rsidP="003D174C">
      <w:pPr>
        <w:jc w:val="center"/>
        <w:rPr>
          <w:rFonts w:ascii="Arial" w:hAnsi="Arial" w:cs="Arial"/>
          <w:sz w:val="72"/>
          <w:szCs w:val="72"/>
        </w:rPr>
      </w:pPr>
      <w:r w:rsidRPr="00556B8D">
        <w:rPr>
          <w:rFonts w:ascii="Arial" w:hAnsi="Arial" w:cs="Arial"/>
          <w:sz w:val="72"/>
          <w:szCs w:val="72"/>
        </w:rPr>
        <w:t>L Paige Wallace – Alleyne</w:t>
      </w:r>
    </w:p>
    <w:p w14:paraId="72EF1189" w14:textId="73AC9B6E" w:rsidR="003D174C" w:rsidRPr="00556B8D" w:rsidRDefault="003D174C" w:rsidP="003D174C">
      <w:pPr>
        <w:jc w:val="center"/>
        <w:rPr>
          <w:rFonts w:ascii="Arial" w:hAnsi="Arial" w:cs="Arial"/>
          <w:sz w:val="72"/>
          <w:szCs w:val="72"/>
        </w:rPr>
      </w:pPr>
      <w:r w:rsidRPr="00556B8D">
        <w:rPr>
          <w:rFonts w:ascii="Arial" w:hAnsi="Arial" w:cs="Arial"/>
          <w:sz w:val="72"/>
          <w:szCs w:val="72"/>
        </w:rPr>
        <w:t>2336338</w:t>
      </w:r>
    </w:p>
    <w:p w14:paraId="6FB7650E" w14:textId="77777777" w:rsidR="00556B8D" w:rsidRPr="00556B8D" w:rsidRDefault="00556B8D" w:rsidP="003D174C">
      <w:pPr>
        <w:jc w:val="center"/>
        <w:rPr>
          <w:rFonts w:ascii="Arial" w:hAnsi="Arial" w:cs="Arial"/>
          <w:sz w:val="48"/>
          <w:szCs w:val="48"/>
        </w:rPr>
      </w:pPr>
      <w:r w:rsidRPr="00556B8D">
        <w:rPr>
          <w:rFonts w:ascii="Arial" w:hAnsi="Arial" w:cs="Arial"/>
          <w:sz w:val="48"/>
          <w:szCs w:val="48"/>
        </w:rPr>
        <w:t>Alastair Moyes</w:t>
      </w:r>
    </w:p>
    <w:p w14:paraId="3965702E" w14:textId="62FF1AE3" w:rsidR="003D174C" w:rsidRPr="00556B8D" w:rsidRDefault="00556B8D" w:rsidP="003D174C">
      <w:pPr>
        <w:jc w:val="center"/>
        <w:rPr>
          <w:rFonts w:ascii="Arial" w:hAnsi="Arial" w:cs="Arial"/>
          <w:sz w:val="48"/>
          <w:szCs w:val="48"/>
        </w:rPr>
      </w:pPr>
      <w:r w:rsidRPr="00556B8D">
        <w:rPr>
          <w:rFonts w:ascii="Arial" w:hAnsi="Arial" w:cs="Arial"/>
          <w:sz w:val="48"/>
          <w:szCs w:val="48"/>
        </w:rPr>
        <w:t>Nishi Ramsurrun</w:t>
      </w:r>
    </w:p>
    <w:p w14:paraId="636C8DAD" w14:textId="6FC2CC06" w:rsidR="003D174C" w:rsidRPr="00556B8D" w:rsidRDefault="00556B8D" w:rsidP="00556B8D">
      <w:pPr>
        <w:pStyle w:val="Heading1"/>
        <w:rPr>
          <w:rFonts w:ascii="Arial" w:hAnsi="Arial" w:cs="Arial"/>
        </w:rPr>
      </w:pPr>
      <w:r w:rsidRPr="00556B8D">
        <w:rPr>
          <w:rFonts w:ascii="Arial" w:hAnsi="Arial" w:cs="Arial"/>
        </w:rPr>
        <w:lastRenderedPageBreak/>
        <w:t>Introduction</w:t>
      </w:r>
    </w:p>
    <w:p w14:paraId="65CDFD6A"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Fitbit is a well-known global company that specialises in wearable health and fitness technology, producing devices that track things like daily activity, heart rate, sleep patterns and overall wellbeing (Fitbit, 2023). The company was founded in 2007 and later became part of Google after its acquisition in 2021 (Google, 2021). Over the years, Fitbit has built a strong presence in the UK health-tech market and sells its products through major retailers such as Argos, Currys and Amazon. The company aims to help people improve their health by combining sensor technology with easy-to-understand digital insights, which users can access through the Fitbit app (Fitbit, 2024). Fitbit’s product range mainly includes smartwatches, fitness trackers and other devices that link to its mobile app for personalised health data.</w:t>
      </w:r>
    </w:p>
    <w:p w14:paraId="2A7FC4BE"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Because more people in the UK are now interested in monitoring their own health, especially when it comes to things like heart rate, oxygen levels and sleep quality (Statista, 2024), Fitbit is preparing to launch a new wearable device that focuses on these areas. As the project manager for this product launch, my role involves working closely with different stakeholders to make sure the device is ready on time and meets user expectations. This report will look at Fitbit’s organisational background, identify the key stakeholders involved and explore how they will be engaged throughout the project to support a successful launch.</w:t>
      </w:r>
    </w:p>
    <w:p w14:paraId="5BE3DC64" w14:textId="46ECCC75" w:rsidR="00556B8D" w:rsidRPr="00556B8D" w:rsidRDefault="00556B8D" w:rsidP="00556B8D">
      <w:pPr>
        <w:pStyle w:val="Heading1"/>
        <w:rPr>
          <w:rFonts w:ascii="Arial" w:hAnsi="Arial" w:cs="Arial"/>
        </w:rPr>
      </w:pPr>
      <w:r w:rsidRPr="00556B8D">
        <w:rPr>
          <w:rFonts w:ascii="Arial" w:hAnsi="Arial" w:cs="Arial"/>
        </w:rPr>
        <w:t>SWOT Analysis</w:t>
      </w:r>
    </w:p>
    <w:p w14:paraId="54390629"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Fitbit has built a strong position in the global wearable technology market, mainly because of its reputation for creating reliable devices that monitor physical activity, sleep and heart rate. These areas are central to the new wearable device being developed, which gives Fitbit an advantage as it already has experience and credibility in this type of technology (Fitbit, 2023). Since being acquired by Google in 2021, the company has also benefited from greater financial support and access to more advanced technology, which helps with long-term innovation (Google, 2021). Fitbit products are widely available through major UK retailers, which helps with visibility and distribution. Another strength is the Fitbit app and its digital ecosystem, which offers personalised health insights and makes the devices more useful for users (Schnall et al., 2016).</w:t>
      </w:r>
    </w:p>
    <w:p w14:paraId="2AAE3D98"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 xml:space="preserve">Even with these strengths, Fitbit still faces some weaknesses that could affect the launch of the new product. One of the biggest issues is the high level of competition from brands like Apple, Samsung and Garmin, which have strong customer loyalty and ecosystems that work smoothly across their devices (Statista, 2024). Another challenge is the concern some consumers have about data privacy, especially since Fitbit is now owned by Google. This may make some users hesitate to share sensitive health information (Topol, 2019). Fitbit also </w:t>
      </w:r>
      <w:r w:rsidRPr="00556B8D">
        <w:rPr>
          <w:rFonts w:ascii="Arial" w:hAnsi="Arial" w:cs="Arial"/>
          <w:sz w:val="22"/>
          <w:szCs w:val="22"/>
        </w:rPr>
        <w:lastRenderedPageBreak/>
        <w:t>depends on external suppliers for important components such as sensors, which means supply-chain delays could impact development. In addition, some users may be put off by the company’s subscription model, where certain features require a paid upgrade.</w:t>
      </w:r>
    </w:p>
    <w:p w14:paraId="797DBCDE"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Despite these weaknesses, there are many opportunities in the UK health-tech market that Fitbit can benefit from. More people are becoming interested in tracking their health, improving sleep and focusing on preventative wellbeing, which creates a strong demand for devices that monitor things like oxygen levels and heart rate. There is also potential for working with healthcare organisations, including the NHS, as digital health tools have become more common since the pandemic (Mintel, 2023). Advances in artificial intelligence and sensor technology could also help Fitbit create more accurate and medically useful features.</w:t>
      </w:r>
    </w:p>
    <w:p w14:paraId="67C389E1"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However, Fitbit must also be aware of external threats. The UK has strict regulations around data protection and medical devices, and meeting these requirements can be time-consuming and complex (ICO, 2023). Cybersecurity risks are also a concern, as any data breach would seriously damage trust. Economic uncertainty may reduce consumer spending on non-essential items like smartwatches. Finally, competitors continue to make rapid improvements in technology, which could reduce Fitbit’s competitive advantage, especially in areas like battery life and app performance.</w:t>
      </w:r>
    </w:p>
    <w:p w14:paraId="16490233" w14:textId="395E7A55"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Overall, while Fitbit has several strengths that support the launch of its new device, it is important for the company to recognise the challenges and threats it faces. Careful planning and strong stakeholder engagement will be essential to make the launch successful.</w:t>
      </w:r>
    </w:p>
    <w:tbl>
      <w:tblPr>
        <w:tblStyle w:val="GridTable4-Accent3"/>
        <w:tblW w:w="0" w:type="auto"/>
        <w:tblLook w:val="04A0" w:firstRow="1" w:lastRow="0" w:firstColumn="1" w:lastColumn="0" w:noHBand="0" w:noVBand="1"/>
      </w:tblPr>
      <w:tblGrid>
        <w:gridCol w:w="4508"/>
        <w:gridCol w:w="4508"/>
      </w:tblGrid>
      <w:tr w:rsidR="00556B8D" w:rsidRPr="00556B8D" w14:paraId="54C9A0DB" w14:textId="77777777" w:rsidTr="00556B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776B64" w14:textId="78E8D9A5" w:rsidR="00556B8D" w:rsidRPr="00556B8D" w:rsidRDefault="00556B8D" w:rsidP="00556B8D">
            <w:pPr>
              <w:spacing w:before="240" w:line="360" w:lineRule="auto"/>
              <w:jc w:val="center"/>
              <w:rPr>
                <w:rFonts w:ascii="Arial" w:hAnsi="Arial" w:cs="Arial"/>
                <w:b w:val="0"/>
                <w:bCs w:val="0"/>
                <w:sz w:val="22"/>
                <w:szCs w:val="22"/>
              </w:rPr>
            </w:pPr>
            <w:r w:rsidRPr="00556B8D">
              <w:rPr>
                <w:rFonts w:ascii="Arial" w:hAnsi="Arial" w:cs="Arial"/>
                <w:b w:val="0"/>
                <w:bCs w:val="0"/>
                <w:sz w:val="22"/>
                <w:szCs w:val="22"/>
              </w:rPr>
              <w:t>STRENGTHS</w:t>
            </w:r>
          </w:p>
        </w:tc>
        <w:tc>
          <w:tcPr>
            <w:tcW w:w="4508" w:type="dxa"/>
          </w:tcPr>
          <w:p w14:paraId="6B5FC9B2" w14:textId="4AD9A1C7" w:rsidR="00556B8D" w:rsidRPr="00556B8D" w:rsidRDefault="00556B8D" w:rsidP="00556B8D">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56B8D">
              <w:rPr>
                <w:rFonts w:ascii="Arial" w:hAnsi="Arial" w:cs="Arial"/>
                <w:b w:val="0"/>
                <w:bCs w:val="0"/>
                <w:sz w:val="22"/>
                <w:szCs w:val="22"/>
              </w:rPr>
              <w:t>WEAKNESSES</w:t>
            </w:r>
          </w:p>
        </w:tc>
      </w:tr>
      <w:tr w:rsidR="00556B8D" w:rsidRPr="00556B8D" w14:paraId="266206E9" w14:textId="77777777" w:rsidTr="00556B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2CE0AD" w14:textId="0A0A2038" w:rsidR="00556B8D" w:rsidRPr="00556B8D" w:rsidRDefault="00556B8D" w:rsidP="00556B8D">
            <w:pPr>
              <w:spacing w:line="360" w:lineRule="auto"/>
              <w:rPr>
                <w:rFonts w:ascii="Arial" w:hAnsi="Arial" w:cs="Arial"/>
                <w:sz w:val="22"/>
                <w:szCs w:val="22"/>
              </w:rPr>
            </w:pPr>
            <w:r w:rsidRPr="00556B8D">
              <w:rPr>
                <w:rFonts w:ascii="Arial" w:hAnsi="Arial" w:cs="Arial"/>
                <w:sz w:val="22"/>
                <w:szCs w:val="22"/>
              </w:rPr>
              <w:t>Strong global brand reputation in wearable technology</w:t>
            </w:r>
          </w:p>
        </w:tc>
        <w:tc>
          <w:tcPr>
            <w:tcW w:w="4508" w:type="dxa"/>
          </w:tcPr>
          <w:p w14:paraId="12B43500" w14:textId="3CE7FE06" w:rsidR="00556B8D" w:rsidRPr="00556B8D" w:rsidRDefault="00556B8D" w:rsidP="00556B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56B8D">
              <w:rPr>
                <w:rFonts w:ascii="Arial" w:hAnsi="Arial" w:cs="Arial"/>
                <w:sz w:val="22"/>
                <w:szCs w:val="22"/>
              </w:rPr>
              <w:t>Heavy competition from Apple, Samsung and Garmi</w:t>
            </w:r>
          </w:p>
        </w:tc>
      </w:tr>
      <w:tr w:rsidR="00556B8D" w:rsidRPr="00556B8D" w14:paraId="00F963DE" w14:textId="77777777" w:rsidTr="00556B8D">
        <w:tc>
          <w:tcPr>
            <w:cnfStyle w:val="001000000000" w:firstRow="0" w:lastRow="0" w:firstColumn="1" w:lastColumn="0" w:oddVBand="0" w:evenVBand="0" w:oddHBand="0" w:evenHBand="0" w:firstRowFirstColumn="0" w:firstRowLastColumn="0" w:lastRowFirstColumn="0" w:lastRowLastColumn="0"/>
            <w:tcW w:w="4508" w:type="dxa"/>
          </w:tcPr>
          <w:p w14:paraId="19AFDE2E" w14:textId="02C4251C" w:rsidR="00556B8D" w:rsidRPr="00556B8D" w:rsidRDefault="00556B8D" w:rsidP="00556B8D">
            <w:pPr>
              <w:spacing w:line="360" w:lineRule="auto"/>
              <w:rPr>
                <w:rFonts w:ascii="Arial" w:hAnsi="Arial" w:cs="Arial"/>
                <w:sz w:val="22"/>
                <w:szCs w:val="22"/>
              </w:rPr>
            </w:pPr>
            <w:r w:rsidRPr="00556B8D">
              <w:rPr>
                <w:rFonts w:ascii="Arial" w:hAnsi="Arial" w:cs="Arial"/>
                <w:sz w:val="22"/>
                <w:szCs w:val="22"/>
              </w:rPr>
              <w:t>Backed by Google</w:t>
            </w:r>
            <w:r>
              <w:rPr>
                <w:rFonts w:ascii="Arial" w:hAnsi="Arial" w:cs="Arial"/>
                <w:sz w:val="22"/>
                <w:szCs w:val="22"/>
              </w:rPr>
              <w:t xml:space="preserve"> -</w:t>
            </w:r>
            <w:r w:rsidRPr="00556B8D">
              <w:rPr>
                <w:rFonts w:ascii="Arial" w:hAnsi="Arial" w:cs="Arial"/>
                <w:sz w:val="22"/>
                <w:szCs w:val="22"/>
              </w:rPr>
              <w:t xml:space="preserve"> financial stability </w:t>
            </w:r>
            <w:r>
              <w:rPr>
                <w:rFonts w:ascii="Arial" w:hAnsi="Arial" w:cs="Arial"/>
                <w:sz w:val="22"/>
                <w:szCs w:val="22"/>
              </w:rPr>
              <w:t xml:space="preserve">&amp; </w:t>
            </w:r>
            <w:r w:rsidRPr="00556B8D">
              <w:rPr>
                <w:rFonts w:ascii="Arial" w:hAnsi="Arial" w:cs="Arial"/>
                <w:sz w:val="22"/>
                <w:szCs w:val="22"/>
              </w:rPr>
              <w:t>advanced tech capabilities</w:t>
            </w:r>
          </w:p>
        </w:tc>
        <w:tc>
          <w:tcPr>
            <w:tcW w:w="4508" w:type="dxa"/>
          </w:tcPr>
          <w:p w14:paraId="0AEB53C5" w14:textId="31A7F2C4" w:rsidR="00556B8D" w:rsidRPr="00556B8D" w:rsidRDefault="00556B8D" w:rsidP="00556B8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56B8D">
              <w:rPr>
                <w:rFonts w:ascii="Arial" w:hAnsi="Arial" w:cs="Arial"/>
                <w:sz w:val="22"/>
                <w:szCs w:val="22"/>
              </w:rPr>
              <w:t>Reliance on third-party suppliers for sensors + components</w:t>
            </w:r>
          </w:p>
        </w:tc>
      </w:tr>
      <w:tr w:rsidR="00556B8D" w:rsidRPr="00556B8D" w14:paraId="0359B9B3" w14:textId="77777777" w:rsidTr="00556B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A78F112" w14:textId="08345482" w:rsidR="00556B8D" w:rsidRPr="00556B8D" w:rsidRDefault="00556B8D" w:rsidP="00556B8D">
            <w:pPr>
              <w:spacing w:line="360" w:lineRule="auto"/>
              <w:rPr>
                <w:rFonts w:ascii="Arial" w:hAnsi="Arial" w:cs="Arial"/>
                <w:sz w:val="22"/>
                <w:szCs w:val="22"/>
              </w:rPr>
            </w:pPr>
            <w:r w:rsidRPr="00556B8D">
              <w:rPr>
                <w:rFonts w:ascii="Arial" w:hAnsi="Arial" w:cs="Arial"/>
                <w:sz w:val="22"/>
                <w:szCs w:val="22"/>
              </w:rPr>
              <w:t>Expertise in health monitoring</w:t>
            </w:r>
          </w:p>
        </w:tc>
        <w:tc>
          <w:tcPr>
            <w:tcW w:w="4508" w:type="dxa"/>
          </w:tcPr>
          <w:p w14:paraId="0CC52CF0" w14:textId="1E85E990" w:rsidR="00556B8D" w:rsidRPr="00556B8D" w:rsidRDefault="00556B8D" w:rsidP="00556B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56B8D">
              <w:rPr>
                <w:rFonts w:ascii="Arial" w:hAnsi="Arial" w:cs="Arial"/>
                <w:sz w:val="22"/>
                <w:szCs w:val="22"/>
              </w:rPr>
              <w:t>Concerns around data privacy due to Google acquisition</w:t>
            </w:r>
          </w:p>
        </w:tc>
      </w:tr>
      <w:tr w:rsidR="00556B8D" w:rsidRPr="00556B8D" w14:paraId="0CF7E06D" w14:textId="77777777" w:rsidTr="00556B8D">
        <w:tc>
          <w:tcPr>
            <w:cnfStyle w:val="001000000000" w:firstRow="0" w:lastRow="0" w:firstColumn="1" w:lastColumn="0" w:oddVBand="0" w:evenVBand="0" w:oddHBand="0" w:evenHBand="0" w:firstRowFirstColumn="0" w:firstRowLastColumn="0" w:lastRowFirstColumn="0" w:lastRowLastColumn="0"/>
            <w:tcW w:w="4508" w:type="dxa"/>
          </w:tcPr>
          <w:p w14:paraId="2435B895" w14:textId="347B60BE" w:rsidR="00556B8D" w:rsidRPr="00556B8D" w:rsidRDefault="00556B8D" w:rsidP="00556B8D">
            <w:pPr>
              <w:spacing w:line="360" w:lineRule="auto"/>
              <w:rPr>
                <w:rFonts w:ascii="Arial" w:hAnsi="Arial" w:cs="Arial"/>
                <w:sz w:val="22"/>
                <w:szCs w:val="22"/>
              </w:rPr>
            </w:pPr>
            <w:r w:rsidRPr="00556B8D">
              <w:rPr>
                <w:rFonts w:ascii="Arial" w:hAnsi="Arial" w:cs="Arial"/>
                <w:sz w:val="22"/>
                <w:szCs w:val="22"/>
              </w:rPr>
              <w:t>Established UK retail presence</w:t>
            </w:r>
          </w:p>
        </w:tc>
        <w:tc>
          <w:tcPr>
            <w:tcW w:w="4508" w:type="dxa"/>
          </w:tcPr>
          <w:p w14:paraId="3BF6FA94" w14:textId="78E00B69" w:rsidR="00556B8D" w:rsidRPr="00556B8D" w:rsidRDefault="00556B8D" w:rsidP="00556B8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56B8D">
              <w:rPr>
                <w:rFonts w:ascii="Arial" w:hAnsi="Arial" w:cs="Arial"/>
                <w:sz w:val="22"/>
                <w:szCs w:val="22"/>
              </w:rPr>
              <w:t>Subscription model (Fitbit Premium) may limit user adoption</w:t>
            </w:r>
          </w:p>
        </w:tc>
      </w:tr>
      <w:tr w:rsidR="00556B8D" w:rsidRPr="00556B8D" w14:paraId="03E71615" w14:textId="77777777" w:rsidTr="00556B8D">
        <w:trPr>
          <w:cnfStyle w:val="000000100000" w:firstRow="0" w:lastRow="0" w:firstColumn="0" w:lastColumn="0" w:oddVBand="0" w:evenVBand="0" w:oddHBand="1"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4508" w:type="dxa"/>
          </w:tcPr>
          <w:p w14:paraId="1C697537" w14:textId="02DF3F35" w:rsidR="00556B8D" w:rsidRPr="00556B8D" w:rsidRDefault="00556B8D" w:rsidP="00556B8D">
            <w:pPr>
              <w:spacing w:line="360" w:lineRule="auto"/>
              <w:rPr>
                <w:rFonts w:ascii="Arial" w:hAnsi="Arial" w:cs="Arial"/>
                <w:sz w:val="22"/>
                <w:szCs w:val="22"/>
              </w:rPr>
            </w:pPr>
            <w:r w:rsidRPr="00556B8D">
              <w:rPr>
                <w:rFonts w:ascii="Arial" w:hAnsi="Arial" w:cs="Arial"/>
                <w:sz w:val="22"/>
                <w:szCs w:val="22"/>
              </w:rPr>
              <w:t>Strong digital health ecosystem</w:t>
            </w:r>
          </w:p>
        </w:tc>
        <w:tc>
          <w:tcPr>
            <w:tcW w:w="4508" w:type="dxa"/>
          </w:tcPr>
          <w:p w14:paraId="14C27AA0" w14:textId="47A354C3" w:rsidR="00556B8D" w:rsidRPr="00556B8D" w:rsidRDefault="00556B8D" w:rsidP="00556B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56B8D">
              <w:rPr>
                <w:rFonts w:ascii="Arial" w:hAnsi="Arial" w:cs="Arial"/>
                <w:sz w:val="22"/>
                <w:szCs w:val="22"/>
              </w:rPr>
              <w:t>Battery life limitations compared to some competitors</w:t>
            </w:r>
          </w:p>
        </w:tc>
      </w:tr>
    </w:tbl>
    <w:p w14:paraId="2B7A6733" w14:textId="77777777" w:rsidR="00556B8D" w:rsidRDefault="00556B8D" w:rsidP="00556B8D">
      <w:pPr>
        <w:spacing w:line="360" w:lineRule="auto"/>
        <w:jc w:val="both"/>
        <w:rPr>
          <w:rFonts w:ascii="Arial" w:hAnsi="Arial" w:cs="Arial"/>
          <w:sz w:val="22"/>
          <w:szCs w:val="22"/>
        </w:rPr>
      </w:pPr>
    </w:p>
    <w:p w14:paraId="75617D9A" w14:textId="77777777" w:rsidR="00556B8D" w:rsidRPr="00556B8D" w:rsidRDefault="00556B8D" w:rsidP="00556B8D">
      <w:pPr>
        <w:spacing w:line="360" w:lineRule="auto"/>
        <w:jc w:val="both"/>
        <w:rPr>
          <w:rFonts w:ascii="Arial" w:hAnsi="Arial" w:cs="Arial"/>
          <w:sz w:val="22"/>
          <w:szCs w:val="22"/>
        </w:rPr>
      </w:pPr>
    </w:p>
    <w:tbl>
      <w:tblPr>
        <w:tblStyle w:val="GridTable4-Accent3"/>
        <w:tblW w:w="0" w:type="auto"/>
        <w:tblLook w:val="04A0" w:firstRow="1" w:lastRow="0" w:firstColumn="1" w:lastColumn="0" w:noHBand="0" w:noVBand="1"/>
      </w:tblPr>
      <w:tblGrid>
        <w:gridCol w:w="4508"/>
        <w:gridCol w:w="4508"/>
      </w:tblGrid>
      <w:tr w:rsidR="00556B8D" w:rsidRPr="00556B8D" w14:paraId="53EAB124" w14:textId="77777777" w:rsidTr="00556B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CDC674" w14:textId="77777777" w:rsidR="00556B8D" w:rsidRPr="00556B8D" w:rsidRDefault="00556B8D" w:rsidP="00556B8D">
            <w:pPr>
              <w:spacing w:before="240" w:line="360" w:lineRule="auto"/>
              <w:jc w:val="center"/>
              <w:rPr>
                <w:rFonts w:ascii="Arial" w:hAnsi="Arial" w:cs="Arial"/>
                <w:b w:val="0"/>
                <w:bCs w:val="0"/>
                <w:sz w:val="22"/>
                <w:szCs w:val="22"/>
              </w:rPr>
            </w:pPr>
            <w:r w:rsidRPr="00556B8D">
              <w:rPr>
                <w:rFonts w:ascii="Arial" w:hAnsi="Arial" w:cs="Arial"/>
                <w:b w:val="0"/>
                <w:bCs w:val="0"/>
                <w:sz w:val="22"/>
                <w:szCs w:val="22"/>
              </w:rPr>
              <w:lastRenderedPageBreak/>
              <w:t>OPPORTUNITIES</w:t>
            </w:r>
          </w:p>
        </w:tc>
        <w:tc>
          <w:tcPr>
            <w:tcW w:w="4508" w:type="dxa"/>
          </w:tcPr>
          <w:p w14:paraId="48432B8E" w14:textId="77777777" w:rsidR="00556B8D" w:rsidRPr="00556B8D" w:rsidRDefault="00556B8D" w:rsidP="00556B8D">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556B8D">
              <w:rPr>
                <w:rFonts w:ascii="Arial" w:hAnsi="Arial" w:cs="Arial"/>
                <w:b w:val="0"/>
                <w:bCs w:val="0"/>
                <w:sz w:val="22"/>
                <w:szCs w:val="22"/>
              </w:rPr>
              <w:t>THREATS</w:t>
            </w:r>
          </w:p>
        </w:tc>
      </w:tr>
      <w:tr w:rsidR="00556B8D" w:rsidRPr="00556B8D" w14:paraId="3E4DE520" w14:textId="77777777" w:rsidTr="00556B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D9A81A6" w14:textId="77777777" w:rsidR="00556B8D" w:rsidRPr="00556B8D" w:rsidRDefault="00556B8D" w:rsidP="00556B8D">
            <w:pPr>
              <w:spacing w:line="360" w:lineRule="auto"/>
              <w:rPr>
                <w:rFonts w:ascii="Arial" w:hAnsi="Arial" w:cs="Arial"/>
                <w:sz w:val="22"/>
                <w:szCs w:val="22"/>
              </w:rPr>
            </w:pPr>
            <w:r w:rsidRPr="00556B8D">
              <w:rPr>
                <w:rFonts w:ascii="Arial" w:hAnsi="Arial" w:cs="Arial"/>
                <w:sz w:val="22"/>
                <w:szCs w:val="22"/>
              </w:rPr>
              <w:t>Growing demand for digital health &amp; personalised data</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556B8D" w:rsidRPr="00556B8D" w14:paraId="751F3C70" w14:textId="77777777" w:rsidTr="00556B8D">
              <w:trPr>
                <w:tblCellSpacing w:w="15" w:type="dxa"/>
              </w:trPr>
              <w:tc>
                <w:tcPr>
                  <w:tcW w:w="0" w:type="auto"/>
                  <w:vAlign w:val="center"/>
                  <w:hideMark/>
                </w:tcPr>
                <w:p w14:paraId="5B6CB9C2" w14:textId="77777777" w:rsidR="00556B8D" w:rsidRPr="00556B8D" w:rsidRDefault="00556B8D" w:rsidP="00556B8D">
                  <w:pPr>
                    <w:spacing w:after="0" w:line="360" w:lineRule="auto"/>
                    <w:rPr>
                      <w:rFonts w:ascii="Arial" w:hAnsi="Arial" w:cs="Arial"/>
                      <w:sz w:val="22"/>
                      <w:szCs w:val="22"/>
                    </w:rPr>
                  </w:pPr>
                  <w:r w:rsidRPr="00556B8D">
                    <w:rPr>
                      <w:rFonts w:ascii="Arial" w:hAnsi="Arial" w:cs="Arial"/>
                      <w:sz w:val="22"/>
                      <w:szCs w:val="22"/>
                    </w:rPr>
                    <w:t>Stringent UK data protection &amp; medical device regulations</w:t>
                  </w:r>
                </w:p>
              </w:tc>
            </w:tr>
          </w:tbl>
          <w:p w14:paraId="4A5E8348" w14:textId="77777777" w:rsidR="00556B8D" w:rsidRPr="00556B8D" w:rsidRDefault="00556B8D" w:rsidP="00556B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56B8D" w:rsidRPr="00556B8D" w14:paraId="5D7C9395" w14:textId="77777777" w:rsidTr="00556B8D">
              <w:trPr>
                <w:tblCellSpacing w:w="15" w:type="dxa"/>
              </w:trPr>
              <w:tc>
                <w:tcPr>
                  <w:tcW w:w="0" w:type="auto"/>
                  <w:vAlign w:val="center"/>
                  <w:hideMark/>
                </w:tcPr>
                <w:p w14:paraId="26DF3EE5" w14:textId="77777777" w:rsidR="00556B8D" w:rsidRPr="00556B8D" w:rsidRDefault="00556B8D" w:rsidP="00556B8D">
                  <w:pPr>
                    <w:spacing w:after="0" w:line="360" w:lineRule="auto"/>
                    <w:rPr>
                      <w:rFonts w:ascii="Arial" w:hAnsi="Arial" w:cs="Arial"/>
                      <w:sz w:val="22"/>
                      <w:szCs w:val="22"/>
                    </w:rPr>
                  </w:pPr>
                </w:p>
              </w:tc>
            </w:tr>
          </w:tbl>
          <w:p w14:paraId="0F36A468" w14:textId="77777777" w:rsidR="00556B8D" w:rsidRPr="00556B8D" w:rsidRDefault="00556B8D" w:rsidP="00556B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556B8D" w:rsidRPr="00556B8D" w14:paraId="3B315400" w14:textId="77777777" w:rsidTr="00556B8D">
        <w:tc>
          <w:tcPr>
            <w:cnfStyle w:val="001000000000" w:firstRow="0" w:lastRow="0" w:firstColumn="1" w:lastColumn="0" w:oddVBand="0" w:evenVBand="0" w:oddHBand="0" w:evenHBand="0" w:firstRowFirstColumn="0" w:firstRowLastColumn="0" w:lastRowFirstColumn="0" w:lastRowLastColumn="0"/>
            <w:tcW w:w="4508" w:type="dxa"/>
          </w:tcPr>
          <w:p w14:paraId="4D5BD112" w14:textId="77777777" w:rsidR="00556B8D" w:rsidRPr="00556B8D" w:rsidRDefault="00556B8D" w:rsidP="00556B8D">
            <w:pPr>
              <w:spacing w:line="360" w:lineRule="auto"/>
              <w:rPr>
                <w:rFonts w:ascii="Arial" w:hAnsi="Arial" w:cs="Arial"/>
                <w:sz w:val="22"/>
                <w:szCs w:val="22"/>
              </w:rPr>
            </w:pPr>
            <w:r w:rsidRPr="00556B8D">
              <w:rPr>
                <w:rFonts w:ascii="Arial" w:hAnsi="Arial" w:cs="Arial"/>
                <w:sz w:val="22"/>
                <w:szCs w:val="22"/>
              </w:rPr>
              <w:t>Potential NHS partnerships &amp; healthcare integration</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556B8D" w:rsidRPr="00556B8D" w14:paraId="3241032E" w14:textId="77777777" w:rsidTr="00556B8D">
              <w:trPr>
                <w:tblCellSpacing w:w="15" w:type="dxa"/>
              </w:trPr>
              <w:tc>
                <w:tcPr>
                  <w:tcW w:w="0" w:type="auto"/>
                  <w:vAlign w:val="center"/>
                  <w:hideMark/>
                </w:tcPr>
                <w:p w14:paraId="56706E36" w14:textId="77777777" w:rsidR="00556B8D" w:rsidRPr="00556B8D" w:rsidRDefault="00556B8D" w:rsidP="00556B8D">
                  <w:pPr>
                    <w:spacing w:after="0" w:line="360" w:lineRule="auto"/>
                    <w:rPr>
                      <w:rFonts w:ascii="Arial" w:hAnsi="Arial" w:cs="Arial"/>
                      <w:sz w:val="22"/>
                      <w:szCs w:val="22"/>
                    </w:rPr>
                  </w:pPr>
                  <w:r w:rsidRPr="00556B8D">
                    <w:rPr>
                      <w:rFonts w:ascii="Arial" w:hAnsi="Arial" w:cs="Arial"/>
                      <w:sz w:val="22"/>
                      <w:szCs w:val="22"/>
                    </w:rPr>
                    <w:t>Rapid technological innovation increases market pressure</w:t>
                  </w:r>
                </w:p>
              </w:tc>
            </w:tr>
          </w:tbl>
          <w:p w14:paraId="0323D554" w14:textId="77777777" w:rsidR="00556B8D" w:rsidRPr="00556B8D" w:rsidRDefault="00556B8D" w:rsidP="00556B8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56B8D" w:rsidRPr="00556B8D" w14:paraId="0C0013EA" w14:textId="77777777" w:rsidTr="00556B8D">
              <w:trPr>
                <w:tblCellSpacing w:w="15" w:type="dxa"/>
              </w:trPr>
              <w:tc>
                <w:tcPr>
                  <w:tcW w:w="0" w:type="auto"/>
                  <w:vAlign w:val="center"/>
                  <w:hideMark/>
                </w:tcPr>
                <w:p w14:paraId="10BBB449" w14:textId="77777777" w:rsidR="00556B8D" w:rsidRPr="00556B8D" w:rsidRDefault="00556B8D" w:rsidP="00556B8D">
                  <w:pPr>
                    <w:spacing w:after="0" w:line="360" w:lineRule="auto"/>
                    <w:rPr>
                      <w:rFonts w:ascii="Arial" w:hAnsi="Arial" w:cs="Arial"/>
                      <w:sz w:val="22"/>
                      <w:szCs w:val="22"/>
                    </w:rPr>
                  </w:pPr>
                </w:p>
              </w:tc>
            </w:tr>
          </w:tbl>
          <w:p w14:paraId="7A08B5BF" w14:textId="77777777" w:rsidR="00556B8D" w:rsidRPr="00556B8D" w:rsidRDefault="00556B8D" w:rsidP="00556B8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556B8D" w:rsidRPr="00556B8D" w14:paraId="0FB41C4E" w14:textId="77777777" w:rsidTr="00556B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E706854" w14:textId="77777777" w:rsidR="00556B8D" w:rsidRPr="00556B8D" w:rsidRDefault="00556B8D" w:rsidP="00556B8D">
            <w:pPr>
              <w:spacing w:line="360" w:lineRule="auto"/>
              <w:rPr>
                <w:rFonts w:ascii="Arial" w:hAnsi="Arial" w:cs="Arial"/>
                <w:sz w:val="22"/>
                <w:szCs w:val="22"/>
              </w:rPr>
            </w:pPr>
            <w:r w:rsidRPr="00556B8D">
              <w:rPr>
                <w:rFonts w:ascii="Arial" w:hAnsi="Arial" w:cs="Arial"/>
                <w:sz w:val="22"/>
                <w:szCs w:val="22"/>
              </w:rPr>
              <w:t>Increasing consumer focus on wellness, sleep &amp; preventative health</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556B8D" w:rsidRPr="00556B8D" w14:paraId="0640DE87" w14:textId="77777777" w:rsidTr="00556B8D">
              <w:trPr>
                <w:tblCellSpacing w:w="15" w:type="dxa"/>
              </w:trPr>
              <w:tc>
                <w:tcPr>
                  <w:tcW w:w="0" w:type="auto"/>
                  <w:vAlign w:val="center"/>
                  <w:hideMark/>
                </w:tcPr>
                <w:p w14:paraId="695F40AB" w14:textId="77777777" w:rsidR="00556B8D" w:rsidRPr="00556B8D" w:rsidRDefault="00556B8D" w:rsidP="00556B8D">
                  <w:pPr>
                    <w:spacing w:after="0" w:line="360" w:lineRule="auto"/>
                    <w:rPr>
                      <w:rFonts w:ascii="Arial" w:hAnsi="Arial" w:cs="Arial"/>
                      <w:sz w:val="22"/>
                      <w:szCs w:val="22"/>
                    </w:rPr>
                  </w:pPr>
                  <w:r w:rsidRPr="00556B8D">
                    <w:rPr>
                      <w:rFonts w:ascii="Arial" w:hAnsi="Arial" w:cs="Arial"/>
                      <w:sz w:val="22"/>
                      <w:szCs w:val="22"/>
                    </w:rPr>
                    <w:t>Cybersecurity risks affecting trust &amp; reputation</w:t>
                  </w:r>
                </w:p>
              </w:tc>
            </w:tr>
          </w:tbl>
          <w:p w14:paraId="01A5A4EF" w14:textId="77777777" w:rsidR="00556B8D" w:rsidRPr="00556B8D" w:rsidRDefault="00556B8D" w:rsidP="00556B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56B8D" w:rsidRPr="00556B8D" w14:paraId="1DF3F05C" w14:textId="77777777" w:rsidTr="00556B8D">
              <w:trPr>
                <w:tblCellSpacing w:w="15" w:type="dxa"/>
              </w:trPr>
              <w:tc>
                <w:tcPr>
                  <w:tcW w:w="0" w:type="auto"/>
                  <w:vAlign w:val="center"/>
                  <w:hideMark/>
                </w:tcPr>
                <w:p w14:paraId="4AB507AA" w14:textId="77777777" w:rsidR="00556B8D" w:rsidRPr="00556B8D" w:rsidRDefault="00556B8D" w:rsidP="00556B8D">
                  <w:pPr>
                    <w:spacing w:after="0" w:line="360" w:lineRule="auto"/>
                    <w:rPr>
                      <w:rFonts w:ascii="Arial" w:hAnsi="Arial" w:cs="Arial"/>
                      <w:sz w:val="22"/>
                      <w:szCs w:val="22"/>
                    </w:rPr>
                  </w:pPr>
                </w:p>
              </w:tc>
            </w:tr>
          </w:tbl>
          <w:p w14:paraId="3258B212" w14:textId="77777777" w:rsidR="00556B8D" w:rsidRPr="00556B8D" w:rsidRDefault="00556B8D" w:rsidP="00556B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556B8D" w:rsidRPr="00556B8D" w14:paraId="64B64DA7" w14:textId="77777777" w:rsidTr="00556B8D">
        <w:tc>
          <w:tcPr>
            <w:cnfStyle w:val="001000000000" w:firstRow="0" w:lastRow="0" w:firstColumn="1" w:lastColumn="0" w:oddVBand="0" w:evenVBand="0" w:oddHBand="0" w:evenHBand="0" w:firstRowFirstColumn="0" w:firstRowLastColumn="0" w:lastRowFirstColumn="0" w:lastRowLastColumn="0"/>
            <w:tcW w:w="4508" w:type="dxa"/>
          </w:tcPr>
          <w:p w14:paraId="0BAEA5EB" w14:textId="47DA60A3" w:rsidR="00556B8D" w:rsidRPr="00556B8D" w:rsidRDefault="00556B8D" w:rsidP="00556B8D">
            <w:pPr>
              <w:spacing w:line="360" w:lineRule="auto"/>
              <w:rPr>
                <w:rFonts w:ascii="Arial" w:hAnsi="Arial" w:cs="Arial"/>
                <w:sz w:val="22"/>
                <w:szCs w:val="22"/>
              </w:rPr>
            </w:pPr>
            <w:r w:rsidRPr="00556B8D">
              <w:rPr>
                <w:rFonts w:ascii="Arial" w:hAnsi="Arial" w:cs="Arial"/>
                <w:sz w:val="22"/>
                <w:szCs w:val="22"/>
              </w:rPr>
              <w:t>Expansion into medical-grade monitoring</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556B8D" w:rsidRPr="00556B8D" w14:paraId="51640CEE" w14:textId="77777777" w:rsidTr="00556B8D">
              <w:trPr>
                <w:tblCellSpacing w:w="15" w:type="dxa"/>
              </w:trPr>
              <w:tc>
                <w:tcPr>
                  <w:tcW w:w="0" w:type="auto"/>
                  <w:vAlign w:val="center"/>
                  <w:hideMark/>
                </w:tcPr>
                <w:p w14:paraId="461FEA15" w14:textId="77777777" w:rsidR="00556B8D" w:rsidRPr="00556B8D" w:rsidRDefault="00556B8D" w:rsidP="00556B8D">
                  <w:pPr>
                    <w:spacing w:after="0" w:line="360" w:lineRule="auto"/>
                    <w:rPr>
                      <w:rFonts w:ascii="Arial" w:hAnsi="Arial" w:cs="Arial"/>
                      <w:sz w:val="22"/>
                      <w:szCs w:val="22"/>
                    </w:rPr>
                  </w:pPr>
                  <w:r w:rsidRPr="00556B8D">
                    <w:rPr>
                      <w:rFonts w:ascii="Arial" w:hAnsi="Arial" w:cs="Arial"/>
                      <w:sz w:val="22"/>
                      <w:szCs w:val="22"/>
                    </w:rPr>
                    <w:t>Economic conditions may reduce consumer spending on wearables</w:t>
                  </w:r>
                </w:p>
              </w:tc>
            </w:tr>
          </w:tbl>
          <w:p w14:paraId="0650F67C" w14:textId="77777777" w:rsidR="00556B8D" w:rsidRPr="00556B8D" w:rsidRDefault="00556B8D" w:rsidP="00556B8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56B8D" w:rsidRPr="00556B8D" w14:paraId="5CCAF1F7" w14:textId="77777777" w:rsidTr="00556B8D">
              <w:trPr>
                <w:tblCellSpacing w:w="15" w:type="dxa"/>
              </w:trPr>
              <w:tc>
                <w:tcPr>
                  <w:tcW w:w="0" w:type="auto"/>
                  <w:vAlign w:val="center"/>
                  <w:hideMark/>
                </w:tcPr>
                <w:p w14:paraId="6B0C955D" w14:textId="77777777" w:rsidR="00556B8D" w:rsidRPr="00556B8D" w:rsidRDefault="00556B8D" w:rsidP="00556B8D">
                  <w:pPr>
                    <w:spacing w:after="0" w:line="360" w:lineRule="auto"/>
                    <w:rPr>
                      <w:rFonts w:ascii="Arial" w:hAnsi="Arial" w:cs="Arial"/>
                      <w:sz w:val="22"/>
                      <w:szCs w:val="22"/>
                    </w:rPr>
                  </w:pPr>
                </w:p>
              </w:tc>
            </w:tr>
          </w:tbl>
          <w:p w14:paraId="70B18132" w14:textId="77777777" w:rsidR="00556B8D" w:rsidRPr="00556B8D" w:rsidRDefault="00556B8D" w:rsidP="00556B8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556B8D" w:rsidRPr="00556B8D" w14:paraId="200B1F55" w14:textId="77777777" w:rsidTr="00556B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0CDEE7D" w14:textId="77777777" w:rsidR="00556B8D" w:rsidRPr="00556B8D" w:rsidRDefault="00556B8D" w:rsidP="00556B8D">
            <w:pPr>
              <w:spacing w:line="360" w:lineRule="auto"/>
              <w:rPr>
                <w:rFonts w:ascii="Arial" w:hAnsi="Arial" w:cs="Arial"/>
                <w:sz w:val="22"/>
                <w:szCs w:val="22"/>
              </w:rPr>
            </w:pPr>
            <w:r w:rsidRPr="00556B8D">
              <w:rPr>
                <w:rFonts w:ascii="Arial" w:hAnsi="Arial" w:cs="Arial"/>
                <w:sz w:val="22"/>
                <w:szCs w:val="22"/>
              </w:rPr>
              <w:t>Rising UK health-tech adoption post-Covid</w:t>
            </w:r>
          </w:p>
        </w:tc>
        <w:tc>
          <w:tcPr>
            <w:tcW w:w="4508" w:type="dxa"/>
          </w:tcPr>
          <w:p w14:paraId="3742FDB0" w14:textId="77777777" w:rsidR="00556B8D" w:rsidRPr="00556B8D" w:rsidRDefault="00556B8D" w:rsidP="00556B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56B8D">
              <w:rPr>
                <w:rFonts w:ascii="Arial" w:hAnsi="Arial" w:cs="Arial"/>
              </w:rPr>
              <w:t>Competitors offering similar features at lower prices</w:t>
            </w:r>
          </w:p>
        </w:tc>
      </w:tr>
    </w:tbl>
    <w:p w14:paraId="4998263D" w14:textId="6DC3283E" w:rsidR="003D174C" w:rsidRPr="00556B8D" w:rsidRDefault="00556B8D" w:rsidP="00556B8D">
      <w:pPr>
        <w:pStyle w:val="Heading1"/>
        <w:spacing w:line="360" w:lineRule="auto"/>
        <w:jc w:val="both"/>
        <w:rPr>
          <w:rFonts w:ascii="Arial" w:hAnsi="Arial" w:cs="Arial"/>
        </w:rPr>
      </w:pPr>
      <w:r w:rsidRPr="00556B8D">
        <w:rPr>
          <w:rFonts w:ascii="Arial" w:hAnsi="Arial" w:cs="Arial"/>
        </w:rPr>
        <w:t>Internal and External Stakeholders</w:t>
      </w:r>
    </w:p>
    <w:p w14:paraId="6A59983D"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The launch of Fitbit’s new wearable device depends on both internal and external stakeholders who play different roles in the project. Stakeholders are individuals or groups who have an interest in the project or may be affected by it (Freeman, 1984). Understanding them helps the project manager plan communication and keep the project running smoothly.</w:t>
      </w:r>
    </w:p>
    <w:p w14:paraId="0A32571F"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Internally, the product development team is a key group responsible for designing technical features such as heart rate and oxygen sensors. Their work directly affects product quality. The engineering team supports this by ensuring the software and hardware work properly and meet performance standards. The marketing department creates the campaigns and branding that help the device stand out in the UK market, while the sales team works with retailers such as Argos and Amazon to predict demand and ensure availability. Other internal stakeholders include the data analytics team, who review user data to improve features, and the legal and compliance team, who make sure the device meets UK regulations (ICO, 2023). Senior leadership and project sponsors guide the overall direction and approve funding.</w:t>
      </w:r>
    </w:p>
    <w:p w14:paraId="4844F682"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 xml:space="preserve">External stakeholders also influence the project. Customers shape demand and expectations, while retail partners determine how the product is displayed and sold. Suppliers and manufacturers provide key components, meaning delays can impact the timeline. Regulators such as the ICO and MHRA ensure the device meets safety and data protection rules, and healthcare professionals or NHS partners may help validate its usefulness (Topol, 2019). </w:t>
      </w:r>
      <w:r w:rsidRPr="00556B8D">
        <w:rPr>
          <w:rFonts w:ascii="Arial" w:hAnsi="Arial" w:cs="Arial"/>
          <w:sz w:val="22"/>
          <w:szCs w:val="22"/>
        </w:rPr>
        <w:lastRenderedPageBreak/>
        <w:t>Investors and shareholders, including Google’s parent company, expect strong financial performance.</w:t>
      </w:r>
    </w:p>
    <w:p w14:paraId="18B1C68D"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The Mendelow Matrix helps prioritise stakeholder management by grouping them based on power and interest (Johnson, Whittington and Scholes, 2020). For this project, senior leadership, product development and engineering teams fall into the high power–high interest group, requiring close management (Freeman, 1984). Regulators and major retailers fall into the high power–low interest group and should be kept satisfied through clear updates (ICO, 2023; MHRA, 2023). Customers and internal support teams fall into the low power–high interest group and should be kept informed (Topol, 2019). Minor suppliers and the wider community fall into the low power–low interest group and require only occasional monitoring.</w:t>
      </w:r>
    </w:p>
    <w:p w14:paraId="67B8AC77" w14:textId="38C24D0D" w:rsidR="00556B8D" w:rsidRPr="00556B8D" w:rsidRDefault="00556B8D" w:rsidP="00556B8D">
      <w:pPr>
        <w:pStyle w:val="Heading1"/>
        <w:spacing w:line="360" w:lineRule="auto"/>
        <w:jc w:val="both"/>
        <w:rPr>
          <w:rFonts w:ascii="Arial" w:hAnsi="Arial" w:cs="Arial"/>
        </w:rPr>
      </w:pPr>
      <w:r w:rsidRPr="00556B8D">
        <w:rPr>
          <w:rFonts w:ascii="Arial" w:hAnsi="Arial" w:cs="Arial"/>
        </w:rPr>
        <w:t>Stakeholders – Roles, Responsibilities, Benefited and Challenges</w:t>
      </w:r>
    </w:p>
    <w:p w14:paraId="1DFD6B7C"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The launch of Fitbit’s new wearable device depends on different groups of stakeholders who each have specific roles and responsibilities in the project. The product development team is one of the main internal groups involved, as they design and test the device features such as heart rate monitoring, oxygen level tracking and sleep analysis. Their job is to make sure the product actually works as intended and meets the standard users would expect. The engineering team works closely with them and focuses more on the technical side, like the device hardware, software performance and fixing any problems that come up. Both teams bring important technical knowledge to the project, but they also face challenges such as tight deadlines or issues with sensor accuracy, which can slow things down (Freeman, 1984).</w:t>
      </w:r>
    </w:p>
    <w:p w14:paraId="1E113157"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The marketing department has a different role. They are responsible for promoting the new device, creating the launch campaign and deciding how to position the product in a very competitive UK market. Their work helps the device stand out, but they may face challenges such as changing customer preferences or competition from brands like Apple and Garmin. The sales team is also important because they work with retailers like Argos and Amazon, manage stock planning and make sure the device is available for customers at launch. Their responsibility benefits the project by improving visibility and access, although supply issues or retailer demands can create difficulties.</w:t>
      </w:r>
    </w:p>
    <w:p w14:paraId="149EA06A" w14:textId="145AF5E2"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Fitbit’s legal and compliance team plays a crucial role in making sure the device meets UK regulations, especially around data protection and medical device requirements (ICO, 2023). They help prevent legal risks and make sure the product can safely be launched in the UK. However, regulatory rules can be complicated and may require extra time or changes to the</w:t>
      </w:r>
      <w:r>
        <w:rPr>
          <w:rFonts w:ascii="Arial" w:hAnsi="Arial" w:cs="Arial"/>
          <w:sz w:val="22"/>
          <w:szCs w:val="22"/>
        </w:rPr>
        <w:t xml:space="preserve"> </w:t>
      </w:r>
      <w:r w:rsidRPr="00556B8D">
        <w:rPr>
          <w:rFonts w:ascii="Arial" w:hAnsi="Arial" w:cs="Arial"/>
          <w:sz w:val="22"/>
          <w:szCs w:val="22"/>
        </w:rPr>
        <w:lastRenderedPageBreak/>
        <w:t>product. Senior leadership and project sponsors also have responsibilities such as approving budgets, setting priorities and making major decisions that guide the whole project. They support the launch by providing resources, but they may also face competing demands from other areas of the business.</w:t>
      </w:r>
    </w:p>
    <w:p w14:paraId="247CB2C3"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External stakeholders include customers, who are very important because their needs and expectations influence product design and future updates. Their feedback helps Fitbit understand what works well and what needs improvement (Topol, 2019). Retail partners have responsibilities around selling and displaying the device, and their cooperation can strongly affect sales performance. Regulators, such as the ICO and MHRA, also play a key role by assessing whether the device meets safety and data-handling standards, although their approval processes can sometimes delay progress.</w:t>
      </w:r>
    </w:p>
    <w:p w14:paraId="5EE2BBC7"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Overall, each stakeholder brings valuable input to the project, but they also face specific challenges. Managing these roles effectively is essential to launching the new device successfully.</w:t>
      </w:r>
    </w:p>
    <w:p w14:paraId="0B4CE990"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There are several frameworks and theories that can help manage and engage stakeholders effectively during the launch of Fitbit’s new wearable device. These tools are useful because they help the project manager plan communication, organise responsibilities and make sure different stakeholders are involved in the right way. One of the main theories that supports stakeholder engagement is Freeman’s (1984) stakeholder theory, which explains that stakeholders have different interests and levels of influence, so they should be managed according to their needs rather than being treated the same. This idea is important for a project like this because each group—from technical teams to customers—has different priorities and expectations.</w:t>
      </w:r>
    </w:p>
    <w:p w14:paraId="20A8E06E"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A key practical tool for putting this theory into action is the stakeholder engagement plan. This plan outlines how and when each stakeholder group will be involved in the project. It might include regular meetings for internal teams, feedback sessions with customers or scheduled updates for regulators. The main purpose of the engagement plan is to make sure stakeholders are included at the right time so that important decisions are informed by their input. According to Bourne (2015), structured engagement helps build trust and reduces misunderstandings, which is especially important when working with groups that have different levels of interest in the project.</w:t>
      </w:r>
    </w:p>
    <w:p w14:paraId="09B69F64"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 xml:space="preserve">Another important tool is the communication plan. This sets out the type of information that will be communicated, how often communication will take place and which methods will be used. For example, internal teams might receive weekly updates through project management platforms such as Teams or Slack, while external stakeholders like retailers or manufacturers </w:t>
      </w:r>
      <w:r w:rsidRPr="00556B8D">
        <w:rPr>
          <w:rFonts w:ascii="Arial" w:hAnsi="Arial" w:cs="Arial"/>
          <w:sz w:val="22"/>
          <w:szCs w:val="22"/>
        </w:rPr>
        <w:lastRenderedPageBreak/>
        <w:t>may receive formal briefings by email. The PMBOK Guide (PMI, 2021) highlights communication as one of the most important aspects of project management, as poor communication is a major cause of delays, confusion and conflict. A clear communication plan also helps ensure that each stakeholder receives information in a way that suits their needs and level of involvement.</w:t>
      </w:r>
    </w:p>
    <w:p w14:paraId="3E0D75D7"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The RACI matrix is another useful framework for managing stakeholder roles and responsibilities. RACI stands for Responsible, Accountable, Consulted and Informed. It helps clarify who is doing what, which is important in a project with so many different teams involved. For instance, the engineering team may be responsible for testing device features, the product manager may be accountable for final approval, the marketing team may be consulted on product features that affect branding, and retail partners may simply need to be informed. Using a RACI matrix can help avoid confusion or overlap between roles, making it easier for stakeholders to understand their responsibilities.</w:t>
      </w:r>
    </w:p>
    <w:tbl>
      <w:tblPr>
        <w:tblStyle w:val="TableGridLight"/>
        <w:tblpPr w:leftFromText="180" w:rightFromText="180" w:vertAnchor="text" w:horzAnchor="margin" w:tblpY="1118"/>
        <w:tblW w:w="9347" w:type="dxa"/>
        <w:tblLayout w:type="fixed"/>
        <w:tblLook w:val="04A0" w:firstRow="1" w:lastRow="0" w:firstColumn="1" w:lastColumn="0" w:noHBand="0" w:noVBand="1"/>
      </w:tblPr>
      <w:tblGrid>
        <w:gridCol w:w="1391"/>
        <w:gridCol w:w="1117"/>
        <w:gridCol w:w="1395"/>
        <w:gridCol w:w="1117"/>
        <w:gridCol w:w="698"/>
        <w:gridCol w:w="1396"/>
        <w:gridCol w:w="1255"/>
        <w:gridCol w:w="978"/>
      </w:tblGrid>
      <w:tr w:rsidR="00556B8D" w:rsidRPr="00556B8D" w14:paraId="72393459" w14:textId="77777777" w:rsidTr="00556B8D">
        <w:trPr>
          <w:trHeight w:val="523"/>
        </w:trPr>
        <w:tc>
          <w:tcPr>
            <w:tcW w:w="1391" w:type="dxa"/>
            <w:hideMark/>
          </w:tcPr>
          <w:p w14:paraId="2A38B8DE" w14:textId="77777777" w:rsidR="00556B8D" w:rsidRPr="00556B8D" w:rsidRDefault="00556B8D" w:rsidP="00556B8D">
            <w:pPr>
              <w:spacing w:after="160" w:line="360" w:lineRule="auto"/>
              <w:rPr>
                <w:rFonts w:ascii="Arial" w:hAnsi="Arial" w:cs="Arial"/>
                <w:b/>
                <w:bCs/>
                <w:sz w:val="18"/>
                <w:szCs w:val="18"/>
              </w:rPr>
            </w:pPr>
            <w:r w:rsidRPr="00556B8D">
              <w:rPr>
                <w:rFonts w:ascii="Arial" w:hAnsi="Arial" w:cs="Arial"/>
                <w:b/>
                <w:bCs/>
                <w:sz w:val="18"/>
                <w:szCs w:val="18"/>
              </w:rPr>
              <w:t>Project Task</w:t>
            </w:r>
          </w:p>
        </w:tc>
        <w:tc>
          <w:tcPr>
            <w:tcW w:w="1117" w:type="dxa"/>
            <w:hideMark/>
          </w:tcPr>
          <w:p w14:paraId="5D18EFF8" w14:textId="77777777" w:rsidR="00556B8D" w:rsidRPr="00556B8D" w:rsidRDefault="00556B8D" w:rsidP="00556B8D">
            <w:pPr>
              <w:spacing w:after="160" w:line="360" w:lineRule="auto"/>
              <w:rPr>
                <w:rFonts w:ascii="Arial" w:hAnsi="Arial" w:cs="Arial"/>
                <w:b/>
                <w:bCs/>
                <w:sz w:val="18"/>
                <w:szCs w:val="18"/>
              </w:rPr>
            </w:pPr>
            <w:r w:rsidRPr="00556B8D">
              <w:rPr>
                <w:rFonts w:ascii="Arial" w:hAnsi="Arial" w:cs="Arial"/>
                <w:b/>
                <w:bCs/>
                <w:sz w:val="18"/>
                <w:szCs w:val="18"/>
              </w:rPr>
              <w:t>Product Dev</w:t>
            </w:r>
            <w:r>
              <w:rPr>
                <w:rFonts w:ascii="Arial" w:hAnsi="Arial" w:cs="Arial"/>
                <w:b/>
                <w:bCs/>
                <w:sz w:val="18"/>
                <w:szCs w:val="18"/>
              </w:rPr>
              <w:t>.</w:t>
            </w:r>
            <w:r w:rsidRPr="00556B8D">
              <w:rPr>
                <w:rFonts w:ascii="Arial" w:hAnsi="Arial" w:cs="Arial"/>
                <w:b/>
                <w:bCs/>
                <w:sz w:val="18"/>
                <w:szCs w:val="18"/>
              </w:rPr>
              <w:t xml:space="preserve"> Team</w:t>
            </w:r>
          </w:p>
        </w:tc>
        <w:tc>
          <w:tcPr>
            <w:tcW w:w="1395" w:type="dxa"/>
            <w:hideMark/>
          </w:tcPr>
          <w:p w14:paraId="20BAD656" w14:textId="77777777" w:rsidR="00556B8D" w:rsidRPr="00556B8D" w:rsidRDefault="00556B8D" w:rsidP="00556B8D">
            <w:pPr>
              <w:spacing w:after="160" w:line="360" w:lineRule="auto"/>
              <w:rPr>
                <w:rFonts w:ascii="Arial" w:hAnsi="Arial" w:cs="Arial"/>
                <w:b/>
                <w:bCs/>
                <w:sz w:val="18"/>
                <w:szCs w:val="18"/>
              </w:rPr>
            </w:pPr>
            <w:r w:rsidRPr="00556B8D">
              <w:rPr>
                <w:rFonts w:ascii="Arial" w:hAnsi="Arial" w:cs="Arial"/>
                <w:b/>
                <w:bCs/>
                <w:sz w:val="18"/>
                <w:szCs w:val="18"/>
              </w:rPr>
              <w:t>Engineering Team</w:t>
            </w:r>
          </w:p>
        </w:tc>
        <w:tc>
          <w:tcPr>
            <w:tcW w:w="1117" w:type="dxa"/>
            <w:hideMark/>
          </w:tcPr>
          <w:p w14:paraId="3ABD6188" w14:textId="77777777" w:rsidR="00556B8D" w:rsidRPr="00556B8D" w:rsidRDefault="00556B8D" w:rsidP="00556B8D">
            <w:pPr>
              <w:spacing w:after="160" w:line="360" w:lineRule="auto"/>
              <w:rPr>
                <w:rFonts w:ascii="Arial" w:hAnsi="Arial" w:cs="Arial"/>
                <w:b/>
                <w:bCs/>
                <w:sz w:val="18"/>
                <w:szCs w:val="18"/>
              </w:rPr>
            </w:pPr>
            <w:r w:rsidRPr="00556B8D">
              <w:rPr>
                <w:rFonts w:ascii="Arial" w:hAnsi="Arial" w:cs="Arial"/>
                <w:b/>
                <w:bCs/>
                <w:sz w:val="18"/>
                <w:szCs w:val="18"/>
              </w:rPr>
              <w:t>Marketing D</w:t>
            </w:r>
            <w:r>
              <w:rPr>
                <w:rFonts w:ascii="Arial" w:hAnsi="Arial" w:cs="Arial"/>
                <w:b/>
                <w:bCs/>
                <w:sz w:val="18"/>
                <w:szCs w:val="18"/>
              </w:rPr>
              <w:t>p</w:t>
            </w:r>
            <w:r w:rsidRPr="00556B8D">
              <w:rPr>
                <w:rFonts w:ascii="Arial" w:hAnsi="Arial" w:cs="Arial"/>
                <w:b/>
                <w:bCs/>
                <w:sz w:val="18"/>
                <w:szCs w:val="18"/>
              </w:rPr>
              <w:t>t</w:t>
            </w:r>
            <w:r>
              <w:rPr>
                <w:rFonts w:ascii="Arial" w:hAnsi="Arial" w:cs="Arial"/>
                <w:b/>
                <w:bCs/>
                <w:sz w:val="18"/>
                <w:szCs w:val="18"/>
              </w:rPr>
              <w:t>.</w:t>
            </w:r>
          </w:p>
        </w:tc>
        <w:tc>
          <w:tcPr>
            <w:tcW w:w="698" w:type="dxa"/>
            <w:hideMark/>
          </w:tcPr>
          <w:p w14:paraId="0E537267" w14:textId="77777777" w:rsidR="00556B8D" w:rsidRPr="00556B8D" w:rsidRDefault="00556B8D" w:rsidP="00556B8D">
            <w:pPr>
              <w:spacing w:after="160" w:line="360" w:lineRule="auto"/>
              <w:rPr>
                <w:rFonts w:ascii="Arial" w:hAnsi="Arial" w:cs="Arial"/>
                <w:b/>
                <w:bCs/>
                <w:sz w:val="18"/>
                <w:szCs w:val="18"/>
              </w:rPr>
            </w:pPr>
            <w:r w:rsidRPr="00556B8D">
              <w:rPr>
                <w:rFonts w:ascii="Arial" w:hAnsi="Arial" w:cs="Arial"/>
                <w:b/>
                <w:bCs/>
                <w:sz w:val="18"/>
                <w:szCs w:val="18"/>
              </w:rPr>
              <w:t>Sales Team</w:t>
            </w:r>
          </w:p>
        </w:tc>
        <w:tc>
          <w:tcPr>
            <w:tcW w:w="1396" w:type="dxa"/>
            <w:hideMark/>
          </w:tcPr>
          <w:p w14:paraId="3258A4A6" w14:textId="77777777" w:rsidR="00556B8D" w:rsidRPr="00556B8D" w:rsidRDefault="00556B8D" w:rsidP="00556B8D">
            <w:pPr>
              <w:spacing w:after="160" w:line="360" w:lineRule="auto"/>
              <w:rPr>
                <w:rFonts w:ascii="Arial" w:hAnsi="Arial" w:cs="Arial"/>
                <w:b/>
                <w:bCs/>
                <w:sz w:val="18"/>
                <w:szCs w:val="18"/>
              </w:rPr>
            </w:pPr>
            <w:r w:rsidRPr="00556B8D">
              <w:rPr>
                <w:rFonts w:ascii="Arial" w:hAnsi="Arial" w:cs="Arial"/>
                <w:b/>
                <w:bCs/>
                <w:sz w:val="18"/>
                <w:szCs w:val="18"/>
              </w:rPr>
              <w:t>Legal &amp; Compliance</w:t>
            </w:r>
          </w:p>
        </w:tc>
        <w:tc>
          <w:tcPr>
            <w:tcW w:w="1255" w:type="dxa"/>
            <w:hideMark/>
          </w:tcPr>
          <w:p w14:paraId="0DB135DF" w14:textId="77777777" w:rsidR="00556B8D" w:rsidRPr="00556B8D" w:rsidRDefault="00556B8D" w:rsidP="00556B8D">
            <w:pPr>
              <w:spacing w:after="160" w:line="360" w:lineRule="auto"/>
              <w:rPr>
                <w:rFonts w:ascii="Arial" w:hAnsi="Arial" w:cs="Arial"/>
                <w:b/>
                <w:bCs/>
                <w:sz w:val="18"/>
                <w:szCs w:val="18"/>
              </w:rPr>
            </w:pPr>
            <w:r w:rsidRPr="00556B8D">
              <w:rPr>
                <w:rFonts w:ascii="Arial" w:hAnsi="Arial" w:cs="Arial"/>
                <w:b/>
                <w:bCs/>
                <w:sz w:val="18"/>
                <w:szCs w:val="18"/>
              </w:rPr>
              <w:t>Senior Leadership</w:t>
            </w:r>
          </w:p>
        </w:tc>
        <w:tc>
          <w:tcPr>
            <w:tcW w:w="978" w:type="dxa"/>
            <w:hideMark/>
          </w:tcPr>
          <w:p w14:paraId="626C5D03" w14:textId="77777777" w:rsidR="00556B8D" w:rsidRPr="00556B8D" w:rsidRDefault="00556B8D" w:rsidP="00556B8D">
            <w:pPr>
              <w:spacing w:after="160" w:line="360" w:lineRule="auto"/>
              <w:rPr>
                <w:rFonts w:ascii="Arial" w:hAnsi="Arial" w:cs="Arial"/>
                <w:b/>
                <w:bCs/>
                <w:sz w:val="18"/>
                <w:szCs w:val="18"/>
              </w:rPr>
            </w:pPr>
            <w:r w:rsidRPr="00556B8D">
              <w:rPr>
                <w:rFonts w:ascii="Arial" w:hAnsi="Arial" w:cs="Arial"/>
                <w:b/>
                <w:bCs/>
                <w:sz w:val="18"/>
                <w:szCs w:val="18"/>
              </w:rPr>
              <w:t>Retail Partners</w:t>
            </w:r>
          </w:p>
        </w:tc>
      </w:tr>
      <w:tr w:rsidR="00556B8D" w:rsidRPr="00556B8D" w14:paraId="195962B9" w14:textId="77777777" w:rsidTr="00556B8D">
        <w:trPr>
          <w:trHeight w:val="773"/>
        </w:trPr>
        <w:tc>
          <w:tcPr>
            <w:tcW w:w="1391" w:type="dxa"/>
            <w:hideMark/>
          </w:tcPr>
          <w:p w14:paraId="179A28A1"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Designing device features</w:t>
            </w:r>
          </w:p>
        </w:tc>
        <w:tc>
          <w:tcPr>
            <w:tcW w:w="1117" w:type="dxa"/>
            <w:hideMark/>
          </w:tcPr>
          <w:p w14:paraId="10156A5A"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R</w:t>
            </w:r>
          </w:p>
        </w:tc>
        <w:tc>
          <w:tcPr>
            <w:tcW w:w="1395" w:type="dxa"/>
            <w:hideMark/>
          </w:tcPr>
          <w:p w14:paraId="209DCB93"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C</w:t>
            </w:r>
          </w:p>
        </w:tc>
        <w:tc>
          <w:tcPr>
            <w:tcW w:w="1117" w:type="dxa"/>
            <w:hideMark/>
          </w:tcPr>
          <w:p w14:paraId="609787D0"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698" w:type="dxa"/>
            <w:hideMark/>
          </w:tcPr>
          <w:p w14:paraId="3042265B"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396" w:type="dxa"/>
            <w:hideMark/>
          </w:tcPr>
          <w:p w14:paraId="74C64B32"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C</w:t>
            </w:r>
          </w:p>
        </w:tc>
        <w:tc>
          <w:tcPr>
            <w:tcW w:w="1255" w:type="dxa"/>
            <w:hideMark/>
          </w:tcPr>
          <w:p w14:paraId="763FAAB5"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A</w:t>
            </w:r>
          </w:p>
        </w:tc>
        <w:tc>
          <w:tcPr>
            <w:tcW w:w="978" w:type="dxa"/>
            <w:hideMark/>
          </w:tcPr>
          <w:p w14:paraId="0384D12D"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r>
      <w:tr w:rsidR="00556B8D" w:rsidRPr="00556B8D" w14:paraId="14057281" w14:textId="77777777" w:rsidTr="00556B8D">
        <w:trPr>
          <w:trHeight w:val="43"/>
        </w:trPr>
        <w:tc>
          <w:tcPr>
            <w:tcW w:w="1391" w:type="dxa"/>
            <w:hideMark/>
          </w:tcPr>
          <w:p w14:paraId="152D0F9A"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Hardware</w:t>
            </w:r>
            <w:r>
              <w:rPr>
                <w:rFonts w:ascii="Arial" w:hAnsi="Arial" w:cs="Arial"/>
                <w:sz w:val="18"/>
                <w:szCs w:val="18"/>
              </w:rPr>
              <w:t>/</w:t>
            </w:r>
            <w:r w:rsidRPr="00556B8D">
              <w:rPr>
                <w:rFonts w:ascii="Arial" w:hAnsi="Arial" w:cs="Arial"/>
                <w:sz w:val="18"/>
                <w:szCs w:val="18"/>
              </w:rPr>
              <w:t>software testing</w:t>
            </w:r>
          </w:p>
        </w:tc>
        <w:tc>
          <w:tcPr>
            <w:tcW w:w="1117" w:type="dxa"/>
            <w:hideMark/>
          </w:tcPr>
          <w:p w14:paraId="7CBC49DA"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C</w:t>
            </w:r>
          </w:p>
        </w:tc>
        <w:tc>
          <w:tcPr>
            <w:tcW w:w="1395" w:type="dxa"/>
            <w:hideMark/>
          </w:tcPr>
          <w:p w14:paraId="5E6A3843"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R</w:t>
            </w:r>
          </w:p>
        </w:tc>
        <w:tc>
          <w:tcPr>
            <w:tcW w:w="1117" w:type="dxa"/>
            <w:hideMark/>
          </w:tcPr>
          <w:p w14:paraId="2BFD5D26"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698" w:type="dxa"/>
            <w:hideMark/>
          </w:tcPr>
          <w:p w14:paraId="31EB497B"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396" w:type="dxa"/>
            <w:hideMark/>
          </w:tcPr>
          <w:p w14:paraId="2A6EC2E2"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C</w:t>
            </w:r>
          </w:p>
        </w:tc>
        <w:tc>
          <w:tcPr>
            <w:tcW w:w="1255" w:type="dxa"/>
            <w:hideMark/>
          </w:tcPr>
          <w:p w14:paraId="763731B6"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A</w:t>
            </w:r>
          </w:p>
        </w:tc>
        <w:tc>
          <w:tcPr>
            <w:tcW w:w="978" w:type="dxa"/>
            <w:hideMark/>
          </w:tcPr>
          <w:p w14:paraId="3E7B1C9C"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r>
      <w:tr w:rsidR="00556B8D" w:rsidRPr="00556B8D" w14:paraId="015119F7" w14:textId="77777777" w:rsidTr="00556B8D">
        <w:trPr>
          <w:trHeight w:val="1120"/>
        </w:trPr>
        <w:tc>
          <w:tcPr>
            <w:tcW w:w="1391" w:type="dxa"/>
            <w:hideMark/>
          </w:tcPr>
          <w:p w14:paraId="30066C92"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Developing branding</w:t>
            </w:r>
            <w:r>
              <w:rPr>
                <w:rFonts w:ascii="Arial" w:hAnsi="Arial" w:cs="Arial"/>
                <w:sz w:val="18"/>
                <w:szCs w:val="18"/>
              </w:rPr>
              <w:t xml:space="preserve">/ </w:t>
            </w:r>
            <w:r w:rsidRPr="00556B8D">
              <w:rPr>
                <w:rFonts w:ascii="Arial" w:hAnsi="Arial" w:cs="Arial"/>
                <w:sz w:val="18"/>
                <w:szCs w:val="18"/>
              </w:rPr>
              <w:t>launch campaign</w:t>
            </w:r>
          </w:p>
        </w:tc>
        <w:tc>
          <w:tcPr>
            <w:tcW w:w="1117" w:type="dxa"/>
            <w:hideMark/>
          </w:tcPr>
          <w:p w14:paraId="017FEF3D"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395" w:type="dxa"/>
            <w:hideMark/>
          </w:tcPr>
          <w:p w14:paraId="2409B49A"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117" w:type="dxa"/>
            <w:hideMark/>
          </w:tcPr>
          <w:p w14:paraId="23624FB1"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R</w:t>
            </w:r>
          </w:p>
        </w:tc>
        <w:tc>
          <w:tcPr>
            <w:tcW w:w="698" w:type="dxa"/>
            <w:hideMark/>
          </w:tcPr>
          <w:p w14:paraId="0D97ECD1"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C</w:t>
            </w:r>
          </w:p>
        </w:tc>
        <w:tc>
          <w:tcPr>
            <w:tcW w:w="1396" w:type="dxa"/>
            <w:hideMark/>
          </w:tcPr>
          <w:p w14:paraId="1864CFE7"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C</w:t>
            </w:r>
          </w:p>
        </w:tc>
        <w:tc>
          <w:tcPr>
            <w:tcW w:w="1255" w:type="dxa"/>
            <w:hideMark/>
          </w:tcPr>
          <w:p w14:paraId="6E889510"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A</w:t>
            </w:r>
          </w:p>
        </w:tc>
        <w:tc>
          <w:tcPr>
            <w:tcW w:w="978" w:type="dxa"/>
            <w:hideMark/>
          </w:tcPr>
          <w:p w14:paraId="08CB7B98"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r>
      <w:tr w:rsidR="00556B8D" w:rsidRPr="00556B8D" w14:paraId="50A48ECB" w14:textId="77777777" w:rsidTr="00556B8D">
        <w:trPr>
          <w:trHeight w:val="1129"/>
        </w:trPr>
        <w:tc>
          <w:tcPr>
            <w:tcW w:w="1391" w:type="dxa"/>
            <w:hideMark/>
          </w:tcPr>
          <w:p w14:paraId="1F5DBE7F"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Sales forecasting</w:t>
            </w:r>
            <w:r>
              <w:rPr>
                <w:rFonts w:ascii="Arial" w:hAnsi="Arial" w:cs="Arial"/>
                <w:sz w:val="18"/>
                <w:szCs w:val="18"/>
              </w:rPr>
              <w:t xml:space="preserve"> /</w:t>
            </w:r>
            <w:r w:rsidRPr="00556B8D">
              <w:rPr>
                <w:rFonts w:ascii="Arial" w:hAnsi="Arial" w:cs="Arial"/>
                <w:sz w:val="18"/>
                <w:szCs w:val="18"/>
              </w:rPr>
              <w:t>distribution planning</w:t>
            </w:r>
          </w:p>
        </w:tc>
        <w:tc>
          <w:tcPr>
            <w:tcW w:w="1117" w:type="dxa"/>
            <w:hideMark/>
          </w:tcPr>
          <w:p w14:paraId="6A61D697"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395" w:type="dxa"/>
            <w:hideMark/>
          </w:tcPr>
          <w:p w14:paraId="46725CFF"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117" w:type="dxa"/>
            <w:hideMark/>
          </w:tcPr>
          <w:p w14:paraId="2C6687A4"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C</w:t>
            </w:r>
          </w:p>
        </w:tc>
        <w:tc>
          <w:tcPr>
            <w:tcW w:w="698" w:type="dxa"/>
            <w:hideMark/>
          </w:tcPr>
          <w:p w14:paraId="746E72B8"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R</w:t>
            </w:r>
          </w:p>
        </w:tc>
        <w:tc>
          <w:tcPr>
            <w:tcW w:w="1396" w:type="dxa"/>
            <w:hideMark/>
          </w:tcPr>
          <w:p w14:paraId="4C33FC5F"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255" w:type="dxa"/>
            <w:hideMark/>
          </w:tcPr>
          <w:p w14:paraId="0165A859"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A</w:t>
            </w:r>
          </w:p>
        </w:tc>
        <w:tc>
          <w:tcPr>
            <w:tcW w:w="978" w:type="dxa"/>
            <w:hideMark/>
          </w:tcPr>
          <w:p w14:paraId="33F81E06"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C</w:t>
            </w:r>
          </w:p>
        </w:tc>
      </w:tr>
      <w:tr w:rsidR="00556B8D" w:rsidRPr="00556B8D" w14:paraId="615C0572" w14:textId="77777777" w:rsidTr="00556B8D">
        <w:trPr>
          <w:trHeight w:val="875"/>
        </w:trPr>
        <w:tc>
          <w:tcPr>
            <w:tcW w:w="1391" w:type="dxa"/>
            <w:hideMark/>
          </w:tcPr>
          <w:p w14:paraId="5406D314"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 xml:space="preserve">Ensuring regulatory compliance </w:t>
            </w:r>
          </w:p>
        </w:tc>
        <w:tc>
          <w:tcPr>
            <w:tcW w:w="1117" w:type="dxa"/>
            <w:hideMark/>
          </w:tcPr>
          <w:p w14:paraId="24DC99CF"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395" w:type="dxa"/>
            <w:hideMark/>
          </w:tcPr>
          <w:p w14:paraId="3E05511F"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117" w:type="dxa"/>
            <w:hideMark/>
          </w:tcPr>
          <w:p w14:paraId="6D05F191"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698" w:type="dxa"/>
            <w:hideMark/>
          </w:tcPr>
          <w:p w14:paraId="181149AE"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396" w:type="dxa"/>
            <w:hideMark/>
          </w:tcPr>
          <w:p w14:paraId="6A445161"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R</w:t>
            </w:r>
          </w:p>
        </w:tc>
        <w:tc>
          <w:tcPr>
            <w:tcW w:w="1255" w:type="dxa"/>
            <w:hideMark/>
          </w:tcPr>
          <w:p w14:paraId="59F2E6C8"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A</w:t>
            </w:r>
          </w:p>
        </w:tc>
        <w:tc>
          <w:tcPr>
            <w:tcW w:w="978" w:type="dxa"/>
            <w:hideMark/>
          </w:tcPr>
          <w:p w14:paraId="568C59C0"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r>
      <w:tr w:rsidR="00556B8D" w:rsidRPr="00556B8D" w14:paraId="6B7C3151" w14:textId="77777777" w:rsidTr="00556B8D">
        <w:trPr>
          <w:trHeight w:val="622"/>
        </w:trPr>
        <w:tc>
          <w:tcPr>
            <w:tcW w:w="1391" w:type="dxa"/>
            <w:hideMark/>
          </w:tcPr>
          <w:p w14:paraId="2249D96E"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Retail launch coordination</w:t>
            </w:r>
          </w:p>
        </w:tc>
        <w:tc>
          <w:tcPr>
            <w:tcW w:w="1117" w:type="dxa"/>
            <w:hideMark/>
          </w:tcPr>
          <w:p w14:paraId="062723D6"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395" w:type="dxa"/>
            <w:hideMark/>
          </w:tcPr>
          <w:p w14:paraId="2696782C"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117" w:type="dxa"/>
            <w:hideMark/>
          </w:tcPr>
          <w:p w14:paraId="758D08FF"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C</w:t>
            </w:r>
          </w:p>
        </w:tc>
        <w:tc>
          <w:tcPr>
            <w:tcW w:w="698" w:type="dxa"/>
            <w:hideMark/>
          </w:tcPr>
          <w:p w14:paraId="3E9F16BF"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R</w:t>
            </w:r>
          </w:p>
        </w:tc>
        <w:tc>
          <w:tcPr>
            <w:tcW w:w="1396" w:type="dxa"/>
            <w:hideMark/>
          </w:tcPr>
          <w:p w14:paraId="78387DD1"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I</w:t>
            </w:r>
          </w:p>
        </w:tc>
        <w:tc>
          <w:tcPr>
            <w:tcW w:w="1255" w:type="dxa"/>
            <w:hideMark/>
          </w:tcPr>
          <w:p w14:paraId="2A3FB25D"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A</w:t>
            </w:r>
          </w:p>
        </w:tc>
        <w:tc>
          <w:tcPr>
            <w:tcW w:w="978" w:type="dxa"/>
            <w:hideMark/>
          </w:tcPr>
          <w:p w14:paraId="68AA61F0" w14:textId="77777777" w:rsidR="00556B8D" w:rsidRPr="00556B8D" w:rsidRDefault="00556B8D" w:rsidP="00556B8D">
            <w:pPr>
              <w:spacing w:after="160" w:line="360" w:lineRule="auto"/>
              <w:rPr>
                <w:rFonts w:ascii="Arial" w:hAnsi="Arial" w:cs="Arial"/>
                <w:sz w:val="18"/>
                <w:szCs w:val="18"/>
              </w:rPr>
            </w:pPr>
            <w:r w:rsidRPr="00556B8D">
              <w:rPr>
                <w:rFonts w:ascii="Arial" w:hAnsi="Arial" w:cs="Arial"/>
                <w:sz w:val="18"/>
                <w:szCs w:val="18"/>
              </w:rPr>
              <w:t>C</w:t>
            </w:r>
          </w:p>
        </w:tc>
      </w:tr>
    </w:tbl>
    <w:p w14:paraId="173F439C" w14:textId="73F0B1C2"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 xml:space="preserve">Overall, using frameworks such as the stakeholder engagement plan, communication plan and RACI matrix helps support better organisation and clearer communication throughout the project. </w:t>
      </w:r>
    </w:p>
    <w:p w14:paraId="50BD12CF" w14:textId="77777777" w:rsidR="00556B8D" w:rsidRDefault="00556B8D" w:rsidP="00556B8D">
      <w:pPr>
        <w:pStyle w:val="Heading1"/>
      </w:pPr>
      <w:r>
        <w:lastRenderedPageBreak/>
        <w:t>Explanation of Stakeholder Engagement</w:t>
      </w:r>
    </w:p>
    <w:p w14:paraId="4833ED0A" w14:textId="30411421"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The role of the project manager in launching Fitbit’s new wearable device involves making sure that all the different stakeholders are engaged in a clear and organised way throughout the project. Because each stakeholder group has different priorities and levels of involvement, the engagement process needs to be planned carefully to keep everyone aligned, reduce misunderstandings and avoid delays. One of the first steps in this process is establishing regular communication channels so that internal teams, such as product development, engineering and marketing, know what stage the project is at and what decisions need to be made. Communication is one of the key parts of the 4C’s model, which focuses on communication, coordination, cooperation and collaboration. According to the PMBOK Guide (PMI, 2021), communication problems are one of the most common reasons projects experience delays, so setting up clear routines early on is essential.</w:t>
      </w:r>
    </w:p>
    <w:p w14:paraId="0B197D1D"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For internal stakeholders, communication may include weekly meetings, progress updates through platforms such as Teams or Slack, and shared documents that outline deadlines and responsibilities. This helps everyone stay on track and ensures that technical teams can raise concerns early if something is not working as expected. It is also important for the project manager to create an environment where different teams feel comfortable reporting issues without fear of blame, as this encourages stronger cooperation. Cooperation is another part of the 4C’s model and refers to how teams work together towards a common goal. For example, the engineering and product development teams need to cooperate closely when testing sensors or making design changes, because their tasks directly affect one another. Building good relationships between these teams can help prevent conflict and improve problem-solving.</w:t>
      </w:r>
    </w:p>
    <w:p w14:paraId="6BE18B43"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Coordinating tasks is also a big responsibility for the project manager. Coordination involves organising activities in a way that avoids overlap or confusion, especially when tasks depend on one another. For instance, engineers may not be able to test certain features until the product development team finishes their part, and marketing cannot begin designing campaigns until the technical features are confirmed. Using tools such as the RACI matrix can help with coordination by making it clear who is responsible, accountable, consulted or informed for each task. The project manager should regularly check that tasks are progressing as planned and that different departments have what they need to complete their work on time. Good coordination reduces the risk of delays and makes it easier to spot potential problems before they escalate.</w:t>
      </w:r>
    </w:p>
    <w:p w14:paraId="46A87F5A"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 xml:space="preserve">Collaboration is the final part of the 4C’s model and is especially important during the later stages of the project when different stakeholders need to bring their areas of expertise </w:t>
      </w:r>
      <w:r w:rsidRPr="00556B8D">
        <w:rPr>
          <w:rFonts w:ascii="Arial" w:hAnsi="Arial" w:cs="Arial"/>
          <w:sz w:val="22"/>
          <w:szCs w:val="22"/>
        </w:rPr>
        <w:lastRenderedPageBreak/>
        <w:t>together. Collaboration goes beyond basic cooperation because it involves actively working together to develop solutions or finalise decisions. For example, when preparing for the product launch, the marketing team may need input from engineers to make sure technical claims are accurate, while the legal team may need to work with product development to confirm that the device meets regulatory requirements (ICO, 2023). Encouraging collaboration can help create a more cohesive final product and reduce the risk of mistakes that could affect the launch.</w:t>
      </w:r>
    </w:p>
    <w:p w14:paraId="492A7CD5"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Engaging external stakeholders requires a slightly different approach. Customers, for instance, can be involved through surveys, user testing sessions and feedback forms. Their input is valuable because it helps shape product features and ensures the final device meets real user needs (Topol, 2019). Retail partners such as Argos and Amazon also need clear communication about timelines, stock levels and promotional materials so they can prepare for the launch. Regulators like the ICO and MHRA must be kept informed about the device’s compliance with data protection rules and medical device standards, which may involve submitting documentation, test results and updates. If these stakeholders are not engaged properly, the project may face delays, legal issues or reduced customer trust.</w:t>
      </w:r>
    </w:p>
    <w:p w14:paraId="7E03C8BF"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Conflict can occur during any project, especially when people have different priorities or when deadlines become tight. The project manager needs to identify conflicts early and address them before they affect progress. The 4C’s framework supports this by encouraging open communication and structured collaboration. For example, if marketing wants to advertise a feature that engineering believes is not ready, the project manager can bring both teams together to discuss the issue, look at the data and agree on a realistic solution. Keeping communication open and respectful can prevent small disagreements from becoming major barriers.</w:t>
      </w:r>
    </w:p>
    <w:p w14:paraId="723951A0"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Overall, engaging stakeholders effectively requires ongoing communication, clear coordination, active cooperation and meaningful collaboration. By following the 4C’s model and using tools such as communication plans and the RACI matrix, the project manager can help ensure that all stakeholders are aligned and that the launch of Fitbit’s new wearable device runs as smoothly as possible.</w:t>
      </w:r>
    </w:p>
    <w:p w14:paraId="7543C94F" w14:textId="77777777" w:rsidR="00556B8D" w:rsidRDefault="00556B8D" w:rsidP="00556B8D">
      <w:pPr>
        <w:pStyle w:val="Heading1"/>
      </w:pPr>
      <w:r w:rsidRPr="00556B8D">
        <w:t>Evaluation of the Impact of Stakeholder Engagement</w:t>
      </w:r>
    </w:p>
    <w:p w14:paraId="04342A76" w14:textId="3F3F2A3A"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 xml:space="preserve">Effective stakeholder engagement can have a major impact on the performance of Fitbit’s new wearable device project, as it influences the quality of decision-making, the speed of development and the overall success of the product once it reaches the market. When stakeholders are engaged properly throughout the project, they are more likely to contribute </w:t>
      </w:r>
      <w:r w:rsidRPr="00556B8D">
        <w:rPr>
          <w:rFonts w:ascii="Arial" w:hAnsi="Arial" w:cs="Arial"/>
          <w:sz w:val="22"/>
          <w:szCs w:val="22"/>
        </w:rPr>
        <w:lastRenderedPageBreak/>
        <w:t>positively, share useful information and support the project’s goals. On the other hand, poor engagement can lead to misunderstandings, delays, conflict and even problems with regulatory approval. For these reasons, stakeholder engagement is closely linked to how well the business performs during the launch of a new product.</w:t>
      </w:r>
    </w:p>
    <w:p w14:paraId="604D97AE"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One of the biggest impacts of good stakeholder engagement is improved communication across different departments. When teams such as engineering, product development and marketing stay informed about each other’s progress, it becomes easier to make decisions and adapt to challenges. According to the PMBOK Guide (PMI, 2021), strong communication reduces project risks and helps prevent issues from escalating. For Fitbit, this can mean detecting technical faults earlier, adjusting product features before manufacturing begins or giving the marketing team clearer information about what the device can and cannot do. This leads to a smoother product development process and can reduce overall costs.</w:t>
      </w:r>
    </w:p>
    <w:p w14:paraId="1BC0CB80"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Another impact of stakeholder engagement is better coordination and cooperation across the project. When stakeholders understand their responsibilities and how their work connects to others, the project becomes more efficient. The RACI matrix, for example, helps avoid confusion by clearly showing who is responsible or accountable for each task. Better coordination can also reduce duplication of work or delays caused by teams waiting for information. In a competitive market like wearable technology, speed and efficiency can give Fitbit an advantage, especially when trying to release new features or stay ahead of competitors like Apple or Garmin.</w:t>
      </w:r>
    </w:p>
    <w:p w14:paraId="4E4BA672"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Stakeholder engagement also supports innovation and product improvement. When stakeholders such as customers, healthcare professionals or retail partners are involved early in the process, they can provide feedback that leads to better design decisions. Customers may highlight features they find confusing or unnecessary, while healthcare professionals may offer insights into how the device could be more clinically useful (Topol, 2019). This feedback can help Fitbit develop a product that meets real user needs more effectively, which can lead to stronger sales and higher customer satisfaction.</w:t>
      </w:r>
    </w:p>
    <w:p w14:paraId="473D3F0D"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External stakeholders, such as regulators, also have a strong impact on business performance. Engaging with regulators early helps ensure that the device meets data protection and medical device requirements, reducing the risk of legal issues later on (ICO, 2023). If Fitbit fails to engage regulators properly, the product launch could face delays, which would affect revenue and allow competitors to dominate the market. By keeping regulators informed and responding to their guidance, Fitbit increases its chances of achieving compliance smoothly.</w:t>
      </w:r>
    </w:p>
    <w:p w14:paraId="13A8B52F"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lastRenderedPageBreak/>
        <w:t>Good stakeholder engagement also improves business reputation. When stakeholders feel respected and included, they are more likely to speak positively about the company. Retail partners may be more willing to promote the product, healthcare organisations may be more open to collaboration and customers may trust the brand more. In the wearable technology industry, where privacy concerns are common, trust can strongly influence buying decisions. Engaging stakeholders in transparent discussions about data security can help reduce customer worries and improve the company’s public image.</w:t>
      </w:r>
    </w:p>
    <w:p w14:paraId="4A3B8F49"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However, it is also important to evaluate what happens when engagement is weak or inconsistent. Poor stakeholder engagement can lead to misunderstandings about project goals, unclear expectations and conflict between teams. For example, if engineering and marketing teams receive different information about product features, this can lead to inaccurate advertising or unrealistic promises. Similarly, if suppliers are not kept informed about timeline changes, Fitbit may experience delays in receiving components, which can push back the launch date. These issues show that engagement is not just helpful — it is essential for maintaining good business performance.</w:t>
      </w:r>
    </w:p>
    <w:p w14:paraId="69F4BABC"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Based on this evaluation, several recommendations can help improve stakeholder engagement in future projects. First, Fitbit could introduce more structured communication tools, such as shared dashboards that give real-time updates on project progress. This would help different teams stay aligned without relying solely on meetings. Second, the company could hold more regular cross-department workshops to encourage better cooperation between teams. These workshops could focus on problem-solving or reviewing customer feedback to build a stronger sense of shared purpose.</w:t>
      </w:r>
    </w:p>
    <w:p w14:paraId="6CACA89E"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Another recommendation is to strengthen relationships with external stakeholders. For example, involving healthcare professionals more actively during the design stage could improve the clinical relevance of new features. Fitbit could also run pilot trials with NHS partners to test device accuracy in real-world settings. For customers, the company could use more detailed user-testing programmes and offer incentives for participating in feedback sessions. Improving regulatory engagement by submitting documentation early and maintaining frequent updates can also prevent delays.</w:t>
      </w:r>
    </w:p>
    <w:p w14:paraId="77CF2FE5" w14:textId="77777777" w:rsidR="00556B8D" w:rsidRDefault="00556B8D" w:rsidP="00556B8D">
      <w:pPr>
        <w:spacing w:line="360" w:lineRule="auto"/>
        <w:jc w:val="both"/>
        <w:rPr>
          <w:rFonts w:ascii="Arial" w:hAnsi="Arial" w:cs="Arial"/>
          <w:sz w:val="22"/>
          <w:szCs w:val="22"/>
        </w:rPr>
      </w:pPr>
      <w:r w:rsidRPr="00556B8D">
        <w:rPr>
          <w:rFonts w:ascii="Arial" w:hAnsi="Arial" w:cs="Arial"/>
          <w:sz w:val="22"/>
          <w:szCs w:val="22"/>
        </w:rPr>
        <w:t>Overall, stakeholder engagement has a major influence on Fitbit’s project performance and long-term success. By continuing to improve communication, coordination and collaboration, Fitbit can increase efficiency, reduce risk and create a product that meets the needs of both customers and wider healthcare partners.</w:t>
      </w:r>
    </w:p>
    <w:p w14:paraId="15B7B639" w14:textId="77777777" w:rsidR="00556B8D" w:rsidRDefault="00556B8D" w:rsidP="00556B8D">
      <w:pPr>
        <w:spacing w:line="360" w:lineRule="auto"/>
        <w:jc w:val="both"/>
        <w:rPr>
          <w:rFonts w:ascii="Arial" w:hAnsi="Arial" w:cs="Arial"/>
          <w:sz w:val="22"/>
          <w:szCs w:val="22"/>
        </w:rPr>
      </w:pPr>
    </w:p>
    <w:p w14:paraId="1C9D7E0E" w14:textId="626D49DE" w:rsidR="00556B8D" w:rsidRDefault="00556B8D" w:rsidP="00556B8D">
      <w:pPr>
        <w:pStyle w:val="Heading1"/>
      </w:pPr>
      <w:r>
        <w:lastRenderedPageBreak/>
        <w:t>Conclusion</w:t>
      </w:r>
    </w:p>
    <w:p w14:paraId="35B47604" w14:textId="5589A576"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In conclusion, the launch of Fitbit’s new wearable device depends heavily on effective stakeholder engagement throughout the entire project. Each stakeholder group, whether internal or external, plays a different but important role in ensuring that the device is designed, developed and delivered successfully. The analysis of Fitbit’s organisational context, including its strengths and weaknesses, shows that while the company has a strong reputation and advanced technological capabilities, it still faces challenges such as competition and regulatory requirements. This makes stakeholder engagement even more important, as it helps the project manager reduce risks and maintain a steady development process.</w:t>
      </w:r>
    </w:p>
    <w:p w14:paraId="6720526A"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The use of stakeholder frameworks, such as engagement plans, communication plans and the RACI matrix, helps create structure and clarity in how different groups are involved. These tools support better decision-making, improve teamwork and make it easier to coordinate tasks across different departments. The 4C’s model further emphasises the importance of communication, coordination, cooperation and collaboration, which are essential for managing conflict and keeping all stakeholders aligned with the project goals. By applying these models in a practical way, the project manager can encourage stronger relationships, reduce misunderstandings and support a smoother workflow.</w:t>
      </w:r>
    </w:p>
    <w:p w14:paraId="5E0699FA"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Effective stakeholder engagement also has a positive impact on the overall performance of the business. It helps Fitbit produce a device that better meets user needs, strengthens relationships with partners and regulators, and improves the chances of a successful market launch. At the same time, evaluating the potential risks of poor engagement highlights the importance of maintaining clear communication and involving stakeholders at the right stages.</w:t>
      </w:r>
    </w:p>
    <w:p w14:paraId="3E4DF41F" w14:textId="77777777"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t>Overall, the project demonstrates that stakeholder engagement is not just an additional task but a central part of successful project management. By continuing to improve engagement processes, Fitbit can gain long-term benefits and increase its competitiveness in the fast-growing wearable technology market.</w:t>
      </w:r>
    </w:p>
    <w:p w14:paraId="53074632" w14:textId="77777777" w:rsidR="00556B8D" w:rsidRPr="00556B8D" w:rsidRDefault="00556B8D" w:rsidP="00556B8D">
      <w:pPr>
        <w:spacing w:line="360" w:lineRule="auto"/>
        <w:jc w:val="both"/>
        <w:rPr>
          <w:rFonts w:ascii="Arial" w:hAnsi="Arial" w:cs="Arial"/>
          <w:sz w:val="22"/>
          <w:szCs w:val="22"/>
        </w:rPr>
      </w:pPr>
    </w:p>
    <w:p w14:paraId="3F3B4DAA" w14:textId="77777777" w:rsidR="00556B8D" w:rsidRPr="00556B8D" w:rsidRDefault="00556B8D" w:rsidP="00556B8D">
      <w:pPr>
        <w:spacing w:line="360" w:lineRule="auto"/>
        <w:jc w:val="both"/>
        <w:rPr>
          <w:rFonts w:ascii="Arial" w:hAnsi="Arial" w:cs="Arial"/>
          <w:sz w:val="22"/>
          <w:szCs w:val="22"/>
        </w:rPr>
      </w:pPr>
    </w:p>
    <w:p w14:paraId="0AAA65A9" w14:textId="77777777" w:rsidR="00556B8D" w:rsidRPr="00556B8D" w:rsidRDefault="00556B8D" w:rsidP="00556B8D">
      <w:pPr>
        <w:spacing w:line="360" w:lineRule="auto"/>
        <w:jc w:val="both"/>
        <w:rPr>
          <w:rFonts w:ascii="Arial" w:hAnsi="Arial" w:cs="Arial"/>
          <w:sz w:val="22"/>
          <w:szCs w:val="22"/>
        </w:rPr>
      </w:pPr>
    </w:p>
    <w:p w14:paraId="24849474" w14:textId="77777777" w:rsidR="00556B8D" w:rsidRPr="00556B8D" w:rsidRDefault="00556B8D" w:rsidP="00556B8D">
      <w:pPr>
        <w:spacing w:line="360" w:lineRule="auto"/>
        <w:jc w:val="both"/>
        <w:rPr>
          <w:rFonts w:ascii="Arial" w:hAnsi="Arial" w:cs="Arial"/>
          <w:sz w:val="22"/>
          <w:szCs w:val="22"/>
        </w:rPr>
      </w:pPr>
    </w:p>
    <w:p w14:paraId="6749E006" w14:textId="77777777" w:rsidR="00556B8D" w:rsidRPr="00556B8D" w:rsidRDefault="00556B8D" w:rsidP="00556B8D">
      <w:pPr>
        <w:spacing w:line="360" w:lineRule="auto"/>
        <w:jc w:val="both"/>
        <w:rPr>
          <w:rFonts w:ascii="Arial" w:hAnsi="Arial" w:cs="Arial"/>
          <w:sz w:val="22"/>
          <w:szCs w:val="22"/>
        </w:rPr>
      </w:pPr>
    </w:p>
    <w:p w14:paraId="06EA90C8" w14:textId="77777777" w:rsidR="007D0DAE" w:rsidRDefault="007D0DAE" w:rsidP="00556B8D">
      <w:pPr>
        <w:spacing w:line="360" w:lineRule="auto"/>
        <w:jc w:val="both"/>
        <w:rPr>
          <w:rFonts w:ascii="Arial" w:hAnsi="Arial" w:cs="Arial"/>
          <w:sz w:val="22"/>
          <w:szCs w:val="22"/>
        </w:rPr>
      </w:pPr>
    </w:p>
    <w:p w14:paraId="323001A9" w14:textId="3247C8AE" w:rsidR="00556B8D" w:rsidRPr="00556B8D" w:rsidRDefault="00556B8D" w:rsidP="00556B8D">
      <w:pPr>
        <w:spacing w:line="360" w:lineRule="auto"/>
        <w:jc w:val="both"/>
        <w:rPr>
          <w:rFonts w:ascii="Arial" w:hAnsi="Arial" w:cs="Arial"/>
          <w:sz w:val="22"/>
          <w:szCs w:val="22"/>
        </w:rPr>
      </w:pPr>
      <w:r w:rsidRPr="00556B8D">
        <w:rPr>
          <w:rFonts w:ascii="Arial" w:hAnsi="Arial" w:cs="Arial"/>
          <w:sz w:val="22"/>
          <w:szCs w:val="22"/>
        </w:rPr>
        <w:lastRenderedPageBreak/>
        <w:t>List of References</w:t>
      </w:r>
    </w:p>
    <w:p w14:paraId="2D41077E" w14:textId="083ECC1A"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Fitbit (2023) </w:t>
      </w:r>
      <w:r w:rsidRPr="00556B8D">
        <w:rPr>
          <w:rFonts w:ascii="Arial" w:hAnsi="Arial" w:cs="Arial"/>
          <w:i/>
          <w:iCs/>
          <w:sz w:val="22"/>
          <w:szCs w:val="22"/>
        </w:rPr>
        <w:t>Products and services.</w:t>
      </w:r>
      <w:r w:rsidRPr="00556B8D">
        <w:rPr>
          <w:rFonts w:ascii="Arial" w:hAnsi="Arial" w:cs="Arial"/>
          <w:sz w:val="22"/>
          <w:szCs w:val="22"/>
        </w:rPr>
        <w:t xml:space="preserve"> Available at: https://www.fitbit.com/global/uk (Accessed: 1st December 2025).</w:t>
      </w:r>
    </w:p>
    <w:p w14:paraId="32C93EAC" w14:textId="5A201409"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Fitbit (2024) </w:t>
      </w:r>
      <w:r w:rsidRPr="00556B8D">
        <w:rPr>
          <w:rFonts w:ascii="Arial" w:hAnsi="Arial" w:cs="Arial"/>
          <w:i/>
          <w:iCs/>
          <w:sz w:val="22"/>
          <w:szCs w:val="22"/>
        </w:rPr>
        <w:t>About Fitbit.</w:t>
      </w:r>
      <w:r w:rsidRPr="00556B8D">
        <w:rPr>
          <w:rFonts w:ascii="Arial" w:hAnsi="Arial" w:cs="Arial"/>
          <w:sz w:val="22"/>
          <w:szCs w:val="22"/>
        </w:rPr>
        <w:t xml:space="preserve"> Available at: </w:t>
      </w:r>
      <w:hyperlink r:id="rId6" w:tgtFrame="_new" w:history="1">
        <w:r w:rsidRPr="00556B8D">
          <w:rPr>
            <w:rStyle w:val="Hyperlink"/>
            <w:rFonts w:ascii="Arial" w:hAnsi="Arial" w:cs="Arial"/>
            <w:sz w:val="22"/>
            <w:szCs w:val="22"/>
          </w:rPr>
          <w:t>https://www.fitbit.com</w:t>
        </w:r>
      </w:hyperlink>
      <w:r w:rsidRPr="00556B8D">
        <w:rPr>
          <w:rFonts w:ascii="Arial" w:hAnsi="Arial" w:cs="Arial"/>
          <w:sz w:val="22"/>
          <w:szCs w:val="22"/>
        </w:rPr>
        <w:t xml:space="preserve"> (Accessed: 1</w:t>
      </w:r>
      <w:r w:rsidRPr="00556B8D">
        <w:rPr>
          <w:rFonts w:ascii="Arial" w:hAnsi="Arial" w:cs="Arial"/>
          <w:sz w:val="22"/>
          <w:szCs w:val="22"/>
          <w:vertAlign w:val="superscript"/>
        </w:rPr>
        <w:t>st</w:t>
      </w:r>
      <w:r w:rsidRPr="00556B8D">
        <w:rPr>
          <w:rFonts w:ascii="Arial" w:hAnsi="Arial" w:cs="Arial"/>
          <w:sz w:val="22"/>
          <w:szCs w:val="22"/>
        </w:rPr>
        <w:t xml:space="preserve"> December 2025).</w:t>
      </w:r>
    </w:p>
    <w:p w14:paraId="6D76146A" w14:textId="77D87F63"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Google (2021) </w:t>
      </w:r>
      <w:r w:rsidRPr="00556B8D">
        <w:rPr>
          <w:rFonts w:ascii="Arial" w:hAnsi="Arial" w:cs="Arial"/>
          <w:i/>
          <w:iCs/>
          <w:sz w:val="22"/>
          <w:szCs w:val="22"/>
        </w:rPr>
        <w:t>Google completes acquisition of Fitbit.</w:t>
      </w:r>
      <w:r w:rsidRPr="00556B8D">
        <w:rPr>
          <w:rFonts w:ascii="Arial" w:hAnsi="Arial" w:cs="Arial"/>
          <w:sz w:val="22"/>
          <w:szCs w:val="22"/>
        </w:rPr>
        <w:t xml:space="preserve"> Available at: </w:t>
      </w:r>
      <w:hyperlink r:id="rId7" w:tgtFrame="_new" w:history="1">
        <w:r w:rsidRPr="00556B8D">
          <w:rPr>
            <w:rStyle w:val="Hyperlink"/>
            <w:rFonts w:ascii="Arial" w:hAnsi="Arial" w:cs="Arial"/>
            <w:sz w:val="22"/>
            <w:szCs w:val="22"/>
          </w:rPr>
          <w:t>https://blog.google</w:t>
        </w:r>
      </w:hyperlink>
      <w:r w:rsidRPr="00556B8D">
        <w:rPr>
          <w:rFonts w:ascii="Arial" w:hAnsi="Arial" w:cs="Arial"/>
          <w:sz w:val="22"/>
          <w:szCs w:val="22"/>
        </w:rPr>
        <w:t xml:space="preserve"> (Accessed: 1</w:t>
      </w:r>
      <w:r w:rsidRPr="00556B8D">
        <w:rPr>
          <w:rFonts w:ascii="Arial" w:hAnsi="Arial" w:cs="Arial"/>
          <w:sz w:val="22"/>
          <w:szCs w:val="22"/>
          <w:vertAlign w:val="superscript"/>
        </w:rPr>
        <w:t>st</w:t>
      </w:r>
      <w:r w:rsidRPr="00556B8D">
        <w:rPr>
          <w:rFonts w:ascii="Arial" w:hAnsi="Arial" w:cs="Arial"/>
          <w:sz w:val="22"/>
          <w:szCs w:val="22"/>
        </w:rPr>
        <w:t xml:space="preserve"> December 2025).</w:t>
      </w:r>
    </w:p>
    <w:p w14:paraId="65FA0EBB" w14:textId="2D6FD668"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Statista (2024) </w:t>
      </w:r>
      <w:r w:rsidRPr="00556B8D">
        <w:rPr>
          <w:rFonts w:ascii="Arial" w:hAnsi="Arial" w:cs="Arial"/>
          <w:i/>
          <w:iCs/>
          <w:sz w:val="22"/>
          <w:szCs w:val="22"/>
        </w:rPr>
        <w:t>Wearable technology market share in the UK.</w:t>
      </w:r>
      <w:r w:rsidRPr="00556B8D">
        <w:rPr>
          <w:rFonts w:ascii="Arial" w:hAnsi="Arial" w:cs="Arial"/>
          <w:sz w:val="22"/>
          <w:szCs w:val="22"/>
        </w:rPr>
        <w:t xml:space="preserve"> Available at: </w:t>
      </w:r>
      <w:hyperlink r:id="rId8" w:tgtFrame="_new" w:history="1">
        <w:r w:rsidRPr="00556B8D">
          <w:rPr>
            <w:rStyle w:val="Hyperlink"/>
            <w:rFonts w:ascii="Arial" w:hAnsi="Arial" w:cs="Arial"/>
            <w:sz w:val="22"/>
            <w:szCs w:val="22"/>
          </w:rPr>
          <w:t>https://www.statista.com</w:t>
        </w:r>
      </w:hyperlink>
      <w:r w:rsidRPr="00556B8D">
        <w:rPr>
          <w:rFonts w:ascii="Arial" w:hAnsi="Arial" w:cs="Arial"/>
          <w:sz w:val="22"/>
          <w:szCs w:val="22"/>
        </w:rPr>
        <w:t xml:space="preserve"> (Accessed: 1</w:t>
      </w:r>
      <w:r w:rsidRPr="00556B8D">
        <w:rPr>
          <w:rFonts w:ascii="Arial" w:hAnsi="Arial" w:cs="Arial"/>
          <w:sz w:val="22"/>
          <w:szCs w:val="22"/>
          <w:vertAlign w:val="superscript"/>
        </w:rPr>
        <w:t>st</w:t>
      </w:r>
      <w:r w:rsidRPr="00556B8D">
        <w:rPr>
          <w:rFonts w:ascii="Arial" w:hAnsi="Arial" w:cs="Arial"/>
          <w:sz w:val="22"/>
          <w:szCs w:val="22"/>
        </w:rPr>
        <w:t xml:space="preserve"> December 2025).</w:t>
      </w:r>
    </w:p>
    <w:p w14:paraId="45140F40" w14:textId="77777777"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Mintel (2023) </w:t>
      </w:r>
      <w:r w:rsidRPr="00556B8D">
        <w:rPr>
          <w:rFonts w:ascii="Arial" w:hAnsi="Arial" w:cs="Arial"/>
          <w:i/>
          <w:iCs/>
          <w:sz w:val="22"/>
          <w:szCs w:val="22"/>
        </w:rPr>
        <w:t>Wearable Technology – UK Market Report.</w:t>
      </w:r>
      <w:r w:rsidRPr="00556B8D">
        <w:rPr>
          <w:rFonts w:ascii="Arial" w:hAnsi="Arial" w:cs="Arial"/>
          <w:sz w:val="22"/>
          <w:szCs w:val="22"/>
        </w:rPr>
        <w:t xml:space="preserve"> Mintel Group Ltd.</w:t>
      </w:r>
    </w:p>
    <w:p w14:paraId="06154EC8" w14:textId="03C643BC"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ICO (2023) </w:t>
      </w:r>
      <w:r w:rsidRPr="00556B8D">
        <w:rPr>
          <w:rFonts w:ascii="Arial" w:hAnsi="Arial" w:cs="Arial"/>
          <w:i/>
          <w:iCs/>
          <w:sz w:val="22"/>
          <w:szCs w:val="22"/>
        </w:rPr>
        <w:t>Data protection and medical device regulation guidance.</w:t>
      </w:r>
      <w:r w:rsidRPr="00556B8D">
        <w:rPr>
          <w:rFonts w:ascii="Arial" w:hAnsi="Arial" w:cs="Arial"/>
          <w:sz w:val="22"/>
          <w:szCs w:val="22"/>
        </w:rPr>
        <w:t xml:space="preserve"> Available at: </w:t>
      </w:r>
      <w:hyperlink r:id="rId9" w:tgtFrame="_new" w:history="1">
        <w:r w:rsidRPr="00556B8D">
          <w:rPr>
            <w:rStyle w:val="Hyperlink"/>
            <w:rFonts w:ascii="Arial" w:hAnsi="Arial" w:cs="Arial"/>
            <w:sz w:val="22"/>
            <w:szCs w:val="22"/>
          </w:rPr>
          <w:t>https://ico.org.uk</w:t>
        </w:r>
      </w:hyperlink>
      <w:r w:rsidRPr="00556B8D">
        <w:rPr>
          <w:rFonts w:ascii="Arial" w:hAnsi="Arial" w:cs="Arial"/>
          <w:sz w:val="22"/>
          <w:szCs w:val="22"/>
        </w:rPr>
        <w:t xml:space="preserve"> (Accessed: 1</w:t>
      </w:r>
      <w:r w:rsidRPr="00556B8D">
        <w:rPr>
          <w:rFonts w:ascii="Arial" w:hAnsi="Arial" w:cs="Arial"/>
          <w:sz w:val="22"/>
          <w:szCs w:val="22"/>
          <w:vertAlign w:val="superscript"/>
        </w:rPr>
        <w:t>st</w:t>
      </w:r>
      <w:r w:rsidRPr="00556B8D">
        <w:rPr>
          <w:rFonts w:ascii="Arial" w:hAnsi="Arial" w:cs="Arial"/>
          <w:sz w:val="22"/>
          <w:szCs w:val="22"/>
        </w:rPr>
        <w:t xml:space="preserve"> December 2025).</w:t>
      </w:r>
    </w:p>
    <w:p w14:paraId="04928B32" w14:textId="77777777"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Schnall, R. et al. (2016) </w:t>
      </w:r>
      <w:r w:rsidRPr="00556B8D">
        <w:rPr>
          <w:rFonts w:ascii="Arial" w:hAnsi="Arial" w:cs="Arial"/>
          <w:i/>
          <w:iCs/>
          <w:sz w:val="22"/>
          <w:szCs w:val="22"/>
        </w:rPr>
        <w:t>Wearing Digital: The Evolution of Wearable Health Technologies.</w:t>
      </w:r>
      <w:r w:rsidRPr="00556B8D">
        <w:rPr>
          <w:rFonts w:ascii="Arial" w:hAnsi="Arial" w:cs="Arial"/>
          <w:sz w:val="22"/>
          <w:szCs w:val="22"/>
        </w:rPr>
        <w:t xml:space="preserve"> Springer.</w:t>
      </w:r>
    </w:p>
    <w:p w14:paraId="6F8BBCEF" w14:textId="77777777"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Topol, E. (2019) </w:t>
      </w:r>
      <w:r w:rsidRPr="00556B8D">
        <w:rPr>
          <w:rFonts w:ascii="Arial" w:hAnsi="Arial" w:cs="Arial"/>
          <w:i/>
          <w:iCs/>
          <w:sz w:val="22"/>
          <w:szCs w:val="22"/>
        </w:rPr>
        <w:t>Deep Medicine: How Artificial Intelligence Can Make Healthcare Human Again.</w:t>
      </w:r>
      <w:r w:rsidRPr="00556B8D">
        <w:rPr>
          <w:rFonts w:ascii="Arial" w:hAnsi="Arial" w:cs="Arial"/>
          <w:sz w:val="22"/>
          <w:szCs w:val="22"/>
        </w:rPr>
        <w:t xml:space="preserve"> Basic Books.</w:t>
      </w:r>
    </w:p>
    <w:p w14:paraId="06687FCB" w14:textId="77777777"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Freeman, R. E. (1984) </w:t>
      </w:r>
      <w:r w:rsidRPr="00556B8D">
        <w:rPr>
          <w:rFonts w:ascii="Arial" w:hAnsi="Arial" w:cs="Arial"/>
          <w:i/>
          <w:iCs/>
          <w:sz w:val="22"/>
          <w:szCs w:val="22"/>
        </w:rPr>
        <w:t>Strategic Management: A Stakeholder Approach.</w:t>
      </w:r>
      <w:r w:rsidRPr="00556B8D">
        <w:rPr>
          <w:rFonts w:ascii="Arial" w:hAnsi="Arial" w:cs="Arial"/>
          <w:sz w:val="22"/>
          <w:szCs w:val="22"/>
        </w:rPr>
        <w:t xml:space="preserve"> Boston: Pitman.</w:t>
      </w:r>
    </w:p>
    <w:p w14:paraId="74C2AB21" w14:textId="77777777"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ICO (2023) </w:t>
      </w:r>
      <w:r w:rsidRPr="00556B8D">
        <w:rPr>
          <w:rFonts w:ascii="Arial" w:hAnsi="Arial" w:cs="Arial"/>
          <w:i/>
          <w:iCs/>
          <w:sz w:val="22"/>
          <w:szCs w:val="22"/>
        </w:rPr>
        <w:t>Data protection and medical device regulation guidance.</w:t>
      </w:r>
      <w:r w:rsidRPr="00556B8D">
        <w:rPr>
          <w:rFonts w:ascii="Arial" w:hAnsi="Arial" w:cs="Arial"/>
          <w:sz w:val="22"/>
          <w:szCs w:val="22"/>
        </w:rPr>
        <w:t xml:space="preserve"> Available at: </w:t>
      </w:r>
      <w:hyperlink r:id="rId10" w:tgtFrame="_new" w:history="1">
        <w:r w:rsidRPr="00556B8D">
          <w:rPr>
            <w:rStyle w:val="Hyperlink"/>
            <w:rFonts w:ascii="Arial" w:hAnsi="Arial" w:cs="Arial"/>
            <w:sz w:val="22"/>
            <w:szCs w:val="22"/>
          </w:rPr>
          <w:t>https://ico.org.uk</w:t>
        </w:r>
      </w:hyperlink>
      <w:r w:rsidRPr="00556B8D">
        <w:rPr>
          <w:rFonts w:ascii="Arial" w:hAnsi="Arial" w:cs="Arial"/>
          <w:sz w:val="22"/>
          <w:szCs w:val="22"/>
        </w:rPr>
        <w:t xml:space="preserve"> (Accessed: [insert date]).</w:t>
      </w:r>
    </w:p>
    <w:p w14:paraId="0625384F" w14:textId="77777777"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MHRA (2023) </w:t>
      </w:r>
      <w:r w:rsidRPr="00556B8D">
        <w:rPr>
          <w:rFonts w:ascii="Arial" w:hAnsi="Arial" w:cs="Arial"/>
          <w:i/>
          <w:iCs/>
          <w:sz w:val="22"/>
          <w:szCs w:val="22"/>
        </w:rPr>
        <w:t>Medical device regulations in the UK.</w:t>
      </w:r>
      <w:r w:rsidRPr="00556B8D">
        <w:rPr>
          <w:rFonts w:ascii="Arial" w:hAnsi="Arial" w:cs="Arial"/>
          <w:sz w:val="22"/>
          <w:szCs w:val="22"/>
        </w:rPr>
        <w:t xml:space="preserve"> Available at: </w:t>
      </w:r>
      <w:hyperlink r:id="rId11" w:tgtFrame="_new" w:history="1">
        <w:r w:rsidRPr="00556B8D">
          <w:rPr>
            <w:rStyle w:val="Hyperlink"/>
            <w:rFonts w:ascii="Arial" w:hAnsi="Arial" w:cs="Arial"/>
            <w:sz w:val="22"/>
            <w:szCs w:val="22"/>
          </w:rPr>
          <w:t>https://www.gov.uk/mhra</w:t>
        </w:r>
      </w:hyperlink>
      <w:r w:rsidRPr="00556B8D">
        <w:rPr>
          <w:rFonts w:ascii="Arial" w:hAnsi="Arial" w:cs="Arial"/>
          <w:sz w:val="22"/>
          <w:szCs w:val="22"/>
        </w:rPr>
        <w:t xml:space="preserve"> (Accessed: [insert date]).</w:t>
      </w:r>
    </w:p>
    <w:p w14:paraId="2081DE8C" w14:textId="62264CB9" w:rsid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Johnson, G., Whittington, R. and Scholes, K. (2020) </w:t>
      </w:r>
      <w:r w:rsidRPr="00556B8D">
        <w:rPr>
          <w:rFonts w:ascii="Arial" w:hAnsi="Arial" w:cs="Arial"/>
          <w:i/>
          <w:iCs/>
          <w:sz w:val="22"/>
          <w:szCs w:val="22"/>
        </w:rPr>
        <w:t>Exploring Strategy.</w:t>
      </w:r>
      <w:r w:rsidRPr="00556B8D">
        <w:rPr>
          <w:rFonts w:ascii="Arial" w:hAnsi="Arial" w:cs="Arial"/>
          <w:sz w:val="22"/>
          <w:szCs w:val="22"/>
        </w:rPr>
        <w:t xml:space="preserve"> 12th edn. Pearson.</w:t>
      </w:r>
    </w:p>
    <w:p w14:paraId="6B049ED7" w14:textId="4322C16C" w:rsidR="00556B8D" w:rsidRPr="00556B8D" w:rsidRDefault="00556B8D" w:rsidP="00556B8D">
      <w:pPr>
        <w:pStyle w:val="ListParagraph"/>
        <w:numPr>
          <w:ilvl w:val="0"/>
          <w:numId w:val="1"/>
        </w:numPr>
        <w:spacing w:line="360" w:lineRule="auto"/>
        <w:jc w:val="both"/>
        <w:rPr>
          <w:rFonts w:ascii="Arial" w:hAnsi="Arial" w:cs="Arial"/>
          <w:sz w:val="22"/>
          <w:szCs w:val="22"/>
        </w:rPr>
      </w:pPr>
      <w:r w:rsidRPr="00556B8D">
        <w:rPr>
          <w:rFonts w:ascii="Arial" w:hAnsi="Arial" w:cs="Arial"/>
          <w:sz w:val="22"/>
          <w:szCs w:val="22"/>
        </w:rPr>
        <w:t xml:space="preserve">PMI (2021) </w:t>
      </w:r>
      <w:r w:rsidRPr="00556B8D">
        <w:rPr>
          <w:rFonts w:ascii="Arial" w:hAnsi="Arial" w:cs="Arial"/>
          <w:i/>
          <w:iCs/>
          <w:sz w:val="22"/>
          <w:szCs w:val="22"/>
        </w:rPr>
        <w:t>A Guide to the Project Management Body of Knowledge (PMBOK Guide).</w:t>
      </w:r>
      <w:r w:rsidRPr="00556B8D">
        <w:rPr>
          <w:rFonts w:ascii="Arial" w:hAnsi="Arial" w:cs="Arial"/>
          <w:sz w:val="22"/>
          <w:szCs w:val="22"/>
        </w:rPr>
        <w:t xml:space="preserve"> 7th edn. Project Management Institute.</w:t>
      </w:r>
    </w:p>
    <w:sectPr w:rsidR="00556B8D" w:rsidRPr="00556B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0E0B53"/>
    <w:multiLevelType w:val="hybridMultilevel"/>
    <w:tmpl w:val="5CE8B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4917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74C"/>
    <w:rsid w:val="003D174C"/>
    <w:rsid w:val="00435BD5"/>
    <w:rsid w:val="00556B8D"/>
    <w:rsid w:val="007D0DAE"/>
    <w:rsid w:val="00BE1913"/>
    <w:rsid w:val="00E44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3635F"/>
  <w15:chartTrackingRefBased/>
  <w15:docId w15:val="{AC1B04BD-488C-4D32-9ECB-FC8BD2501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7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7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17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7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7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7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7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7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7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7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7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7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7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7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7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7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7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74C"/>
    <w:rPr>
      <w:rFonts w:eastAsiaTheme="majorEastAsia" w:cstheme="majorBidi"/>
      <w:color w:val="272727" w:themeColor="text1" w:themeTint="D8"/>
    </w:rPr>
  </w:style>
  <w:style w:type="paragraph" w:styleId="Title">
    <w:name w:val="Title"/>
    <w:basedOn w:val="Normal"/>
    <w:next w:val="Normal"/>
    <w:link w:val="TitleChar"/>
    <w:uiPriority w:val="10"/>
    <w:qFormat/>
    <w:rsid w:val="003D17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7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7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7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74C"/>
    <w:pPr>
      <w:spacing w:before="160"/>
      <w:jc w:val="center"/>
    </w:pPr>
    <w:rPr>
      <w:i/>
      <w:iCs/>
      <w:color w:val="404040" w:themeColor="text1" w:themeTint="BF"/>
    </w:rPr>
  </w:style>
  <w:style w:type="character" w:customStyle="1" w:styleId="QuoteChar">
    <w:name w:val="Quote Char"/>
    <w:basedOn w:val="DefaultParagraphFont"/>
    <w:link w:val="Quote"/>
    <w:uiPriority w:val="29"/>
    <w:rsid w:val="003D174C"/>
    <w:rPr>
      <w:i/>
      <w:iCs/>
      <w:color w:val="404040" w:themeColor="text1" w:themeTint="BF"/>
    </w:rPr>
  </w:style>
  <w:style w:type="paragraph" w:styleId="ListParagraph">
    <w:name w:val="List Paragraph"/>
    <w:basedOn w:val="Normal"/>
    <w:uiPriority w:val="34"/>
    <w:qFormat/>
    <w:rsid w:val="003D174C"/>
    <w:pPr>
      <w:ind w:left="720"/>
      <w:contextualSpacing/>
    </w:pPr>
  </w:style>
  <w:style w:type="character" w:styleId="IntenseEmphasis">
    <w:name w:val="Intense Emphasis"/>
    <w:basedOn w:val="DefaultParagraphFont"/>
    <w:uiPriority w:val="21"/>
    <w:qFormat/>
    <w:rsid w:val="003D174C"/>
    <w:rPr>
      <w:i/>
      <w:iCs/>
      <w:color w:val="0F4761" w:themeColor="accent1" w:themeShade="BF"/>
    </w:rPr>
  </w:style>
  <w:style w:type="paragraph" w:styleId="IntenseQuote">
    <w:name w:val="Intense Quote"/>
    <w:basedOn w:val="Normal"/>
    <w:next w:val="Normal"/>
    <w:link w:val="IntenseQuoteChar"/>
    <w:uiPriority w:val="30"/>
    <w:qFormat/>
    <w:rsid w:val="003D17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74C"/>
    <w:rPr>
      <w:i/>
      <w:iCs/>
      <w:color w:val="0F4761" w:themeColor="accent1" w:themeShade="BF"/>
    </w:rPr>
  </w:style>
  <w:style w:type="character" w:styleId="IntenseReference">
    <w:name w:val="Intense Reference"/>
    <w:basedOn w:val="DefaultParagraphFont"/>
    <w:uiPriority w:val="32"/>
    <w:qFormat/>
    <w:rsid w:val="003D174C"/>
    <w:rPr>
      <w:b/>
      <w:bCs/>
      <w:smallCaps/>
      <w:color w:val="0F4761" w:themeColor="accent1" w:themeShade="BF"/>
      <w:spacing w:val="5"/>
    </w:rPr>
  </w:style>
  <w:style w:type="character" w:styleId="Hyperlink">
    <w:name w:val="Hyperlink"/>
    <w:basedOn w:val="DefaultParagraphFont"/>
    <w:uiPriority w:val="99"/>
    <w:unhideWhenUsed/>
    <w:rsid w:val="00556B8D"/>
    <w:rPr>
      <w:color w:val="467886" w:themeColor="hyperlink"/>
      <w:u w:val="single"/>
    </w:rPr>
  </w:style>
  <w:style w:type="character" w:styleId="UnresolvedMention">
    <w:name w:val="Unresolved Mention"/>
    <w:basedOn w:val="DefaultParagraphFont"/>
    <w:uiPriority w:val="99"/>
    <w:semiHidden/>
    <w:unhideWhenUsed/>
    <w:rsid w:val="00556B8D"/>
    <w:rPr>
      <w:color w:val="605E5C"/>
      <w:shd w:val="clear" w:color="auto" w:fill="E1DFDD"/>
    </w:rPr>
  </w:style>
  <w:style w:type="table" w:styleId="TableGrid">
    <w:name w:val="Table Grid"/>
    <w:basedOn w:val="TableNormal"/>
    <w:uiPriority w:val="39"/>
    <w:rsid w:val="00556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556B8D"/>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TableGridLight">
    <w:name w:val="Grid Table Light"/>
    <w:basedOn w:val="TableNormal"/>
    <w:uiPriority w:val="40"/>
    <w:rsid w:val="00556B8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blog.googl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itbit.com" TargetMode="External"/><Relationship Id="rId11" Type="http://schemas.openxmlformats.org/officeDocument/2006/relationships/hyperlink" Target="https://www.gov.uk/mhra" TargetMode="External"/><Relationship Id="rId5" Type="http://schemas.openxmlformats.org/officeDocument/2006/relationships/webSettings" Target="webSettings.xml"/><Relationship Id="rId10" Type="http://schemas.openxmlformats.org/officeDocument/2006/relationships/hyperlink" Target="https://ico.org.uk" TargetMode="External"/><Relationship Id="rId4" Type="http://schemas.openxmlformats.org/officeDocument/2006/relationships/settings" Target="settings.xml"/><Relationship Id="rId9" Type="http://schemas.openxmlformats.org/officeDocument/2006/relationships/hyperlink" Target="https://ico.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5F2C72-AF85-4D8E-8956-506AB1488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46341</TotalTime>
  <Pages>13</Pages>
  <Words>4473</Words>
  <Characters>25501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Latif Beauty</dc:creator>
  <cp:keywords/>
  <dc:description/>
  <cp:lastModifiedBy>Latif Beauty</cp:lastModifiedBy>
  <cp:revision>2</cp:revision>
  <dcterms:created xsi:type="dcterms:W3CDTF">2025-11-13T14:50:00Z</dcterms:created>
  <dcterms:modified xsi:type="dcterms:W3CDTF">2025-12-22T22:28:00Z</dcterms:modified>
</cp:coreProperties>
</file>