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840C9" w:rsidR="00BD61FF" w:rsidP="00D840C9" w:rsidRDefault="00BD61FF" w14:paraId="0EE12068" w14:textId="7ACE8F5A">
      <w:pPr>
        <w:spacing w:line="360" w:lineRule="auto"/>
        <w:rPr>
          <w:rFonts w:ascii="Arial" w:hAnsi="Arial" w:cs="Arial"/>
          <w:sz w:val="22"/>
          <w:szCs w:val="22"/>
        </w:rPr>
      </w:pPr>
    </w:p>
    <w:p w:rsidRPr="00D840C9" w:rsidR="0070512C" w:rsidP="00D840C9" w:rsidRDefault="003B6188" w14:paraId="12A94E7A" w14:textId="77777777">
      <w:pPr>
        <w:spacing w:line="360" w:lineRule="auto"/>
        <w:jc w:val="center"/>
        <w:rPr>
          <w:rFonts w:ascii="Arial" w:hAnsi="Arial" w:cs="Arial"/>
          <w:b/>
          <w:bCs/>
          <w:sz w:val="22"/>
          <w:szCs w:val="22"/>
        </w:rPr>
      </w:pPr>
      <w:r w:rsidRPr="00D840C9">
        <w:rPr>
          <w:rFonts w:ascii="Arial" w:hAnsi="Arial" w:cs="Arial"/>
          <w:b/>
          <w:bCs/>
          <w:sz w:val="22"/>
          <w:szCs w:val="22"/>
          <w:lang w:val="en-US"/>
        </w:rPr>
        <w:t xml:space="preserve">Module: </w:t>
      </w:r>
      <w:r w:rsidRPr="00D840C9" w:rsidR="0070512C">
        <w:rPr>
          <w:rFonts w:ascii="Arial" w:hAnsi="Arial" w:cs="Arial"/>
          <w:b/>
          <w:bCs/>
          <w:sz w:val="22"/>
          <w:szCs w:val="22"/>
        </w:rPr>
        <w:t>Psychopathological Classifications and Provisions (BMHP6029_BIRM)</w:t>
      </w:r>
    </w:p>
    <w:p w:rsidRPr="00D840C9" w:rsidR="00BC0FDD" w:rsidP="00D840C9" w:rsidRDefault="003B6188" w14:paraId="2232BD06" w14:textId="38EE0988">
      <w:pPr>
        <w:spacing w:before="120" w:after="120" w:line="360" w:lineRule="auto"/>
        <w:jc w:val="center"/>
        <w:rPr>
          <w:rFonts w:ascii="Arial" w:hAnsi="Arial" w:cs="Arial"/>
          <w:b/>
          <w:sz w:val="22"/>
          <w:szCs w:val="22"/>
        </w:rPr>
      </w:pPr>
      <w:r w:rsidRPr="00D840C9">
        <w:rPr>
          <w:rFonts w:ascii="Arial" w:hAnsi="Arial" w:cs="Arial"/>
          <w:b/>
          <w:bCs/>
          <w:sz w:val="22"/>
          <w:szCs w:val="22"/>
          <w:lang w:val="en-US"/>
        </w:rPr>
        <w:br/>
      </w:r>
      <w:r w:rsidRPr="00D840C9">
        <w:rPr>
          <w:rFonts w:ascii="Arial" w:hAnsi="Arial" w:cs="Arial"/>
          <w:b/>
          <w:bCs/>
          <w:sz w:val="22"/>
          <w:szCs w:val="22"/>
          <w:lang w:val="en-US"/>
        </w:rPr>
        <w:t>Module Code: BMHP6029</w:t>
      </w:r>
    </w:p>
    <w:p w:rsidRPr="00D840C9" w:rsidR="006F75E5" w:rsidP="00D840C9" w:rsidRDefault="003B6188" w14:paraId="430E9A0B" w14:textId="2238610E">
      <w:pPr>
        <w:spacing w:line="360" w:lineRule="auto"/>
        <w:jc w:val="center"/>
        <w:rPr>
          <w:rFonts w:ascii="Arial" w:hAnsi="Arial" w:cs="Arial"/>
          <w:b/>
          <w:bCs/>
          <w:sz w:val="22"/>
          <w:szCs w:val="22"/>
          <w:lang w:val="en-US"/>
        </w:rPr>
      </w:pPr>
      <w:r w:rsidRPr="00D840C9">
        <w:rPr>
          <w:rFonts w:ascii="Arial" w:hAnsi="Arial" w:cs="Arial"/>
          <w:b/>
          <w:bCs/>
          <w:sz w:val="22"/>
          <w:szCs w:val="22"/>
          <w:lang w:val="en-US"/>
        </w:rPr>
        <w:br/>
      </w:r>
      <w:r w:rsidRPr="00D840C9" w:rsidR="0014527C">
        <w:rPr>
          <w:rFonts w:ascii="Arial" w:hAnsi="Arial" w:cs="Arial"/>
          <w:b/>
          <w:bCs/>
          <w:sz w:val="22"/>
          <w:szCs w:val="22"/>
          <w:lang w:val="en-US"/>
        </w:rPr>
        <w:t>written Assignment (</w:t>
      </w:r>
      <w:r w:rsidRPr="00D840C9" w:rsidR="006F75E5">
        <w:rPr>
          <w:rFonts w:ascii="Arial" w:hAnsi="Arial" w:cs="Arial"/>
          <w:b/>
          <w:bCs/>
          <w:sz w:val="22"/>
          <w:szCs w:val="22"/>
          <w:lang w:val="en-US"/>
        </w:rPr>
        <w:t>Report)</w:t>
      </w:r>
    </w:p>
    <w:p w:rsidRPr="00D840C9" w:rsidR="003B6188" w:rsidP="00D840C9" w:rsidRDefault="003B6188" w14:paraId="5880D819" w14:textId="394FA101">
      <w:pPr>
        <w:spacing w:line="360" w:lineRule="auto"/>
        <w:jc w:val="center"/>
        <w:rPr>
          <w:rFonts w:ascii="Arial" w:hAnsi="Arial" w:cs="Arial"/>
          <w:b w:val="1"/>
          <w:bCs w:val="1"/>
          <w:sz w:val="22"/>
          <w:szCs w:val="22"/>
          <w:lang w:val="en-US"/>
        </w:rPr>
      </w:pPr>
      <w:r w:rsidRPr="5C735887" w:rsidR="003B6188">
        <w:rPr>
          <w:rFonts w:ascii="Arial" w:hAnsi="Arial" w:cs="Arial"/>
          <w:b w:val="1"/>
          <w:bCs w:val="1"/>
          <w:sz w:val="22"/>
          <w:szCs w:val="22"/>
          <w:lang w:val="en-US"/>
        </w:rPr>
        <w:t xml:space="preserve">COMPONENT </w:t>
      </w:r>
      <w:r w:rsidRPr="5C735887" w:rsidR="0014527C">
        <w:rPr>
          <w:rFonts w:ascii="Arial" w:hAnsi="Arial" w:cs="Arial"/>
          <w:b w:val="1"/>
          <w:bCs w:val="1"/>
          <w:sz w:val="22"/>
          <w:szCs w:val="22"/>
          <w:lang w:val="en-US"/>
        </w:rPr>
        <w:t>2</w:t>
      </w:r>
      <w:r>
        <w:br/>
      </w:r>
      <w:r>
        <w:br/>
      </w:r>
      <w:r w:rsidRPr="5C735887" w:rsidR="003B6188">
        <w:rPr>
          <w:rFonts w:ascii="Arial" w:hAnsi="Arial" w:cs="Arial"/>
          <w:b w:val="1"/>
          <w:bCs w:val="1"/>
          <w:sz w:val="22"/>
          <w:szCs w:val="22"/>
          <w:lang w:val="en-US"/>
        </w:rPr>
        <w:t xml:space="preserve">BY </w:t>
      </w:r>
      <w:r>
        <w:br/>
      </w:r>
      <w:r>
        <w:br/>
      </w:r>
      <w:r w:rsidRPr="5C735887" w:rsidR="003B6188">
        <w:rPr>
          <w:rFonts w:ascii="Arial" w:hAnsi="Arial" w:cs="Arial"/>
          <w:b w:val="1"/>
          <w:bCs w:val="1"/>
          <w:sz w:val="22"/>
          <w:szCs w:val="22"/>
          <w:lang w:val="en-US"/>
        </w:rPr>
        <w:t>KAREEMOT</w:t>
      </w:r>
      <w:r w:rsidRPr="5C735887" w:rsidR="555C8363">
        <w:rPr>
          <w:rFonts w:ascii="Arial" w:hAnsi="Arial" w:cs="Arial"/>
          <w:b w:val="1"/>
          <w:bCs w:val="1"/>
          <w:sz w:val="22"/>
          <w:szCs w:val="22"/>
          <w:lang w:val="en-US"/>
        </w:rPr>
        <w:t xml:space="preserve"> .A.</w:t>
      </w:r>
      <w:r w:rsidRPr="5C735887" w:rsidR="003B6188">
        <w:rPr>
          <w:rFonts w:ascii="Arial" w:hAnsi="Arial" w:cs="Arial"/>
          <w:b w:val="1"/>
          <w:bCs w:val="1"/>
          <w:sz w:val="22"/>
          <w:szCs w:val="22"/>
          <w:lang w:val="en-US"/>
        </w:rPr>
        <w:t xml:space="preserve"> TIJANI</w:t>
      </w:r>
      <w:r w:rsidRPr="5C735887" w:rsidR="37F5A68A">
        <w:rPr>
          <w:rFonts w:ascii="Arial" w:hAnsi="Arial" w:cs="Arial"/>
          <w:b w:val="1"/>
          <w:bCs w:val="1"/>
          <w:sz w:val="22"/>
          <w:szCs w:val="22"/>
          <w:lang w:val="en-US"/>
        </w:rPr>
        <w:t xml:space="preserve"> TIJANI</w:t>
      </w:r>
      <w:r w:rsidRPr="5C735887" w:rsidR="003B6188">
        <w:rPr>
          <w:rFonts w:ascii="Arial" w:hAnsi="Arial" w:cs="Arial"/>
          <w:b w:val="1"/>
          <w:bCs w:val="1"/>
          <w:sz w:val="22"/>
          <w:szCs w:val="22"/>
          <w:lang w:val="en-US"/>
        </w:rPr>
        <w:t>.</w:t>
      </w:r>
      <w:r>
        <w:br/>
      </w:r>
    </w:p>
    <w:p w:rsidRPr="00D840C9" w:rsidR="003B6188" w:rsidP="00D840C9" w:rsidRDefault="003B6188" w14:paraId="61EF1F4E" w14:textId="77777777">
      <w:pPr>
        <w:spacing w:line="360" w:lineRule="auto"/>
        <w:jc w:val="center"/>
        <w:rPr>
          <w:rFonts w:ascii="Arial" w:hAnsi="Arial" w:cs="Arial"/>
          <w:b/>
          <w:bCs/>
          <w:sz w:val="22"/>
          <w:szCs w:val="22"/>
          <w:lang w:val="en-US"/>
        </w:rPr>
      </w:pPr>
      <w:r w:rsidRPr="00D840C9">
        <w:rPr>
          <w:rFonts w:ascii="Arial" w:hAnsi="Arial" w:cs="Arial"/>
          <w:b/>
          <w:bCs/>
          <w:sz w:val="22"/>
          <w:szCs w:val="22"/>
          <w:lang w:val="en-US"/>
        </w:rPr>
        <w:t>ID: 2320438</w:t>
      </w:r>
    </w:p>
    <w:p w:rsidRPr="00D840C9" w:rsidR="003B6188" w:rsidP="00D840C9" w:rsidRDefault="003B6188" w14:paraId="2D90E694" w14:textId="77777777">
      <w:pPr>
        <w:spacing w:line="360" w:lineRule="auto"/>
        <w:jc w:val="center"/>
        <w:rPr>
          <w:rFonts w:ascii="Arial" w:hAnsi="Arial" w:cs="Arial"/>
          <w:b/>
          <w:bCs/>
          <w:sz w:val="22"/>
          <w:szCs w:val="22"/>
          <w:lang w:val="en-US"/>
        </w:rPr>
      </w:pPr>
    </w:p>
    <w:p w:rsidRPr="00D840C9" w:rsidR="003B6188" w:rsidP="5C735887" w:rsidRDefault="003B6188" w14:paraId="2AEA7D2E" w14:textId="49DE1EF4">
      <w:pPr>
        <w:pStyle w:val="Normal"/>
        <w:spacing w:line="360" w:lineRule="auto"/>
        <w:jc w:val="center"/>
        <w:rPr>
          <w:rFonts w:ascii="Arial" w:hAnsi="Arial" w:eastAsia="Arial" w:cs="Arial"/>
          <w:noProof w:val="0"/>
          <w:sz w:val="22"/>
          <w:szCs w:val="22"/>
          <w:lang w:val="en-US"/>
        </w:rPr>
      </w:pPr>
      <w:r w:rsidRPr="5C735887" w:rsidR="003B6188">
        <w:rPr>
          <w:rFonts w:ascii="Arial" w:hAnsi="Arial" w:cs="Arial"/>
          <w:b w:val="1"/>
          <w:bCs w:val="1"/>
          <w:sz w:val="22"/>
          <w:szCs w:val="22"/>
          <w:lang w:val="en-US"/>
        </w:rPr>
        <w:t xml:space="preserve">Lecturer: </w:t>
      </w:r>
      <w:r w:rsidRPr="5C735887" w:rsidR="00D270D9">
        <w:rPr>
          <w:rFonts w:ascii="Arial" w:hAnsi="Arial" w:cs="Arial"/>
          <w:b w:val="1"/>
          <w:bCs w:val="1"/>
          <w:sz w:val="22"/>
          <w:szCs w:val="22"/>
          <w:lang w:val="en-US"/>
        </w:rPr>
        <w:t>Kennedy</w:t>
      </w:r>
      <w:r w:rsidRPr="5C735887" w:rsidR="39C6B8CE">
        <w:rPr>
          <w:rFonts w:ascii="Arial" w:hAnsi="Arial" w:cs="Arial"/>
          <w:b w:val="1"/>
          <w:bCs w:val="1"/>
          <w:sz w:val="22"/>
          <w:szCs w:val="22"/>
          <w:lang w:val="en-US"/>
        </w:rPr>
        <w:t xml:space="preserve"> </w:t>
      </w:r>
      <w:r w:rsidRPr="5C735887" w:rsidR="39C6B8CE">
        <w:rPr>
          <w:rFonts w:ascii="Source Sans Pro" w:hAnsi="Source Sans Pro" w:eastAsia="Source Sans Pro" w:cs="Source Sans Pro"/>
          <w:b w:val="1"/>
          <w:bCs w:val="1"/>
          <w:i w:val="0"/>
          <w:iCs w:val="0"/>
          <w:caps w:val="0"/>
          <w:smallCaps w:val="0"/>
          <w:noProof w:val="0"/>
          <w:color w:val="242130"/>
          <w:sz w:val="21"/>
          <w:szCs w:val="21"/>
          <w:lang w:val="en-US"/>
        </w:rPr>
        <w:t>Obohwemu</w:t>
      </w:r>
    </w:p>
    <w:p w:rsidRPr="00D840C9" w:rsidR="009A3120" w:rsidP="00D840C9" w:rsidRDefault="00FE3276" w14:paraId="3CD15E67" w14:textId="59553349">
      <w:pPr>
        <w:spacing w:line="360" w:lineRule="auto"/>
        <w:jc w:val="center"/>
        <w:rPr>
          <w:rFonts w:ascii="Arial" w:hAnsi="Arial" w:cs="Arial"/>
          <w:b/>
          <w:bCs/>
          <w:sz w:val="22"/>
          <w:szCs w:val="22"/>
        </w:rPr>
      </w:pPr>
      <w:r w:rsidRPr="00D840C9">
        <w:rPr>
          <w:rFonts w:ascii="Arial" w:hAnsi="Arial" w:cs="Arial"/>
          <w:b/>
          <w:bCs/>
          <w:sz w:val="22"/>
          <w:szCs w:val="22"/>
        </w:rPr>
        <w:t>S</w:t>
      </w:r>
      <w:r w:rsidRPr="00D840C9" w:rsidR="00D270D9">
        <w:rPr>
          <w:rFonts w:ascii="Arial" w:hAnsi="Arial" w:cs="Arial"/>
          <w:b/>
          <w:bCs/>
          <w:sz w:val="22"/>
          <w:szCs w:val="22"/>
        </w:rPr>
        <w:t>u</w:t>
      </w:r>
      <w:r w:rsidRPr="00D840C9">
        <w:rPr>
          <w:rFonts w:ascii="Arial" w:hAnsi="Arial" w:cs="Arial"/>
          <w:b/>
          <w:bCs/>
          <w:sz w:val="22"/>
          <w:szCs w:val="22"/>
        </w:rPr>
        <w:t>b</w:t>
      </w:r>
      <w:r w:rsidRPr="00D840C9" w:rsidR="00D270D9">
        <w:rPr>
          <w:rFonts w:ascii="Arial" w:hAnsi="Arial" w:cs="Arial"/>
          <w:b/>
          <w:bCs/>
          <w:sz w:val="22"/>
          <w:szCs w:val="22"/>
        </w:rPr>
        <w:t>m</w:t>
      </w:r>
      <w:r w:rsidRPr="00D840C9">
        <w:rPr>
          <w:rFonts w:ascii="Arial" w:hAnsi="Arial" w:cs="Arial"/>
          <w:b/>
          <w:bCs/>
          <w:sz w:val="22"/>
          <w:szCs w:val="22"/>
        </w:rPr>
        <w:t xml:space="preserve">ission Date: </w:t>
      </w:r>
      <w:r w:rsidRPr="00D840C9" w:rsidR="009A3120">
        <w:rPr>
          <w:rFonts w:ascii="Arial" w:hAnsi="Arial" w:cs="Arial"/>
          <w:b/>
          <w:bCs/>
          <w:sz w:val="22"/>
          <w:szCs w:val="22"/>
        </w:rPr>
        <w:t>29</w:t>
      </w:r>
      <w:r w:rsidRPr="00D840C9" w:rsidR="009A3120">
        <w:rPr>
          <w:rFonts w:ascii="Arial" w:hAnsi="Arial" w:cs="Arial"/>
          <w:b/>
          <w:bCs/>
          <w:sz w:val="22"/>
          <w:szCs w:val="22"/>
          <w:vertAlign w:val="superscript"/>
        </w:rPr>
        <w:t>th</w:t>
      </w:r>
      <w:r w:rsidRPr="00D840C9" w:rsidR="009A3120">
        <w:rPr>
          <w:rFonts w:ascii="Arial" w:hAnsi="Arial" w:cs="Arial"/>
          <w:b/>
          <w:bCs/>
          <w:sz w:val="22"/>
          <w:szCs w:val="22"/>
        </w:rPr>
        <w:t xml:space="preserve"> March 2026.</w:t>
      </w:r>
    </w:p>
    <w:p w:rsidRPr="00D840C9" w:rsidR="00D270D9" w:rsidP="00D840C9" w:rsidRDefault="00FE3276" w14:paraId="71B69693" w14:textId="471F5BDA">
      <w:pPr>
        <w:spacing w:line="360" w:lineRule="auto"/>
        <w:jc w:val="center"/>
        <w:rPr>
          <w:rFonts w:ascii="Arial" w:hAnsi="Arial" w:cs="Arial"/>
          <w:b/>
          <w:bCs/>
          <w:sz w:val="22"/>
          <w:szCs w:val="22"/>
        </w:rPr>
      </w:pPr>
      <w:r w:rsidRPr="00D840C9">
        <w:rPr>
          <w:rFonts w:ascii="Arial" w:hAnsi="Arial" w:cs="Arial"/>
          <w:b/>
          <w:bCs/>
          <w:sz w:val="22"/>
          <w:szCs w:val="22"/>
        </w:rPr>
        <w:t xml:space="preserve"> </w:t>
      </w:r>
    </w:p>
    <w:p w:rsidRPr="00D840C9" w:rsidR="003B6188" w:rsidP="00D840C9" w:rsidRDefault="003B6188" w14:paraId="00D11725" w14:textId="77777777">
      <w:pPr>
        <w:spacing w:line="360" w:lineRule="auto"/>
        <w:jc w:val="center"/>
        <w:rPr>
          <w:rFonts w:ascii="Arial" w:hAnsi="Arial" w:cs="Arial"/>
          <w:b/>
          <w:bCs/>
          <w:sz w:val="22"/>
          <w:szCs w:val="22"/>
        </w:rPr>
      </w:pPr>
    </w:p>
    <w:p w:rsidRPr="00D840C9" w:rsidR="006F1EC4" w:rsidP="00D840C9" w:rsidRDefault="006F1EC4" w14:paraId="6A1A90FC" w14:textId="77777777">
      <w:pPr>
        <w:spacing w:line="360" w:lineRule="auto"/>
        <w:rPr>
          <w:rFonts w:ascii="Arial" w:hAnsi="Arial" w:cs="Arial"/>
          <w:sz w:val="22"/>
          <w:szCs w:val="22"/>
        </w:rPr>
      </w:pPr>
    </w:p>
    <w:p w:rsidRPr="00D840C9" w:rsidR="006F1EC4" w:rsidP="00D840C9" w:rsidRDefault="006F1EC4" w14:paraId="5FA38AD6" w14:textId="77777777">
      <w:pPr>
        <w:spacing w:line="360" w:lineRule="auto"/>
        <w:rPr>
          <w:rFonts w:ascii="Arial" w:hAnsi="Arial" w:cs="Arial"/>
          <w:sz w:val="22"/>
          <w:szCs w:val="22"/>
        </w:rPr>
      </w:pPr>
    </w:p>
    <w:p w:rsidRPr="00D840C9" w:rsidR="006F1EC4" w:rsidP="00D840C9" w:rsidRDefault="006F1EC4" w14:paraId="715A8AE2" w14:textId="77777777">
      <w:pPr>
        <w:spacing w:line="360" w:lineRule="auto"/>
        <w:rPr>
          <w:rFonts w:ascii="Arial" w:hAnsi="Arial" w:cs="Arial"/>
          <w:sz w:val="22"/>
          <w:szCs w:val="22"/>
        </w:rPr>
      </w:pPr>
    </w:p>
    <w:p w:rsidRPr="00D840C9" w:rsidR="006F1EC4" w:rsidP="00D840C9" w:rsidRDefault="006F1EC4" w14:paraId="3ADB26D0" w14:textId="77777777">
      <w:pPr>
        <w:spacing w:line="360" w:lineRule="auto"/>
        <w:rPr>
          <w:rFonts w:ascii="Arial" w:hAnsi="Arial" w:cs="Arial"/>
          <w:sz w:val="22"/>
          <w:szCs w:val="22"/>
        </w:rPr>
      </w:pPr>
    </w:p>
    <w:p w:rsidRPr="00D840C9" w:rsidR="006F1EC4" w:rsidP="00D840C9" w:rsidRDefault="006F1EC4" w14:paraId="5C1C9D6D" w14:textId="77777777">
      <w:pPr>
        <w:spacing w:line="360" w:lineRule="auto"/>
        <w:rPr>
          <w:rFonts w:ascii="Arial" w:hAnsi="Arial" w:cs="Arial"/>
          <w:sz w:val="22"/>
          <w:szCs w:val="22"/>
        </w:rPr>
      </w:pPr>
    </w:p>
    <w:p w:rsidR="006F1EC4" w:rsidP="00D840C9" w:rsidRDefault="006F1EC4" w14:paraId="632B2327" w14:textId="77777777">
      <w:pPr>
        <w:spacing w:line="360" w:lineRule="auto"/>
        <w:rPr>
          <w:rFonts w:ascii="Arial" w:hAnsi="Arial" w:cs="Arial"/>
          <w:sz w:val="22"/>
          <w:szCs w:val="22"/>
        </w:rPr>
      </w:pPr>
    </w:p>
    <w:p w:rsidR="00E513AE" w:rsidP="00D840C9" w:rsidRDefault="00E513AE" w14:paraId="31EE5C94" w14:textId="77777777">
      <w:pPr>
        <w:spacing w:line="360" w:lineRule="auto"/>
        <w:rPr>
          <w:rFonts w:ascii="Arial" w:hAnsi="Arial" w:cs="Arial"/>
          <w:sz w:val="22"/>
          <w:szCs w:val="22"/>
        </w:rPr>
      </w:pPr>
    </w:p>
    <w:p w:rsidR="00E513AE" w:rsidP="00D840C9" w:rsidRDefault="00E513AE" w14:paraId="787EBB11" w14:textId="77777777">
      <w:pPr>
        <w:spacing w:line="360" w:lineRule="auto"/>
        <w:rPr>
          <w:rFonts w:ascii="Arial" w:hAnsi="Arial" w:cs="Arial"/>
          <w:sz w:val="22"/>
          <w:szCs w:val="22"/>
        </w:rPr>
      </w:pPr>
    </w:p>
    <w:p w:rsidR="00E513AE" w:rsidP="00D840C9" w:rsidRDefault="00E513AE" w14:paraId="70C276D8" w14:textId="77777777">
      <w:pPr>
        <w:spacing w:line="360" w:lineRule="auto"/>
        <w:rPr>
          <w:rFonts w:ascii="Arial" w:hAnsi="Arial" w:cs="Arial"/>
          <w:sz w:val="22"/>
          <w:szCs w:val="22"/>
        </w:rPr>
      </w:pPr>
    </w:p>
    <w:p w:rsidRPr="00D840C9" w:rsidR="00BD61FF" w:rsidP="00D840C9" w:rsidRDefault="00BD61FF" w14:paraId="6DA4EBF4" w14:textId="4F88696B">
      <w:pPr>
        <w:spacing w:line="360" w:lineRule="auto"/>
        <w:jc w:val="center"/>
        <w:rPr>
          <w:rFonts w:ascii="Arial" w:hAnsi="Arial" w:cs="Arial"/>
          <w:b/>
          <w:bCs/>
          <w:sz w:val="22"/>
          <w:szCs w:val="22"/>
        </w:rPr>
      </w:pPr>
      <w:r w:rsidRPr="00D840C9">
        <w:rPr>
          <w:rFonts w:ascii="Arial" w:hAnsi="Arial" w:cs="Arial"/>
          <w:b/>
          <w:bCs/>
          <w:sz w:val="22"/>
          <w:szCs w:val="22"/>
        </w:rPr>
        <w:t>Autism Spectrum Disorder (ASD): ICD-</w:t>
      </w:r>
      <w:r w:rsidRPr="00D840C9" w:rsidR="00796F18">
        <w:rPr>
          <w:rFonts w:ascii="Arial" w:hAnsi="Arial" w:cs="Arial"/>
          <w:b/>
          <w:bCs/>
          <w:sz w:val="22"/>
          <w:szCs w:val="22"/>
        </w:rPr>
        <w:t>11-chapter</w:t>
      </w:r>
      <w:r w:rsidRPr="00D840C9" w:rsidR="004D4B0C">
        <w:rPr>
          <w:rFonts w:ascii="Arial" w:hAnsi="Arial" w:cs="Arial"/>
          <w:b/>
          <w:bCs/>
          <w:sz w:val="22"/>
          <w:szCs w:val="22"/>
        </w:rPr>
        <w:t xml:space="preserve"> 6 </w:t>
      </w:r>
      <w:r w:rsidRPr="00D840C9">
        <w:rPr>
          <w:rFonts w:ascii="Arial" w:hAnsi="Arial" w:cs="Arial"/>
          <w:b/>
          <w:bCs/>
          <w:sz w:val="22"/>
          <w:szCs w:val="22"/>
        </w:rPr>
        <w:t>Classification, Diagnosis, Treatment, Rehabilitation and Contemporary Debates in the UK</w:t>
      </w:r>
    </w:p>
    <w:p w:rsidRPr="003350D4" w:rsidR="002724DB" w:rsidP="00D840C9" w:rsidRDefault="002724DB" w14:paraId="071FCFCA" w14:textId="77777777">
      <w:pPr>
        <w:spacing w:line="360" w:lineRule="auto"/>
        <w:rPr>
          <w:rFonts w:ascii="Arial" w:hAnsi="Arial" w:cs="Arial"/>
          <w:b/>
          <w:bCs/>
          <w:sz w:val="22"/>
          <w:szCs w:val="22"/>
        </w:rPr>
      </w:pPr>
      <w:r w:rsidRPr="003350D4">
        <w:rPr>
          <w:rFonts w:ascii="Arial" w:hAnsi="Arial" w:cs="Arial"/>
          <w:b/>
          <w:bCs/>
          <w:sz w:val="22"/>
          <w:szCs w:val="22"/>
        </w:rPr>
        <w:t>1. Introduction</w:t>
      </w:r>
    </w:p>
    <w:p w:rsidRPr="00D840C9" w:rsidR="002724DB" w:rsidP="00D840C9" w:rsidRDefault="002724DB" w14:paraId="6A733B24" w14:textId="77777777">
      <w:pPr>
        <w:spacing w:line="360" w:lineRule="auto"/>
        <w:rPr>
          <w:rFonts w:ascii="Arial" w:hAnsi="Arial" w:cs="Arial"/>
          <w:sz w:val="22"/>
          <w:szCs w:val="22"/>
        </w:rPr>
      </w:pPr>
      <w:r w:rsidRPr="00D840C9">
        <w:rPr>
          <w:rFonts w:ascii="Arial" w:hAnsi="Arial" w:cs="Arial"/>
          <w:sz w:val="22"/>
          <w:szCs w:val="22"/>
        </w:rPr>
        <w:t>Autism Spectrum Disorder (ASD) is classified within the ICD-11 Chapter 6 as a neurodevelopmental disorder (code 6A02) (World Health Organization, 2019). It is characterised by persistent differences in social communication and restricted, repetitive patterns of behaviour emerging in early development. ASD has become increasingly prominent within UK health and social care due to improved recognition, rising diagnosis across the lifespan, and growing emphasis on neurodiversity and rights-based practice.</w:t>
      </w:r>
    </w:p>
    <w:p w:rsidRPr="00D840C9" w:rsidR="002724DB" w:rsidP="00D840C9" w:rsidRDefault="002724DB" w14:paraId="61B0CE36" w14:textId="77777777">
      <w:pPr>
        <w:spacing w:line="360" w:lineRule="auto"/>
        <w:rPr>
          <w:rFonts w:ascii="Arial" w:hAnsi="Arial" w:cs="Arial"/>
          <w:sz w:val="22"/>
          <w:szCs w:val="22"/>
        </w:rPr>
      </w:pPr>
      <w:r w:rsidRPr="00D840C9">
        <w:rPr>
          <w:rFonts w:ascii="Arial" w:hAnsi="Arial" w:cs="Arial"/>
          <w:sz w:val="22"/>
          <w:szCs w:val="22"/>
        </w:rPr>
        <w:t>At the same time, autism remains highly contested. While clinical frameworks define ASD as a disorder requiring diagnosis and intervention, neurodiversity perspectives conceptualise autism as a natural variation in human cognition, with disability arising from environmental barriers rather than inherent deficit (Shah et al., 2022; Green, 2023). This creates tension between medical and social models of disability, particularly in relation to diagnosis, language and service provision.</w:t>
      </w:r>
    </w:p>
    <w:p w:rsidRPr="00D840C9" w:rsidR="002724DB" w:rsidP="00D840C9" w:rsidRDefault="002724DB" w14:paraId="56E3CA4D" w14:textId="77777777">
      <w:pPr>
        <w:spacing w:line="360" w:lineRule="auto"/>
        <w:rPr>
          <w:rFonts w:ascii="Arial" w:hAnsi="Arial" w:cs="Arial"/>
          <w:b/>
          <w:bCs/>
          <w:sz w:val="22"/>
          <w:szCs w:val="22"/>
        </w:rPr>
      </w:pPr>
      <w:r w:rsidRPr="00D840C9">
        <w:rPr>
          <w:rFonts w:ascii="Arial" w:hAnsi="Arial" w:cs="Arial"/>
          <w:sz w:val="22"/>
          <w:szCs w:val="22"/>
        </w:rPr>
        <w:t>This report critically examines ASD through the lens of ICD-11 classification, diagnostic processes, treatment and rehabilitation approaches within the UK. It further explores contemporary debates regarding identity, diagnostic thresholds and equity, before proposing recommendations to improve outcomes and promote inclusive, rights-based practice</w:t>
      </w:r>
      <w:r w:rsidRPr="00D840C9">
        <w:rPr>
          <w:rFonts w:ascii="Arial" w:hAnsi="Arial" w:cs="Arial"/>
          <w:b/>
          <w:bCs/>
          <w:sz w:val="22"/>
          <w:szCs w:val="22"/>
        </w:rPr>
        <w:t>.</w:t>
      </w:r>
    </w:p>
    <w:p w:rsidR="007D25C3" w:rsidP="001F60AB" w:rsidRDefault="007D25C3" w14:paraId="399A6F2B" w14:textId="77777777">
      <w:pPr>
        <w:rPr>
          <w:rFonts w:ascii="Arial" w:hAnsi="Arial" w:cs="Arial"/>
          <w:b/>
          <w:bCs/>
          <w:sz w:val="22"/>
          <w:szCs w:val="22"/>
        </w:rPr>
      </w:pPr>
    </w:p>
    <w:p w:rsidRPr="00B7213E" w:rsidR="005B3EC3" w:rsidP="001F60AB" w:rsidRDefault="005B3EC3" w14:paraId="0051AC9D" w14:textId="591C9C06">
      <w:pPr>
        <w:rPr>
          <w:rFonts w:ascii="Arial" w:hAnsi="Arial" w:cs="Arial"/>
          <w:b/>
          <w:bCs/>
          <w:sz w:val="22"/>
          <w:szCs w:val="22"/>
        </w:rPr>
      </w:pPr>
      <w:r w:rsidRPr="00B7213E">
        <w:rPr>
          <w:rFonts w:ascii="Arial" w:hAnsi="Arial" w:cs="Arial"/>
          <w:b/>
          <w:bCs/>
          <w:sz w:val="22"/>
          <w:szCs w:val="22"/>
        </w:rPr>
        <w:t>2. ICD-11 Classification and Diagnosis</w:t>
      </w:r>
    </w:p>
    <w:p w:rsidRPr="00B7213E" w:rsidR="005B3EC3" w:rsidP="001F60AB" w:rsidRDefault="005B3EC3" w14:paraId="5857A80C" w14:textId="77777777">
      <w:pPr>
        <w:rPr>
          <w:rFonts w:ascii="Arial" w:hAnsi="Arial" w:cs="Arial"/>
          <w:b/>
          <w:bCs/>
          <w:sz w:val="22"/>
          <w:szCs w:val="22"/>
        </w:rPr>
      </w:pPr>
      <w:r w:rsidRPr="00B7213E">
        <w:rPr>
          <w:rFonts w:ascii="Arial" w:hAnsi="Arial" w:cs="Arial"/>
          <w:b/>
          <w:bCs/>
          <w:sz w:val="22"/>
          <w:szCs w:val="22"/>
        </w:rPr>
        <w:t>2.1 Definition and Classification</w:t>
      </w:r>
    </w:p>
    <w:p w:rsidRPr="00B7213E" w:rsidR="005B3EC3" w:rsidP="00B7213E" w:rsidRDefault="005B3EC3" w14:paraId="35D6CA39" w14:textId="77777777">
      <w:pPr>
        <w:spacing w:line="360" w:lineRule="auto"/>
        <w:rPr>
          <w:rFonts w:ascii="Arial" w:hAnsi="Arial" w:cs="Arial"/>
          <w:sz w:val="22"/>
          <w:szCs w:val="22"/>
        </w:rPr>
      </w:pPr>
      <w:r w:rsidRPr="00B7213E">
        <w:rPr>
          <w:rFonts w:ascii="Arial" w:hAnsi="Arial" w:cs="Arial"/>
          <w:sz w:val="22"/>
          <w:szCs w:val="22"/>
        </w:rPr>
        <w:t>Autism is a lifelong neurodevelopmental condition affecting communication, interaction and behavioural patterns. Individuals may experience differences in initiating social interaction, maintaining conversations, sensory processing and engagement in focused interests. The term “spectrum” reflects wide variation in presentation, ranging from individuals requiring minimal support to those with complex and enduring needs.</w:t>
      </w:r>
    </w:p>
    <w:p w:rsidRPr="00B7213E" w:rsidR="005B3EC3" w:rsidP="00B7213E" w:rsidRDefault="005B3EC3" w14:paraId="0C18CA39" w14:textId="77777777">
      <w:pPr>
        <w:spacing w:line="360" w:lineRule="auto"/>
        <w:rPr>
          <w:rFonts w:ascii="Arial" w:hAnsi="Arial" w:cs="Arial"/>
          <w:sz w:val="22"/>
          <w:szCs w:val="22"/>
        </w:rPr>
      </w:pPr>
      <w:r w:rsidRPr="00B7213E">
        <w:rPr>
          <w:rFonts w:ascii="Arial" w:hAnsi="Arial" w:cs="Arial"/>
          <w:sz w:val="22"/>
          <w:szCs w:val="22"/>
        </w:rPr>
        <w:t>Within ICD-11, ASD is classified under neurodevelopmental disorders as code 6A02, with subcategories based on intellectual development and functional language ability (World Health Organization, 2019). This structure aims to capture heterogeneity and support clinical clarity.</w:t>
      </w:r>
    </w:p>
    <w:p w:rsidRPr="00B7213E" w:rsidR="005B3EC3" w:rsidP="00B7213E" w:rsidRDefault="00C7457B" w14:paraId="2E129432" w14:textId="34C3797C">
      <w:pPr>
        <w:spacing w:line="360" w:lineRule="auto"/>
        <w:rPr>
          <w:rFonts w:ascii="Arial" w:hAnsi="Arial" w:cs="Arial"/>
          <w:sz w:val="22"/>
          <w:szCs w:val="22"/>
        </w:rPr>
      </w:pPr>
      <w:r w:rsidRPr="00C7457B">
        <w:rPr>
          <w:rFonts w:ascii="Arial" w:hAnsi="Arial" w:cs="Arial"/>
          <w:sz w:val="22"/>
          <w:szCs w:val="22"/>
        </w:rPr>
        <w:drawing>
          <wp:inline distT="0" distB="0" distL="0" distR="0" wp14:anchorId="4A1867DB" wp14:editId="63C0FC32">
            <wp:extent cx="5731510" cy="3203575"/>
            <wp:effectExtent l="0" t="0" r="2540" b="0"/>
            <wp:docPr id="1497481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481446" name=""/>
                    <pic:cNvPicPr/>
                  </pic:nvPicPr>
                  <pic:blipFill>
                    <a:blip r:embed="rId5"/>
                    <a:stretch>
                      <a:fillRect/>
                    </a:stretch>
                  </pic:blipFill>
                  <pic:spPr>
                    <a:xfrm>
                      <a:off x="0" y="0"/>
                      <a:ext cx="5731510" cy="3203575"/>
                    </a:xfrm>
                    <a:prstGeom prst="rect">
                      <a:avLst/>
                    </a:prstGeom>
                  </pic:spPr>
                </pic:pic>
              </a:graphicData>
            </a:graphic>
          </wp:inline>
        </w:drawing>
      </w:r>
      <w:r w:rsidRPr="00B7213E" w:rsidR="005B3EC3">
        <w:rPr>
          <w:rFonts w:ascii="Arial" w:hAnsi="Arial" w:cs="Arial"/>
          <w:sz w:val="22"/>
          <w:szCs w:val="22"/>
        </w:rPr>
        <w:t>However, the classification remains contested. The requirement for “clinically significant impairment” reflects a deficit-oriented model, which conflicts with neurodiversity perspectives that frame autism as difference rather than disorder (Green, 2023).</w:t>
      </w:r>
    </w:p>
    <w:p w:rsidRPr="00B7213E" w:rsidR="005B3EC3" w:rsidP="00B7213E" w:rsidRDefault="005B3EC3" w14:paraId="19CC1171" w14:textId="77777777">
      <w:pPr>
        <w:spacing w:line="360" w:lineRule="auto"/>
        <w:rPr>
          <w:rFonts w:ascii="Arial" w:hAnsi="Arial" w:cs="Arial"/>
          <w:sz w:val="22"/>
          <w:szCs w:val="22"/>
        </w:rPr>
      </w:pPr>
      <w:r w:rsidRPr="00B7213E">
        <w:rPr>
          <w:rFonts w:ascii="Arial" w:hAnsi="Arial" w:cs="Arial"/>
          <w:sz w:val="22"/>
          <w:szCs w:val="22"/>
        </w:rPr>
        <w:t>Critically, this tension highlights that diagnostic classification is not value-neutral but reflects broader assumptions about normality, disability and societal expectations.</w:t>
      </w:r>
    </w:p>
    <w:p w:rsidRPr="00D840C9" w:rsidR="5B4072CC" w:rsidP="00D840C9" w:rsidRDefault="5B4072CC" w14:paraId="61929BCD" w14:textId="2464B9DC">
      <w:pPr>
        <w:pStyle w:val="Heading2"/>
        <w:spacing w:before="299" w:after="299" w:line="360" w:lineRule="auto"/>
        <w:rPr>
          <w:rFonts w:ascii="Arial" w:hAnsi="Arial" w:eastAsia="Arial" w:cs="Arial"/>
          <w:b/>
          <w:bCs/>
          <w:color w:val="auto"/>
          <w:sz w:val="22"/>
          <w:szCs w:val="22"/>
        </w:rPr>
      </w:pPr>
      <w:r w:rsidRPr="00D840C9">
        <w:rPr>
          <w:rFonts w:ascii="Arial" w:hAnsi="Arial" w:eastAsia="Arial" w:cs="Arial"/>
          <w:b/>
          <w:bCs/>
          <w:color w:val="auto"/>
          <w:sz w:val="22"/>
          <w:szCs w:val="22"/>
        </w:rPr>
        <w:t>2.2 Diagnostic Criteria in ICD-11</w:t>
      </w:r>
    </w:p>
    <w:p w:rsidRPr="00D840C9" w:rsidR="5B4072CC" w:rsidP="00D840C9" w:rsidRDefault="5B4072CC" w14:paraId="3EC2541D" w14:textId="1CAD0D7E">
      <w:pPr>
        <w:spacing w:before="240" w:after="240" w:line="360" w:lineRule="auto"/>
        <w:rPr>
          <w:rFonts w:ascii="Arial" w:hAnsi="Arial" w:eastAsia="Arial" w:cs="Arial"/>
          <w:sz w:val="22"/>
          <w:szCs w:val="22"/>
        </w:rPr>
      </w:pPr>
      <w:r w:rsidRPr="00D840C9">
        <w:rPr>
          <w:rFonts w:ascii="Arial" w:hAnsi="Arial" w:eastAsia="Arial" w:cs="Arial"/>
          <w:sz w:val="22"/>
          <w:szCs w:val="22"/>
        </w:rPr>
        <w:t xml:space="preserve">ICD-11 characterises </w:t>
      </w:r>
      <w:r w:rsidRPr="00D840C9" w:rsidR="1E03DE90">
        <w:rPr>
          <w:rFonts w:ascii="Arial" w:hAnsi="Arial" w:eastAsia="Arial" w:cs="Arial"/>
          <w:sz w:val="22"/>
          <w:szCs w:val="22"/>
        </w:rPr>
        <w:t>autism spectrum disorder</w:t>
      </w:r>
      <w:r w:rsidRPr="00D840C9">
        <w:rPr>
          <w:rFonts w:ascii="Arial" w:hAnsi="Arial" w:eastAsia="Arial" w:cs="Arial"/>
          <w:sz w:val="22"/>
          <w:szCs w:val="22"/>
        </w:rPr>
        <w:t xml:space="preserve"> by persistent differences in reciprocal social communication alongside restricted, repetitive or inflexible patterns of behaviour, interests or activities that are atypical for the individual’s developmental and sociocultural context (WHO, 2019). These characteristics must be present from the developmental period, although they may become more evident when environmental demands exceed adaptive capacity. ICD-11 further recognises that autistic traits vary in expression across contexts depending on environmental supports (Kamp-Becker, 2024).</w:t>
      </w:r>
    </w:p>
    <w:p w:rsidR="5B4072CC" w:rsidP="00D840C9" w:rsidRDefault="5B4072CC" w14:paraId="7DFB26F8" w14:textId="756B197F">
      <w:pPr>
        <w:spacing w:before="240" w:after="240" w:line="360" w:lineRule="auto"/>
        <w:rPr>
          <w:rFonts w:ascii="Arial" w:hAnsi="Arial" w:eastAsia="Arial" w:cs="Arial"/>
          <w:sz w:val="22"/>
          <w:szCs w:val="22"/>
        </w:rPr>
      </w:pPr>
      <w:r w:rsidRPr="5C735887" w:rsidR="5B4072CC">
        <w:rPr>
          <w:rFonts w:ascii="Arial" w:hAnsi="Arial" w:eastAsia="Arial" w:cs="Arial"/>
          <w:sz w:val="22"/>
          <w:szCs w:val="22"/>
        </w:rPr>
        <w:t>A central feature of ICD-11 is its functional emphasis, requiring evidence of clinically significant impact to justify diagnosis and guide access to services (Greaves-Lord, 2022). However, this criterion may disadvantage individuals who mask autistic traits, particularly women and some minority groups, as distress may be internalised and impairment under-recognised (Green, 2023).</w:t>
      </w:r>
    </w:p>
    <w:p w:rsidR="5C735887" w:rsidP="5C735887" w:rsidRDefault="5C735887" w14:paraId="41A7BC5E" w14:textId="76F5CD54">
      <w:pPr>
        <w:spacing w:before="240" w:after="240" w:line="360" w:lineRule="auto"/>
        <w:rPr>
          <w:rFonts w:ascii="Arial" w:hAnsi="Arial" w:eastAsia="Arial" w:cs="Arial"/>
          <w:b w:val="1"/>
          <w:bCs w:val="1"/>
          <w:sz w:val="22"/>
          <w:szCs w:val="22"/>
        </w:rPr>
      </w:pPr>
    </w:p>
    <w:p w:rsidRPr="000C0A22" w:rsidR="000C0A22" w:rsidP="000C0A22" w:rsidRDefault="000C0A22" w14:paraId="5C3AF161" w14:textId="3B146A6E">
      <w:pPr>
        <w:spacing w:before="240" w:after="240" w:line="360" w:lineRule="auto"/>
        <w:rPr>
          <w:rFonts w:ascii="Arial" w:hAnsi="Arial" w:eastAsia="Arial" w:cs="Arial"/>
          <w:sz w:val="22"/>
          <w:szCs w:val="22"/>
        </w:rPr>
      </w:pPr>
      <w:r w:rsidRPr="000C0A22">
        <w:rPr>
          <w:rFonts w:ascii="Arial" w:hAnsi="Arial" w:eastAsia="Arial" w:cs="Arial"/>
          <w:b/>
          <w:bCs/>
          <w:sz w:val="22"/>
          <w:szCs w:val="22"/>
        </w:rPr>
        <w:t>2.</w:t>
      </w:r>
      <w:r w:rsidR="00D3253D">
        <w:rPr>
          <w:rFonts w:ascii="Arial" w:hAnsi="Arial" w:eastAsia="Arial" w:cs="Arial"/>
          <w:b/>
          <w:bCs/>
          <w:sz w:val="22"/>
          <w:szCs w:val="22"/>
        </w:rPr>
        <w:t>3</w:t>
      </w:r>
      <w:r w:rsidRPr="000C0A22">
        <w:rPr>
          <w:rFonts w:ascii="Arial" w:hAnsi="Arial" w:eastAsia="Arial" w:cs="Arial"/>
          <w:b/>
          <w:bCs/>
          <w:sz w:val="22"/>
          <w:szCs w:val="22"/>
        </w:rPr>
        <w:t xml:space="preserve"> Diagnostic Processes</w:t>
      </w:r>
    </w:p>
    <w:p w:rsidRPr="000C0A22" w:rsidR="000C0A22" w:rsidP="000C0A22" w:rsidRDefault="000C0A22" w14:paraId="5C4B0608" w14:textId="4EB1517E">
      <w:pPr>
        <w:spacing w:before="240" w:after="240" w:line="360" w:lineRule="auto"/>
        <w:rPr>
          <w:rFonts w:ascii="Arial" w:hAnsi="Arial" w:eastAsia="Arial" w:cs="Arial"/>
          <w:sz w:val="22"/>
          <w:szCs w:val="22"/>
        </w:rPr>
      </w:pPr>
      <w:r w:rsidRPr="5C735887" w:rsidR="000C0A22">
        <w:rPr>
          <w:rFonts w:ascii="Arial" w:hAnsi="Arial" w:eastAsia="Arial" w:cs="Arial"/>
          <w:sz w:val="22"/>
          <w:szCs w:val="22"/>
        </w:rPr>
        <w:t xml:space="preserve">Diagnosis of ASD involves a multidisciplinary assessment incorporating developmental history, clinical </w:t>
      </w:r>
      <w:r w:rsidRPr="5C735887" w:rsidR="574B634E">
        <w:rPr>
          <w:rFonts w:ascii="Arial" w:hAnsi="Arial" w:eastAsia="Arial" w:cs="Arial"/>
          <w:sz w:val="22"/>
          <w:szCs w:val="22"/>
        </w:rPr>
        <w:t>observation,</w:t>
      </w:r>
      <w:r w:rsidRPr="5C735887" w:rsidR="000C0A22">
        <w:rPr>
          <w:rFonts w:ascii="Arial" w:hAnsi="Arial" w:eastAsia="Arial" w:cs="Arial"/>
          <w:sz w:val="22"/>
          <w:szCs w:val="22"/>
        </w:rPr>
        <w:t xml:space="preserve"> and information from multiple sources. Diagnostic frameworks such as ICD-11 and the DSM-5 define autism through persistent social communication differences and restricted behaviours (American Psychiatric Association, 2013).</w:t>
      </w:r>
    </w:p>
    <w:p w:rsidRPr="000C0A22" w:rsidR="000C0A22" w:rsidP="000C0A22" w:rsidRDefault="000C0A22" w14:paraId="45333B0C" w14:textId="77777777">
      <w:pPr>
        <w:spacing w:before="240" w:after="240" w:line="360" w:lineRule="auto"/>
        <w:rPr>
          <w:rFonts w:ascii="Arial" w:hAnsi="Arial" w:eastAsia="Arial" w:cs="Arial"/>
          <w:sz w:val="22"/>
          <w:szCs w:val="22"/>
        </w:rPr>
      </w:pPr>
      <w:r w:rsidRPr="000C0A22">
        <w:rPr>
          <w:rFonts w:ascii="Arial" w:hAnsi="Arial" w:eastAsia="Arial" w:cs="Arial"/>
          <w:sz w:val="22"/>
          <w:szCs w:val="22"/>
        </w:rPr>
        <w:t>Standardised tools such as the Autism Diagnostic Observation Schedule support structured observation, often combined with caregiver interviews such as the ADI-R (Lord et al., 2012).</w:t>
      </w:r>
    </w:p>
    <w:p w:rsidRPr="000C0A22" w:rsidR="000C0A22" w:rsidP="000C0A22" w:rsidRDefault="000C0A22" w14:paraId="596D028A" w14:textId="5A6C3EF9">
      <w:pPr>
        <w:spacing w:before="240" w:after="240" w:line="360" w:lineRule="auto"/>
        <w:rPr>
          <w:rFonts w:ascii="Arial" w:hAnsi="Arial" w:eastAsia="Arial" w:cs="Arial"/>
          <w:sz w:val="22"/>
          <w:szCs w:val="22"/>
        </w:rPr>
      </w:pPr>
      <w:r w:rsidRPr="000C0A22">
        <w:rPr>
          <w:rFonts w:ascii="Arial" w:hAnsi="Arial" w:eastAsia="Arial" w:cs="Arial"/>
          <w:sz w:val="22"/>
          <w:szCs w:val="22"/>
        </w:rPr>
        <w:t xml:space="preserve">Epidemiological evidence indicates increasing diagnosis. The </w:t>
      </w:r>
      <w:r w:rsidRPr="000C0A22" w:rsidR="009C1179">
        <w:rPr>
          <w:rFonts w:ascii="Arial" w:hAnsi="Arial" w:eastAsia="Arial" w:cs="Arial"/>
          <w:sz w:val="22"/>
          <w:szCs w:val="22"/>
        </w:rPr>
        <w:t>Centres</w:t>
      </w:r>
      <w:r w:rsidRPr="000C0A22">
        <w:rPr>
          <w:rFonts w:ascii="Arial" w:hAnsi="Arial" w:eastAsia="Arial" w:cs="Arial"/>
          <w:sz w:val="22"/>
          <w:szCs w:val="22"/>
        </w:rPr>
        <w:t xml:space="preserve"> for Disease Control and Prevention estimates prevalence at 1 in 31 children (CDC, 2023), while UK estimates suggest around 1 in 100 people are autistic (NHS England, 2019).</w:t>
      </w:r>
    </w:p>
    <w:p w:rsidRPr="000C0A22" w:rsidR="000C0A22" w:rsidP="000C0A22" w:rsidRDefault="000C0A22" w14:paraId="46075767" w14:textId="77777777">
      <w:pPr>
        <w:spacing w:before="240" w:after="240" w:line="360" w:lineRule="auto"/>
        <w:rPr>
          <w:rFonts w:ascii="Arial" w:hAnsi="Arial" w:eastAsia="Arial" w:cs="Arial"/>
          <w:sz w:val="22"/>
          <w:szCs w:val="22"/>
        </w:rPr>
      </w:pPr>
      <w:r w:rsidRPr="000C0A22">
        <w:rPr>
          <w:rFonts w:ascii="Arial" w:hAnsi="Arial" w:eastAsia="Arial" w:cs="Arial"/>
          <w:sz w:val="22"/>
          <w:szCs w:val="22"/>
        </w:rPr>
        <w:t>Importantly, rising prevalence should not be interpreted as increased incidence, but rather as improved recognition, expanded criteria and greater societal awareness.</w:t>
      </w:r>
    </w:p>
    <w:p w:rsidRPr="000C0A22" w:rsidR="000C0A22" w:rsidP="000C0A22" w:rsidRDefault="000C0A22" w14:paraId="22B0DA25" w14:textId="77777777">
      <w:pPr>
        <w:spacing w:before="240" w:after="240" w:line="360" w:lineRule="auto"/>
        <w:rPr>
          <w:rFonts w:ascii="Arial" w:hAnsi="Arial" w:eastAsia="Arial" w:cs="Arial"/>
          <w:sz w:val="22"/>
          <w:szCs w:val="22"/>
        </w:rPr>
      </w:pPr>
      <w:r w:rsidRPr="000C0A22">
        <w:rPr>
          <w:rFonts w:ascii="Arial" w:hAnsi="Arial" w:eastAsia="Arial" w:cs="Arial"/>
          <w:sz w:val="22"/>
          <w:szCs w:val="22"/>
        </w:rPr>
        <w:t>Diagnostic systems also face limitations. Females and adults are frequently underdiagnosed due to masking behaviours and historically narrow criteria (Hull et al., 2020).</w:t>
      </w:r>
    </w:p>
    <w:p w:rsidRPr="000C0A22" w:rsidR="000C0A22" w:rsidP="000C0A22" w:rsidRDefault="000C0A22" w14:paraId="75AD7B1B" w14:textId="77777777">
      <w:pPr>
        <w:spacing w:before="240" w:after="240" w:line="360" w:lineRule="auto"/>
        <w:rPr>
          <w:rFonts w:ascii="Arial" w:hAnsi="Arial" w:eastAsia="Arial" w:cs="Arial"/>
          <w:sz w:val="22"/>
          <w:szCs w:val="22"/>
        </w:rPr>
      </w:pPr>
      <w:r w:rsidRPr="000C0A22">
        <w:rPr>
          <w:rFonts w:ascii="Arial" w:hAnsi="Arial" w:eastAsia="Arial" w:cs="Arial"/>
          <w:sz w:val="22"/>
          <w:szCs w:val="22"/>
        </w:rPr>
        <w:t>This demonstrates that diagnosis is shaped not only by clinical criteria but by gendered, cultural and social assumptions, raising concerns regarding equity and access.</w:t>
      </w:r>
    </w:p>
    <w:p w:rsidRPr="000C0A22" w:rsidR="000C0A22" w:rsidP="000C0A22" w:rsidRDefault="000C0A22" w14:paraId="1B58A775" w14:textId="77777777">
      <w:pPr>
        <w:spacing w:before="240" w:after="240" w:line="360" w:lineRule="auto"/>
        <w:rPr>
          <w:rFonts w:ascii="Arial" w:hAnsi="Arial" w:eastAsia="Arial" w:cs="Arial"/>
          <w:sz w:val="22"/>
          <w:szCs w:val="22"/>
        </w:rPr>
      </w:pPr>
      <w:r w:rsidRPr="000C0A22">
        <w:rPr>
          <w:rFonts w:ascii="Arial" w:hAnsi="Arial" w:eastAsia="Arial" w:cs="Arial"/>
          <w:sz w:val="22"/>
          <w:szCs w:val="22"/>
        </w:rPr>
        <w:t>In the UK, pathways are guided by the National Institute for Health and Care Excellence, which emphasises multidisciplinary and person-centred assessment (NICE, 2021). However, long waiting times and regional disparities persist (NHS England, 2019).</w:t>
      </w:r>
    </w:p>
    <w:p w:rsidRPr="009C1179" w:rsidR="00902B9C" w:rsidP="00902B9C" w:rsidRDefault="000C0A22" w14:paraId="68686207" w14:textId="42AC5B46">
      <w:pPr>
        <w:spacing w:before="240" w:after="240" w:line="360" w:lineRule="auto"/>
        <w:rPr>
          <w:rFonts w:ascii="Arial" w:hAnsi="Arial" w:eastAsia="Arial" w:cs="Arial"/>
          <w:sz w:val="22"/>
          <w:szCs w:val="22"/>
        </w:rPr>
      </w:pPr>
      <w:r w:rsidRPr="000C0A22">
        <w:rPr>
          <w:rFonts w:ascii="Arial" w:hAnsi="Arial" w:eastAsia="Arial" w:cs="Arial"/>
          <w:sz w:val="22"/>
          <w:szCs w:val="22"/>
        </w:rPr>
        <w:t>Delayed diagnosis represents a critical failure within early intervention systems, limiting access to support and increasing risk of mental health difficulties.</w:t>
      </w:r>
    </w:p>
    <w:p w:rsidRPr="00D840C9" w:rsidR="040B824D" w:rsidP="00D840C9" w:rsidRDefault="040B824D" w14:paraId="0E391062" w14:textId="1563ECB7">
      <w:pPr>
        <w:pStyle w:val="Heading2"/>
        <w:spacing w:before="299" w:after="299" w:line="360" w:lineRule="auto"/>
        <w:rPr>
          <w:rFonts w:ascii="Arial" w:hAnsi="Arial" w:eastAsia="Arial" w:cs="Arial"/>
          <w:b w:val="1"/>
          <w:bCs w:val="1"/>
          <w:color w:val="auto"/>
          <w:sz w:val="22"/>
          <w:szCs w:val="22"/>
        </w:rPr>
      </w:pPr>
      <w:r w:rsidRPr="5C735887" w:rsidR="040B824D">
        <w:rPr>
          <w:rFonts w:ascii="Arial" w:hAnsi="Arial" w:eastAsia="Arial" w:cs="Arial"/>
          <w:b w:val="1"/>
          <w:bCs w:val="1"/>
          <w:color w:val="auto"/>
          <w:sz w:val="22"/>
          <w:szCs w:val="22"/>
        </w:rPr>
        <w:t xml:space="preserve">2.4 Prevalence of Autism Spectrum Disorder in the UK </w:t>
      </w:r>
    </w:p>
    <w:p w:rsidRPr="00D840C9" w:rsidR="0F4AD9C2" w:rsidP="00D840C9" w:rsidRDefault="0F4AD9C2" w14:paraId="7740F60A" w14:textId="7614CB5D">
      <w:pPr>
        <w:spacing w:line="360" w:lineRule="auto"/>
        <w:rPr>
          <w:rFonts w:ascii="Arial" w:hAnsi="Arial" w:eastAsia="Aptos" w:cs="Arial"/>
          <w:sz w:val="22"/>
          <w:szCs w:val="22"/>
        </w:rPr>
      </w:pPr>
      <w:r w:rsidRPr="00D840C9">
        <w:rPr>
          <w:rFonts w:ascii="Arial" w:hAnsi="Arial" w:eastAsia="Aptos" w:cs="Arial"/>
          <w:sz w:val="22"/>
          <w:szCs w:val="22"/>
        </w:rPr>
        <w:t xml:space="preserve">Autism Spectrum Disorder (ASD) is estimated to affect approximately 1 per cent of the UK population, equating to over 700,000 autistic people (Office for National Statistics, 2021; NHS England, 2022). This figure reflects improved recognition and diagnostic expansion rather than a confirmed rise in underlying incidence. Recorded prevalence is higher among males, with diagnostic ratios of around 3:1, although evidence suggests this disparity is partly driven by under-diagnosis in females, particularly those who mask autistic traits or </w:t>
      </w:r>
      <w:r w:rsidRPr="00D840C9">
        <w:rPr>
          <w:rFonts w:ascii="Arial" w:hAnsi="Arial" w:eastAsia="Aptos" w:cs="Arial"/>
          <w:sz w:val="22"/>
          <w:szCs w:val="22"/>
        </w:rPr>
        <w:t xml:space="preserve">present without intellectual disability (Green, 2023). </w:t>
      </w:r>
      <w:r w:rsidR="001D6553">
        <w:rPr>
          <w:noProof/>
        </w:rPr>
        <w:drawing>
          <wp:inline distT="0" distB="0" distL="0" distR="0" wp14:anchorId="7709A3CF" wp14:editId="5AF6D991">
            <wp:extent cx="6324600" cy="3550920"/>
            <wp:effectExtent l="0" t="0" r="0" b="0"/>
            <wp:docPr id="1334478980" name="Picture 1" descr="Rates Of Autism By State at Samantha Tennant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tes Of Autism By State at Samantha Tennant blo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24600" cy="3550920"/>
                    </a:xfrm>
                    <a:prstGeom prst="rect">
                      <a:avLst/>
                    </a:prstGeom>
                    <a:noFill/>
                    <a:ln>
                      <a:noFill/>
                    </a:ln>
                  </pic:spPr>
                </pic:pic>
              </a:graphicData>
            </a:graphic>
          </wp:inline>
        </w:drawing>
      </w:r>
    </w:p>
    <w:p w:rsidR="0F4AD9C2" w:rsidP="00D840C9" w:rsidRDefault="0F4AD9C2" w14:paraId="51EC438D" w14:textId="3976572B">
      <w:pPr>
        <w:spacing w:line="360" w:lineRule="auto"/>
        <w:rPr>
          <w:rFonts w:ascii="Arial" w:hAnsi="Arial" w:eastAsia="Aptos" w:cs="Arial"/>
          <w:sz w:val="22"/>
          <w:szCs w:val="22"/>
        </w:rPr>
      </w:pPr>
      <w:r w:rsidRPr="00D840C9">
        <w:rPr>
          <w:rFonts w:ascii="Arial" w:hAnsi="Arial" w:eastAsia="Aptos" w:cs="Arial"/>
          <w:sz w:val="22"/>
          <w:szCs w:val="22"/>
        </w:rPr>
        <w:t>Prevalence is also higher among children and young people than adults, reflecting stronger identification through education pathways and ongoing barriers to adult diagnosis. Regional variation further indicates that diagnostic prevalence is shaped by service availability and commissioning capacity, raising concerns that recorded rates reflect access to assessment rather than true population need, with implications for equity within ICD-11 diagnostic frameworks (Shah et al., 2022).</w:t>
      </w:r>
    </w:p>
    <w:p w:rsidRPr="00D840C9" w:rsidR="040B824D" w:rsidP="00D840C9" w:rsidRDefault="040B824D" w14:paraId="0D866976" w14:textId="7F98B716">
      <w:pPr>
        <w:pStyle w:val="Heading2"/>
        <w:spacing w:before="299" w:after="299" w:line="360" w:lineRule="auto"/>
        <w:rPr>
          <w:rFonts w:ascii="Arial" w:hAnsi="Arial" w:eastAsia="Arial" w:cs="Arial"/>
          <w:b/>
          <w:bCs/>
          <w:color w:val="auto"/>
          <w:sz w:val="22"/>
          <w:szCs w:val="22"/>
        </w:rPr>
      </w:pPr>
      <w:r w:rsidRPr="00D840C9">
        <w:rPr>
          <w:rFonts w:ascii="Arial" w:hAnsi="Arial" w:eastAsia="Arial" w:cs="Arial"/>
          <w:b/>
          <w:bCs/>
          <w:color w:val="auto"/>
          <w:sz w:val="22"/>
          <w:szCs w:val="22"/>
        </w:rPr>
        <w:t>Figure 1. Estimated Autism Spectrum Disorder Prevalence in the UK by Population Group</w:t>
      </w:r>
    </w:p>
    <w:p w:rsidRPr="00D840C9" w:rsidR="040B824D" w:rsidP="00D840C9" w:rsidRDefault="040B824D" w14:paraId="184CD8B2" w14:textId="1E5F66AB">
      <w:pPr>
        <w:spacing w:after="0" w:line="360" w:lineRule="auto"/>
        <w:rPr>
          <w:rFonts w:ascii="Arial" w:hAnsi="Arial" w:cs="Arial"/>
          <w:sz w:val="22"/>
          <w:szCs w:val="22"/>
        </w:rPr>
      </w:pPr>
      <w:r w:rsidRPr="00D840C9">
        <w:rPr>
          <w:rFonts w:ascii="Arial" w:hAnsi="Arial" w:cs="Arial"/>
          <w:noProof/>
          <w:sz w:val="22"/>
          <w:szCs w:val="22"/>
        </w:rPr>
        <w:drawing>
          <wp:inline distT="0" distB="0" distL="0" distR="0" wp14:anchorId="107395B7" wp14:editId="75B2AD80">
            <wp:extent cx="2809875" cy="2809875"/>
            <wp:effectExtent l="0" t="0" r="0" b="0"/>
            <wp:docPr id="1425842747" name="drawing" title="https://ichef.bbci.co.uk/ace/standard/1920/cpsprodpb/b9ea/live/176e81e0-2a6f-11f0-8ff1-59f5dcf8e9f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842747" name="Picture 1425842747"/>
                    <pic:cNvPicPr/>
                  </pic:nvPicPr>
                  <pic:blipFill>
                    <a:blip r:embed="rId7">
                      <a:extLst>
                        <a:ext uri="{28A0092B-C50C-407E-A947-70E740481C1C}">
                          <a14:useLocalDpi xmlns:a14="http://schemas.microsoft.com/office/drawing/2010/main"/>
                        </a:ext>
                      </a:extLst>
                    </a:blip>
                    <a:stretch>
                      <a:fillRect/>
                    </a:stretch>
                  </pic:blipFill>
                  <pic:spPr>
                    <a:xfrm>
                      <a:off x="0" y="0"/>
                      <a:ext cx="2809875" cy="2809875"/>
                    </a:xfrm>
                    <a:prstGeom prst="rect">
                      <a:avLst/>
                    </a:prstGeom>
                  </pic:spPr>
                </pic:pic>
              </a:graphicData>
            </a:graphic>
          </wp:inline>
        </w:drawing>
      </w:r>
      <w:r w:rsidRPr="00D840C9" w:rsidR="3373378D">
        <w:rPr>
          <w:rFonts w:ascii="Arial" w:hAnsi="Arial" w:cs="Arial"/>
          <w:noProof/>
          <w:sz w:val="22"/>
          <w:szCs w:val="22"/>
        </w:rPr>
        <w:drawing>
          <wp:inline distT="0" distB="0" distL="0" distR="0" wp14:anchorId="2887F08C" wp14:editId="75429F4D">
            <wp:extent cx="2752907" cy="2821822"/>
            <wp:effectExtent l="0" t="0" r="0" b="0"/>
            <wp:docPr id="12843209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917340" name="Picture 510917340"/>
                    <pic:cNvPicPr/>
                  </pic:nvPicPr>
                  <pic:blipFill>
                    <a:blip r:embed="rId8">
                      <a:extLst>
                        <a:ext uri="{28A0092B-C50C-407E-A947-70E740481C1C}">
                          <a14:useLocalDpi xmlns:a14="http://schemas.microsoft.com/office/drawing/2010/main"/>
                        </a:ext>
                      </a:extLst>
                    </a:blip>
                    <a:stretch>
                      <a:fillRect/>
                    </a:stretch>
                  </pic:blipFill>
                  <pic:spPr>
                    <a:xfrm>
                      <a:off x="0" y="0"/>
                      <a:ext cx="2756489" cy="2825494"/>
                    </a:xfrm>
                    <a:prstGeom prst="rect">
                      <a:avLst/>
                    </a:prstGeom>
                  </pic:spPr>
                </pic:pic>
              </a:graphicData>
            </a:graphic>
          </wp:inline>
        </w:drawing>
      </w:r>
    </w:p>
    <w:p w:rsidRPr="00D840C9" w:rsidR="13BA47CC" w:rsidP="00D840C9" w:rsidRDefault="13BA47CC" w14:paraId="516AC191" w14:textId="1EC9C3BF">
      <w:pPr>
        <w:spacing w:after="0" w:line="360" w:lineRule="auto"/>
        <w:rPr>
          <w:rFonts w:ascii="Arial" w:hAnsi="Arial" w:cs="Arial"/>
          <w:sz w:val="22"/>
          <w:szCs w:val="22"/>
        </w:rPr>
      </w:pPr>
    </w:p>
    <w:p w:rsidRPr="00D840C9" w:rsidR="040B824D" w:rsidP="00D840C9" w:rsidRDefault="040B824D" w14:paraId="6039B895" w14:textId="2E0CC47A">
      <w:pPr>
        <w:spacing w:after="0" w:line="360" w:lineRule="auto"/>
        <w:rPr>
          <w:rFonts w:ascii="Arial" w:hAnsi="Arial" w:cs="Arial"/>
          <w:sz w:val="22"/>
          <w:szCs w:val="22"/>
        </w:rPr>
      </w:pPr>
      <w:r w:rsidRPr="00D840C9">
        <w:rPr>
          <w:rFonts w:ascii="Arial" w:hAnsi="Arial" w:cs="Arial"/>
          <w:noProof/>
          <w:sz w:val="22"/>
          <w:szCs w:val="22"/>
        </w:rPr>
        <w:drawing>
          <wp:inline distT="0" distB="0" distL="0" distR="0" wp14:anchorId="7FACA93C" wp14:editId="55700D1C">
            <wp:extent cx="3028950" cy="1693390"/>
            <wp:effectExtent l="0" t="0" r="0" b="0"/>
            <wp:docPr id="311874552" name="drawing" title="https://ichef.bbci.co.uk/images/ic/480xn/p07bjq3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874552" name="Picture 311874552"/>
                    <pic:cNvPicPr/>
                  </pic:nvPicPr>
                  <pic:blipFill>
                    <a:blip r:embed="rId9">
                      <a:extLst>
                        <a:ext uri="{28A0092B-C50C-407E-A947-70E740481C1C}">
                          <a14:useLocalDpi xmlns:a14="http://schemas.microsoft.com/office/drawing/2010/main"/>
                        </a:ext>
                      </a:extLst>
                    </a:blip>
                    <a:stretch>
                      <a:fillRect/>
                    </a:stretch>
                  </pic:blipFill>
                  <pic:spPr>
                    <a:xfrm>
                      <a:off x="0" y="0"/>
                      <a:ext cx="3028950" cy="1693390"/>
                    </a:xfrm>
                    <a:prstGeom prst="rect">
                      <a:avLst/>
                    </a:prstGeom>
                  </pic:spPr>
                </pic:pic>
              </a:graphicData>
            </a:graphic>
          </wp:inline>
        </w:drawing>
      </w:r>
    </w:p>
    <w:p w:rsidRPr="00D840C9" w:rsidR="040B824D" w:rsidP="00D840C9" w:rsidRDefault="040B824D" w14:paraId="4EAF3AAC" w14:textId="3D053209">
      <w:pPr>
        <w:spacing w:before="240" w:after="240" w:line="360" w:lineRule="auto"/>
        <w:rPr>
          <w:rFonts w:ascii="Arial" w:hAnsi="Arial" w:cs="Arial"/>
          <w:sz w:val="22"/>
          <w:szCs w:val="22"/>
        </w:rPr>
      </w:pPr>
      <w:r w:rsidRPr="00D840C9">
        <w:rPr>
          <w:rFonts w:ascii="Arial" w:hAnsi="Arial" w:eastAsia="Arial" w:cs="Arial"/>
          <w:b/>
          <w:bCs/>
          <w:sz w:val="22"/>
          <w:szCs w:val="22"/>
        </w:rPr>
        <w:t xml:space="preserve">Figure </w:t>
      </w:r>
      <w:r w:rsidR="00F513B4">
        <w:rPr>
          <w:rFonts w:ascii="Arial" w:hAnsi="Arial" w:eastAsia="Arial" w:cs="Arial"/>
          <w:b/>
          <w:bCs/>
          <w:sz w:val="22"/>
          <w:szCs w:val="22"/>
        </w:rPr>
        <w:t>1</w:t>
      </w:r>
      <w:r w:rsidRPr="00D840C9">
        <w:rPr>
          <w:rFonts w:ascii="Arial" w:hAnsi="Arial" w:eastAsia="Arial" w:cs="Arial"/>
          <w:sz w:val="22"/>
          <w:szCs w:val="22"/>
        </w:rPr>
        <w:t xml:space="preserve"> illustrates indicative UK autism prevalence estimates across selected demographic groups, highlighting disparities by sex and age.</w:t>
      </w:r>
    </w:p>
    <w:p w:rsidRPr="00D840C9" w:rsidR="040B824D" w:rsidP="00D840C9" w:rsidRDefault="040B824D" w14:paraId="760940A0" w14:textId="574EB9C3">
      <w:pPr>
        <w:pStyle w:val="Heading2"/>
        <w:spacing w:before="299" w:after="299" w:line="360" w:lineRule="auto"/>
        <w:rPr>
          <w:rFonts w:ascii="Arial" w:hAnsi="Arial" w:eastAsia="Arial" w:cs="Arial"/>
          <w:b/>
          <w:bCs/>
          <w:color w:val="auto"/>
          <w:sz w:val="22"/>
          <w:szCs w:val="22"/>
        </w:rPr>
      </w:pPr>
      <w:r w:rsidRPr="00D840C9">
        <w:rPr>
          <w:rFonts w:ascii="Arial" w:hAnsi="Arial" w:eastAsia="Arial" w:cs="Arial"/>
          <w:b/>
          <w:bCs/>
          <w:color w:val="auto"/>
          <w:sz w:val="22"/>
          <w:szCs w:val="22"/>
        </w:rPr>
        <w:t>Table 1. Estimated Autism Spectrum Disorder Prevalence in the UK</w:t>
      </w:r>
    </w:p>
    <w:tbl>
      <w:tblPr>
        <w:tblW w:w="0" w:type="auto"/>
        <w:tblLook w:val="06A0" w:firstRow="1" w:lastRow="0" w:firstColumn="1" w:lastColumn="0" w:noHBand="1" w:noVBand="1"/>
      </w:tblPr>
      <w:tblGrid>
        <w:gridCol w:w="2906"/>
        <w:gridCol w:w="2515"/>
      </w:tblGrid>
      <w:tr w:rsidRPr="00D840C9" w:rsidR="13BA47CC" w:rsidTr="13BA47CC" w14:paraId="14720AD1" w14:textId="77777777">
        <w:trPr>
          <w:trHeight w:val="300"/>
        </w:trPr>
        <w:tc>
          <w:tcPr>
            <w:tcW w:w="2906" w:type="dxa"/>
            <w:vAlign w:val="center"/>
          </w:tcPr>
          <w:p w:rsidRPr="00D840C9" w:rsidR="13BA47CC" w:rsidP="00D840C9" w:rsidRDefault="13BA47CC" w14:paraId="77BA0B0B" w14:textId="1ABAFC9B">
            <w:pPr>
              <w:spacing w:after="0" w:line="360" w:lineRule="auto"/>
              <w:jc w:val="center"/>
              <w:rPr>
                <w:rFonts w:ascii="Arial" w:hAnsi="Arial" w:cs="Arial"/>
                <w:sz w:val="22"/>
                <w:szCs w:val="22"/>
              </w:rPr>
            </w:pPr>
            <w:r w:rsidRPr="00D840C9">
              <w:rPr>
                <w:rFonts w:ascii="Arial" w:hAnsi="Arial" w:cs="Arial"/>
                <w:b/>
                <w:bCs/>
                <w:sz w:val="22"/>
                <w:szCs w:val="22"/>
              </w:rPr>
              <w:t>Population Group</w:t>
            </w:r>
          </w:p>
        </w:tc>
        <w:tc>
          <w:tcPr>
            <w:tcW w:w="2515" w:type="dxa"/>
            <w:vAlign w:val="center"/>
          </w:tcPr>
          <w:p w:rsidRPr="00D840C9" w:rsidR="13BA47CC" w:rsidP="00D840C9" w:rsidRDefault="13BA47CC" w14:paraId="088ABCF7" w14:textId="27561E90">
            <w:pPr>
              <w:spacing w:after="0" w:line="360" w:lineRule="auto"/>
              <w:jc w:val="center"/>
              <w:rPr>
                <w:rFonts w:ascii="Arial" w:hAnsi="Arial" w:cs="Arial"/>
                <w:sz w:val="22"/>
                <w:szCs w:val="22"/>
              </w:rPr>
            </w:pPr>
            <w:r w:rsidRPr="00D840C9">
              <w:rPr>
                <w:rFonts w:ascii="Arial" w:hAnsi="Arial" w:cs="Arial"/>
                <w:b/>
                <w:bCs/>
                <w:sz w:val="22"/>
                <w:szCs w:val="22"/>
              </w:rPr>
              <w:t>Estimated Prevalence</w:t>
            </w:r>
          </w:p>
        </w:tc>
      </w:tr>
      <w:tr w:rsidRPr="00D840C9" w:rsidR="13BA47CC" w:rsidTr="13BA47CC" w14:paraId="504AE936" w14:textId="77777777">
        <w:trPr>
          <w:trHeight w:val="300"/>
        </w:trPr>
        <w:tc>
          <w:tcPr>
            <w:tcW w:w="2906" w:type="dxa"/>
            <w:vAlign w:val="center"/>
          </w:tcPr>
          <w:p w:rsidRPr="00D840C9" w:rsidR="3F90A737" w:rsidP="00D840C9" w:rsidRDefault="3F90A737" w14:paraId="2AF0048A" w14:textId="3E8D50EA">
            <w:pPr>
              <w:spacing w:after="0" w:line="360" w:lineRule="auto"/>
              <w:rPr>
                <w:rFonts w:ascii="Arial" w:hAnsi="Arial" w:cs="Arial"/>
                <w:sz w:val="22"/>
                <w:szCs w:val="22"/>
              </w:rPr>
            </w:pPr>
            <w:r w:rsidRPr="00D840C9">
              <w:rPr>
                <w:rFonts w:ascii="Arial" w:hAnsi="Arial" w:cs="Arial"/>
                <w:sz w:val="22"/>
                <w:szCs w:val="22"/>
              </w:rPr>
              <w:t>Overall,</w:t>
            </w:r>
            <w:r w:rsidRPr="00D840C9" w:rsidR="13BA47CC">
              <w:rPr>
                <w:rFonts w:ascii="Arial" w:hAnsi="Arial" w:cs="Arial"/>
                <w:sz w:val="22"/>
                <w:szCs w:val="22"/>
              </w:rPr>
              <w:t xml:space="preserve"> UK population</w:t>
            </w:r>
          </w:p>
        </w:tc>
        <w:tc>
          <w:tcPr>
            <w:tcW w:w="2515" w:type="dxa"/>
            <w:vAlign w:val="center"/>
          </w:tcPr>
          <w:p w:rsidRPr="00D840C9" w:rsidR="03264042" w:rsidP="00D840C9" w:rsidRDefault="03264042" w14:paraId="1D522C5E" w14:textId="3E1B56A3">
            <w:pPr>
              <w:spacing w:after="0" w:line="360" w:lineRule="auto"/>
              <w:rPr>
                <w:rFonts w:ascii="Arial" w:hAnsi="Arial" w:cs="Arial"/>
                <w:sz w:val="22"/>
                <w:szCs w:val="22"/>
              </w:rPr>
            </w:pPr>
            <w:r w:rsidRPr="00D840C9">
              <w:rPr>
                <w:rFonts w:ascii="Arial" w:hAnsi="Arial" w:cs="Arial"/>
                <w:sz w:val="22"/>
                <w:szCs w:val="22"/>
              </w:rPr>
              <w:t xml:space="preserve">             -</w:t>
            </w:r>
            <w:r w:rsidRPr="00D840C9" w:rsidR="13BA47CC">
              <w:rPr>
                <w:rFonts w:ascii="Arial" w:hAnsi="Arial" w:cs="Arial"/>
                <w:sz w:val="22"/>
                <w:szCs w:val="22"/>
              </w:rPr>
              <w:t>1.0%</w:t>
            </w:r>
          </w:p>
        </w:tc>
      </w:tr>
      <w:tr w:rsidRPr="00D840C9" w:rsidR="13BA47CC" w:rsidTr="13BA47CC" w14:paraId="0CC995A3" w14:textId="77777777">
        <w:trPr>
          <w:trHeight w:val="300"/>
        </w:trPr>
        <w:tc>
          <w:tcPr>
            <w:tcW w:w="2906" w:type="dxa"/>
            <w:vAlign w:val="center"/>
          </w:tcPr>
          <w:p w:rsidRPr="00D840C9" w:rsidR="13BA47CC" w:rsidP="00D840C9" w:rsidRDefault="13BA47CC" w14:paraId="08A4264E" w14:textId="2269B458">
            <w:pPr>
              <w:spacing w:after="0" w:line="360" w:lineRule="auto"/>
              <w:rPr>
                <w:rFonts w:ascii="Arial" w:hAnsi="Arial" w:cs="Arial"/>
                <w:sz w:val="22"/>
                <w:szCs w:val="22"/>
              </w:rPr>
            </w:pPr>
            <w:r w:rsidRPr="00D840C9">
              <w:rPr>
                <w:rFonts w:ascii="Arial" w:hAnsi="Arial" w:cs="Arial"/>
                <w:sz w:val="22"/>
                <w:szCs w:val="22"/>
              </w:rPr>
              <w:t>Males</w:t>
            </w:r>
          </w:p>
        </w:tc>
        <w:tc>
          <w:tcPr>
            <w:tcW w:w="2515" w:type="dxa"/>
            <w:vAlign w:val="center"/>
          </w:tcPr>
          <w:p w:rsidRPr="00D840C9" w:rsidR="2018B3E0" w:rsidP="00D840C9" w:rsidRDefault="2018B3E0" w14:paraId="3CFDB9B7" w14:textId="4105FDED">
            <w:pPr>
              <w:spacing w:after="0" w:line="360" w:lineRule="auto"/>
              <w:rPr>
                <w:rFonts w:ascii="Arial" w:hAnsi="Arial" w:cs="Arial"/>
                <w:sz w:val="22"/>
                <w:szCs w:val="22"/>
              </w:rPr>
            </w:pPr>
            <w:r w:rsidRPr="00D840C9">
              <w:rPr>
                <w:rFonts w:ascii="Arial" w:hAnsi="Arial" w:cs="Arial"/>
                <w:sz w:val="22"/>
                <w:szCs w:val="22"/>
              </w:rPr>
              <w:t xml:space="preserve">             -</w:t>
            </w:r>
            <w:r w:rsidRPr="00D840C9" w:rsidR="13BA47CC">
              <w:rPr>
                <w:rFonts w:ascii="Arial" w:hAnsi="Arial" w:cs="Arial"/>
                <w:sz w:val="22"/>
                <w:szCs w:val="22"/>
              </w:rPr>
              <w:t>1.6%</w:t>
            </w:r>
          </w:p>
        </w:tc>
      </w:tr>
      <w:tr w:rsidRPr="00D840C9" w:rsidR="13BA47CC" w:rsidTr="13BA47CC" w14:paraId="0CE7F794" w14:textId="77777777">
        <w:trPr>
          <w:trHeight w:val="300"/>
        </w:trPr>
        <w:tc>
          <w:tcPr>
            <w:tcW w:w="2906" w:type="dxa"/>
            <w:vAlign w:val="center"/>
          </w:tcPr>
          <w:p w:rsidRPr="00D840C9" w:rsidR="13BA47CC" w:rsidP="00D840C9" w:rsidRDefault="13BA47CC" w14:paraId="18C78C7C" w14:textId="52C3692D">
            <w:pPr>
              <w:spacing w:after="0" w:line="360" w:lineRule="auto"/>
              <w:rPr>
                <w:rFonts w:ascii="Arial" w:hAnsi="Arial" w:cs="Arial"/>
                <w:sz w:val="22"/>
                <w:szCs w:val="22"/>
              </w:rPr>
            </w:pPr>
            <w:r w:rsidRPr="00D840C9">
              <w:rPr>
                <w:rFonts w:ascii="Arial" w:hAnsi="Arial" w:cs="Arial"/>
                <w:sz w:val="22"/>
                <w:szCs w:val="22"/>
              </w:rPr>
              <w:t>Females</w:t>
            </w:r>
          </w:p>
        </w:tc>
        <w:tc>
          <w:tcPr>
            <w:tcW w:w="2515" w:type="dxa"/>
            <w:vAlign w:val="center"/>
          </w:tcPr>
          <w:p w:rsidRPr="00D840C9" w:rsidR="7598B4F5" w:rsidP="00D840C9" w:rsidRDefault="7598B4F5" w14:paraId="723C37D5" w14:textId="59C05336">
            <w:pPr>
              <w:spacing w:after="0" w:line="360" w:lineRule="auto"/>
              <w:rPr>
                <w:rFonts w:ascii="Arial" w:hAnsi="Arial" w:cs="Arial"/>
                <w:sz w:val="22"/>
                <w:szCs w:val="22"/>
              </w:rPr>
            </w:pPr>
            <w:r w:rsidRPr="00D840C9">
              <w:rPr>
                <w:rFonts w:ascii="Arial" w:hAnsi="Arial" w:cs="Arial"/>
                <w:sz w:val="22"/>
                <w:szCs w:val="22"/>
              </w:rPr>
              <w:t xml:space="preserve">             -</w:t>
            </w:r>
            <w:r w:rsidRPr="00D840C9" w:rsidR="13BA47CC">
              <w:rPr>
                <w:rFonts w:ascii="Arial" w:hAnsi="Arial" w:cs="Arial"/>
                <w:sz w:val="22"/>
                <w:szCs w:val="22"/>
              </w:rPr>
              <w:t>0.6%</w:t>
            </w:r>
          </w:p>
        </w:tc>
      </w:tr>
      <w:tr w:rsidRPr="00D840C9" w:rsidR="13BA47CC" w:rsidTr="13BA47CC" w14:paraId="40A55973" w14:textId="77777777">
        <w:trPr>
          <w:trHeight w:val="300"/>
        </w:trPr>
        <w:tc>
          <w:tcPr>
            <w:tcW w:w="2906" w:type="dxa"/>
            <w:vAlign w:val="center"/>
          </w:tcPr>
          <w:p w:rsidRPr="00D840C9" w:rsidR="13BA47CC" w:rsidP="00D840C9" w:rsidRDefault="13BA47CC" w14:paraId="1A849A18" w14:textId="0F1B7008">
            <w:pPr>
              <w:spacing w:after="0" w:line="360" w:lineRule="auto"/>
              <w:rPr>
                <w:rFonts w:ascii="Arial" w:hAnsi="Arial" w:cs="Arial"/>
                <w:sz w:val="22"/>
                <w:szCs w:val="22"/>
              </w:rPr>
            </w:pPr>
            <w:r w:rsidRPr="00D840C9">
              <w:rPr>
                <w:rFonts w:ascii="Arial" w:hAnsi="Arial" w:cs="Arial"/>
                <w:sz w:val="22"/>
                <w:szCs w:val="22"/>
              </w:rPr>
              <w:t>Children and young people</w:t>
            </w:r>
          </w:p>
        </w:tc>
        <w:tc>
          <w:tcPr>
            <w:tcW w:w="2515" w:type="dxa"/>
            <w:vAlign w:val="center"/>
          </w:tcPr>
          <w:p w:rsidRPr="00D840C9" w:rsidR="2463DD58" w:rsidP="00D840C9" w:rsidRDefault="2463DD58" w14:paraId="56C93558" w14:textId="29640754">
            <w:pPr>
              <w:spacing w:after="0" w:line="360" w:lineRule="auto"/>
              <w:rPr>
                <w:rFonts w:ascii="Arial" w:hAnsi="Arial" w:cs="Arial"/>
                <w:sz w:val="22"/>
                <w:szCs w:val="22"/>
              </w:rPr>
            </w:pPr>
            <w:r w:rsidRPr="00D840C9">
              <w:rPr>
                <w:rFonts w:ascii="Arial" w:hAnsi="Arial" w:cs="Arial"/>
                <w:sz w:val="22"/>
                <w:szCs w:val="22"/>
              </w:rPr>
              <w:t xml:space="preserve">             -</w:t>
            </w:r>
            <w:r w:rsidRPr="00D840C9" w:rsidR="13BA47CC">
              <w:rPr>
                <w:rFonts w:ascii="Arial" w:hAnsi="Arial" w:cs="Arial"/>
                <w:sz w:val="22"/>
                <w:szCs w:val="22"/>
              </w:rPr>
              <w:t>1.4%</w:t>
            </w:r>
          </w:p>
        </w:tc>
      </w:tr>
      <w:tr w:rsidRPr="00D840C9" w:rsidR="13BA47CC" w:rsidTr="13BA47CC" w14:paraId="365E3F05" w14:textId="77777777">
        <w:trPr>
          <w:trHeight w:val="300"/>
        </w:trPr>
        <w:tc>
          <w:tcPr>
            <w:tcW w:w="2906" w:type="dxa"/>
            <w:vAlign w:val="center"/>
          </w:tcPr>
          <w:p w:rsidRPr="00D840C9" w:rsidR="13BA47CC" w:rsidP="00D840C9" w:rsidRDefault="13BA47CC" w14:paraId="3ED1F911" w14:textId="05A3E3EC">
            <w:pPr>
              <w:spacing w:after="0" w:line="360" w:lineRule="auto"/>
              <w:rPr>
                <w:rFonts w:ascii="Arial" w:hAnsi="Arial" w:cs="Arial"/>
                <w:sz w:val="22"/>
                <w:szCs w:val="22"/>
              </w:rPr>
            </w:pPr>
            <w:r w:rsidRPr="00D840C9">
              <w:rPr>
                <w:rFonts w:ascii="Arial" w:hAnsi="Arial" w:cs="Arial"/>
                <w:sz w:val="22"/>
                <w:szCs w:val="22"/>
              </w:rPr>
              <w:t>Adults</w:t>
            </w:r>
          </w:p>
        </w:tc>
        <w:tc>
          <w:tcPr>
            <w:tcW w:w="2515" w:type="dxa"/>
            <w:vAlign w:val="center"/>
          </w:tcPr>
          <w:p w:rsidRPr="00D840C9" w:rsidR="344F45DF" w:rsidP="00D840C9" w:rsidRDefault="344F45DF" w14:paraId="5FC5422D" w14:textId="48EF9947">
            <w:pPr>
              <w:spacing w:after="0" w:line="360" w:lineRule="auto"/>
              <w:rPr>
                <w:rFonts w:ascii="Arial" w:hAnsi="Arial" w:cs="Arial"/>
                <w:sz w:val="22"/>
                <w:szCs w:val="22"/>
              </w:rPr>
            </w:pPr>
            <w:r w:rsidRPr="00D840C9">
              <w:rPr>
                <w:rFonts w:ascii="Arial" w:hAnsi="Arial" w:cs="Arial"/>
                <w:sz w:val="22"/>
                <w:szCs w:val="22"/>
              </w:rPr>
              <w:t xml:space="preserve">            -</w:t>
            </w:r>
            <w:r w:rsidRPr="00D840C9" w:rsidR="13BA47CC">
              <w:rPr>
                <w:rFonts w:ascii="Arial" w:hAnsi="Arial" w:cs="Arial"/>
                <w:sz w:val="22"/>
                <w:szCs w:val="22"/>
              </w:rPr>
              <w:t>0.8%</w:t>
            </w:r>
          </w:p>
        </w:tc>
      </w:tr>
    </w:tbl>
    <w:p w:rsidRPr="00D840C9" w:rsidR="040B824D" w:rsidP="00D840C9" w:rsidRDefault="040B824D" w14:paraId="325F27E4" w14:textId="01B6F1FA">
      <w:pPr>
        <w:spacing w:before="240" w:after="240" w:line="360" w:lineRule="auto"/>
        <w:rPr>
          <w:rFonts w:ascii="Arial" w:hAnsi="Arial" w:cs="Arial"/>
          <w:sz w:val="22"/>
          <w:szCs w:val="22"/>
        </w:rPr>
      </w:pPr>
      <w:r w:rsidRPr="00D840C9">
        <w:rPr>
          <w:rFonts w:ascii="Arial" w:hAnsi="Arial" w:eastAsia="Arial" w:cs="Arial"/>
          <w:i/>
          <w:iCs/>
          <w:sz w:val="22"/>
          <w:szCs w:val="22"/>
        </w:rPr>
        <w:t>Source: ONS (2021); NHS England (2022); NICE synthesis.</w:t>
      </w:r>
    </w:p>
    <w:p w:rsidRPr="00D840C9" w:rsidR="4ACD723C" w:rsidP="00D840C9" w:rsidRDefault="4ACD723C" w14:paraId="51F7C237" w14:textId="0AA212B7">
      <w:pPr>
        <w:pStyle w:val="Heading3"/>
        <w:spacing w:before="281" w:after="281" w:line="360" w:lineRule="auto"/>
        <w:rPr>
          <w:rFonts w:ascii="Arial" w:hAnsi="Arial" w:eastAsia="Arial" w:cs="Arial"/>
          <w:b/>
          <w:bCs/>
          <w:color w:val="auto"/>
          <w:sz w:val="22"/>
          <w:szCs w:val="22"/>
        </w:rPr>
      </w:pPr>
      <w:r w:rsidRPr="00D840C9">
        <w:rPr>
          <w:rFonts w:ascii="Arial" w:hAnsi="Arial" w:eastAsia="Arial" w:cs="Arial"/>
          <w:b/>
          <w:bCs/>
          <w:color w:val="auto"/>
          <w:sz w:val="22"/>
          <w:szCs w:val="22"/>
        </w:rPr>
        <w:t>2.5 Critical</w:t>
      </w:r>
      <w:r w:rsidRPr="00D840C9" w:rsidR="040B824D">
        <w:rPr>
          <w:rFonts w:ascii="Arial" w:hAnsi="Arial" w:eastAsia="Arial" w:cs="Arial"/>
          <w:b/>
          <w:bCs/>
          <w:color w:val="auto"/>
          <w:sz w:val="22"/>
          <w:szCs w:val="22"/>
        </w:rPr>
        <w:t xml:space="preserve"> Interpretation and Policy Implications</w:t>
      </w:r>
    </w:p>
    <w:p w:rsidRPr="00D840C9" w:rsidR="040B824D" w:rsidP="00D840C9" w:rsidRDefault="040B824D" w14:paraId="6426264A" w14:textId="4EEB41C2">
      <w:pPr>
        <w:spacing w:before="240" w:after="240" w:line="360" w:lineRule="auto"/>
        <w:rPr>
          <w:rFonts w:ascii="Arial" w:hAnsi="Arial" w:eastAsia="Arial" w:cs="Arial"/>
          <w:sz w:val="22"/>
          <w:szCs w:val="22"/>
        </w:rPr>
      </w:pPr>
      <w:r w:rsidRPr="5C735887" w:rsidR="040B824D">
        <w:rPr>
          <w:rFonts w:ascii="Arial" w:hAnsi="Arial" w:eastAsia="Arial" w:cs="Arial"/>
          <w:sz w:val="22"/>
          <w:szCs w:val="22"/>
        </w:rPr>
        <w:t xml:space="preserve">While prevalence statistics are essential for planning services, reliance on recorded diagnoses risks underestimating true need, particularly among adults, </w:t>
      </w:r>
      <w:r w:rsidRPr="5C735887" w:rsidR="234DFD9C">
        <w:rPr>
          <w:rFonts w:ascii="Arial" w:hAnsi="Arial" w:eastAsia="Arial" w:cs="Arial"/>
          <w:sz w:val="22"/>
          <w:szCs w:val="22"/>
        </w:rPr>
        <w:t>women,</w:t>
      </w:r>
      <w:r w:rsidRPr="5C735887" w:rsidR="040B824D">
        <w:rPr>
          <w:rFonts w:ascii="Arial" w:hAnsi="Arial" w:eastAsia="Arial" w:cs="Arial"/>
          <w:sz w:val="22"/>
          <w:szCs w:val="22"/>
        </w:rPr>
        <w:t xml:space="preserve"> and individuals from minority ethnic backgrounds. ICD-11’s requirement for “clinically significant impairment” may further disadvantage individuals who experience high internal distress but present as externally functioning due to masking or adaptive strategies (Green, 2023).</w:t>
      </w:r>
    </w:p>
    <w:p w:rsidRPr="00D840C9" w:rsidR="040B824D" w:rsidP="00D840C9" w:rsidRDefault="040B824D" w14:paraId="3AFBE815" w14:textId="1119838C">
      <w:pPr>
        <w:spacing w:line="360" w:lineRule="auto"/>
        <w:rPr>
          <w:rFonts w:ascii="Arial" w:hAnsi="Arial" w:cs="Arial"/>
          <w:sz w:val="22"/>
          <w:szCs w:val="22"/>
        </w:rPr>
      </w:pPr>
      <w:r w:rsidRPr="00D840C9">
        <w:rPr>
          <w:rFonts w:ascii="Arial" w:hAnsi="Arial" w:eastAsia="Arial" w:cs="Arial"/>
          <w:sz w:val="22"/>
          <w:szCs w:val="22"/>
        </w:rPr>
        <w:t>From a UK policy perspective, prevalence data directly inform commissioning decisions, workforce planning and eligibility thresholds across health and social care. However, if prevalence reflects service access rather than population need, commissioning based solely on diagnostic figures risks perpetuating inequalities. This strengthens the case for applying ICD-11 classification alongside rights-based duties, including reasonable adjustments under the Equality Act 2010 and needs-led assessment under the Care Act 2014, ensuring that rehabilitation and supp</w:t>
      </w:r>
    </w:p>
    <w:p w:rsidRPr="00D840C9" w:rsidR="0AD9ADD3" w:rsidP="00D840C9" w:rsidRDefault="0AD9ADD3" w14:paraId="4F1B7AFD" w14:textId="05806A14">
      <w:pPr>
        <w:pStyle w:val="Heading2"/>
        <w:spacing w:before="299" w:after="0" w:line="360" w:lineRule="auto"/>
        <w:rPr>
          <w:rFonts w:ascii="Arial" w:hAnsi="Arial" w:eastAsia="Arial" w:cs="Arial"/>
          <w:b/>
          <w:bCs/>
          <w:color w:val="auto"/>
          <w:sz w:val="22"/>
          <w:szCs w:val="22"/>
        </w:rPr>
      </w:pPr>
      <w:r w:rsidRPr="00D840C9">
        <w:rPr>
          <w:rFonts w:ascii="Arial" w:hAnsi="Arial" w:eastAsia="Arial" w:cs="Arial"/>
          <w:b/>
          <w:bCs/>
          <w:color w:val="auto"/>
          <w:sz w:val="22"/>
          <w:szCs w:val="22"/>
        </w:rPr>
        <w:t>3. Treatment and Rehabilitation</w:t>
      </w:r>
    </w:p>
    <w:p w:rsidRPr="00D840C9" w:rsidR="0AD9ADD3" w:rsidP="00D840C9" w:rsidRDefault="0AD9ADD3" w14:paraId="764082E1" w14:textId="7D160EA6">
      <w:pPr>
        <w:pStyle w:val="Heading3"/>
        <w:spacing w:before="281" w:after="0" w:line="360" w:lineRule="auto"/>
        <w:rPr>
          <w:rFonts w:ascii="Arial" w:hAnsi="Arial" w:eastAsia="Arial" w:cs="Arial"/>
          <w:color w:val="auto"/>
          <w:sz w:val="22"/>
          <w:szCs w:val="22"/>
        </w:rPr>
      </w:pPr>
      <w:r w:rsidRPr="00D840C9">
        <w:rPr>
          <w:rFonts w:ascii="Arial" w:hAnsi="Arial" w:eastAsia="Arial" w:cs="Arial"/>
          <w:b/>
          <w:bCs/>
          <w:color w:val="auto"/>
          <w:sz w:val="22"/>
          <w:szCs w:val="22"/>
        </w:rPr>
        <w:t>3.1 Standard Treatment Approaches</w:t>
      </w:r>
    </w:p>
    <w:p w:rsidRPr="00D840C9" w:rsidR="0AD9ADD3" w:rsidP="00D840C9" w:rsidRDefault="0AD9ADD3" w14:paraId="6BF78331" w14:textId="14CFFF94">
      <w:pPr>
        <w:spacing w:before="240" w:after="240" w:line="360" w:lineRule="auto"/>
        <w:rPr>
          <w:rFonts w:ascii="Arial" w:hAnsi="Arial" w:eastAsia="Arial" w:cs="Arial"/>
          <w:sz w:val="22"/>
          <w:szCs w:val="22"/>
        </w:rPr>
      </w:pPr>
      <w:r w:rsidRPr="5C735887" w:rsidR="0AD9ADD3">
        <w:rPr>
          <w:rFonts w:ascii="Arial" w:hAnsi="Arial" w:eastAsia="Arial" w:cs="Arial"/>
          <w:sz w:val="22"/>
          <w:szCs w:val="22"/>
        </w:rPr>
        <w:t xml:space="preserve">Autism Spectrum Disorder is understood as a lifelong neurodevelopmental condition rather than an episodic mental illness. Consequent treatment in UK practice focuses on supporting communication, emotional wellbeing and participation, alongside reasonable adjustments in education, </w:t>
      </w:r>
      <w:r w:rsidRPr="5C735887" w:rsidR="5F288D9B">
        <w:rPr>
          <w:rFonts w:ascii="Arial" w:hAnsi="Arial" w:eastAsia="Arial" w:cs="Arial"/>
          <w:sz w:val="22"/>
          <w:szCs w:val="22"/>
        </w:rPr>
        <w:t>employment,</w:t>
      </w:r>
      <w:r w:rsidRPr="5C735887" w:rsidR="0AD9ADD3">
        <w:rPr>
          <w:rFonts w:ascii="Arial" w:hAnsi="Arial" w:eastAsia="Arial" w:cs="Arial"/>
          <w:sz w:val="22"/>
          <w:szCs w:val="22"/>
        </w:rPr>
        <w:t xml:space="preserve"> and community settings (NICE, 2012; NICE, 2013).</w:t>
      </w:r>
    </w:p>
    <w:p w:rsidRPr="00D840C9" w:rsidR="0AD9ADD3" w:rsidP="00D840C9" w:rsidRDefault="0AD9ADD3" w14:paraId="5B73AD12" w14:textId="1C88909B">
      <w:pPr>
        <w:spacing w:before="240" w:after="240" w:line="360" w:lineRule="auto"/>
        <w:rPr>
          <w:rFonts w:ascii="Arial" w:hAnsi="Arial" w:eastAsia="Arial" w:cs="Arial"/>
          <w:sz w:val="22"/>
          <w:szCs w:val="22"/>
        </w:rPr>
      </w:pPr>
      <w:r w:rsidRPr="5C735887" w:rsidR="0AD9ADD3">
        <w:rPr>
          <w:rFonts w:ascii="Arial" w:hAnsi="Arial" w:eastAsia="Arial" w:cs="Arial"/>
          <w:sz w:val="22"/>
          <w:szCs w:val="22"/>
        </w:rPr>
        <w:t xml:space="preserve">NICE guidance states that there is no pharmacological treatment for the core features of autism. Medication may be prescribed for co-occurring conditions such as anxiety, </w:t>
      </w:r>
      <w:r w:rsidRPr="5C735887" w:rsidR="68CAA510">
        <w:rPr>
          <w:rFonts w:ascii="Arial" w:hAnsi="Arial" w:eastAsia="Arial" w:cs="Arial"/>
          <w:sz w:val="22"/>
          <w:szCs w:val="22"/>
        </w:rPr>
        <w:t>depression,</w:t>
      </w:r>
      <w:r w:rsidRPr="5C735887" w:rsidR="0AD9ADD3">
        <w:rPr>
          <w:rFonts w:ascii="Arial" w:hAnsi="Arial" w:eastAsia="Arial" w:cs="Arial"/>
          <w:sz w:val="22"/>
          <w:szCs w:val="22"/>
        </w:rPr>
        <w:t xml:space="preserve"> or ADHD, or for severe behavioural challenges in limited circumstances, but should not replace </w:t>
      </w:r>
      <w:r w:rsidRPr="5C735887" w:rsidR="0AD9ADD3">
        <w:rPr>
          <w:rFonts w:ascii="Arial" w:hAnsi="Arial" w:eastAsia="Arial" w:cs="Arial"/>
          <w:sz w:val="22"/>
          <w:szCs w:val="22"/>
        </w:rPr>
        <w:t>appropriate psychosocial</w:t>
      </w:r>
      <w:r w:rsidRPr="5C735887" w:rsidR="0AD9ADD3">
        <w:rPr>
          <w:rFonts w:ascii="Arial" w:hAnsi="Arial" w:eastAsia="Arial" w:cs="Arial"/>
          <w:sz w:val="22"/>
          <w:szCs w:val="22"/>
        </w:rPr>
        <w:t xml:space="preserve"> support or environmental adaptation (NICE, 2012; NICE, 2013).</w:t>
      </w:r>
    </w:p>
    <w:p w:rsidRPr="00D840C9" w:rsidR="0AD9ADD3" w:rsidP="00D840C9" w:rsidRDefault="0AD9ADD3" w14:paraId="78CE1576" w14:textId="341E498F">
      <w:pPr>
        <w:spacing w:before="240" w:after="240" w:line="360" w:lineRule="auto"/>
        <w:rPr>
          <w:rFonts w:ascii="Arial" w:hAnsi="Arial" w:eastAsia="Arial" w:cs="Arial"/>
          <w:sz w:val="22"/>
          <w:szCs w:val="22"/>
        </w:rPr>
      </w:pPr>
      <w:r w:rsidRPr="5C735887" w:rsidR="0AD9ADD3">
        <w:rPr>
          <w:rFonts w:ascii="Arial" w:hAnsi="Arial" w:eastAsia="Arial" w:cs="Arial"/>
          <w:sz w:val="22"/>
          <w:szCs w:val="22"/>
        </w:rPr>
        <w:t xml:space="preserve">Psychosocial interventions may include communication support, family-based </w:t>
      </w:r>
      <w:r w:rsidRPr="5C735887" w:rsidR="1E98AC4A">
        <w:rPr>
          <w:rFonts w:ascii="Arial" w:hAnsi="Arial" w:eastAsia="Arial" w:cs="Arial"/>
          <w:sz w:val="22"/>
          <w:szCs w:val="22"/>
        </w:rPr>
        <w:t>approaches,</w:t>
      </w:r>
      <w:r w:rsidRPr="5C735887" w:rsidR="0AD9ADD3">
        <w:rPr>
          <w:rFonts w:ascii="Arial" w:hAnsi="Arial" w:eastAsia="Arial" w:cs="Arial"/>
          <w:sz w:val="22"/>
          <w:szCs w:val="22"/>
        </w:rPr>
        <w:t xml:space="preserve"> and targeted behavioural strategies for specific difficulties. NICE emphasises person-centred planning that </w:t>
      </w:r>
      <w:r w:rsidRPr="5C735887" w:rsidR="4AB10924">
        <w:rPr>
          <w:rFonts w:ascii="Arial" w:hAnsi="Arial" w:eastAsia="Arial" w:cs="Arial"/>
          <w:sz w:val="22"/>
          <w:szCs w:val="22"/>
        </w:rPr>
        <w:t>recognises autistic strengths, needs,</w:t>
      </w:r>
      <w:r w:rsidRPr="5C735887" w:rsidR="0AD9ADD3">
        <w:rPr>
          <w:rFonts w:ascii="Arial" w:hAnsi="Arial" w:eastAsia="Arial" w:cs="Arial"/>
          <w:sz w:val="22"/>
          <w:szCs w:val="22"/>
        </w:rPr>
        <w:t xml:space="preserve"> and avoids coercive or normalisation-focused interventions that undermine autonomy and identity (NICE, 2013).</w:t>
      </w:r>
    </w:p>
    <w:p w:rsidRPr="00D840C9" w:rsidR="0AD9ADD3" w:rsidP="00D840C9" w:rsidRDefault="0AD9ADD3" w14:paraId="2EB3E432" w14:textId="7568DB00">
      <w:pPr>
        <w:pStyle w:val="Heading3"/>
        <w:spacing w:before="281" w:after="281" w:line="360" w:lineRule="auto"/>
        <w:rPr>
          <w:rFonts w:ascii="Arial" w:hAnsi="Arial" w:eastAsia="Arial" w:cs="Arial"/>
          <w:b/>
          <w:bCs/>
          <w:color w:val="auto"/>
          <w:sz w:val="22"/>
          <w:szCs w:val="22"/>
        </w:rPr>
      </w:pPr>
      <w:r w:rsidRPr="00D840C9">
        <w:rPr>
          <w:rFonts w:ascii="Arial" w:hAnsi="Arial" w:eastAsia="Arial" w:cs="Arial"/>
          <w:b/>
          <w:bCs/>
          <w:color w:val="auto"/>
          <w:sz w:val="22"/>
          <w:szCs w:val="22"/>
        </w:rPr>
        <w:t>3.2 Rehabilitation Measures in ICD-11 and UK Practice</w:t>
      </w:r>
    </w:p>
    <w:p w:rsidRPr="00D840C9" w:rsidR="0AD9ADD3" w:rsidP="00D840C9" w:rsidRDefault="0AD9ADD3" w14:paraId="1C84EAD3" w14:textId="781B9908">
      <w:pPr>
        <w:spacing w:before="240" w:after="240" w:line="360" w:lineRule="auto"/>
        <w:rPr>
          <w:rFonts w:ascii="Arial" w:hAnsi="Arial" w:eastAsia="Arial" w:cs="Arial"/>
          <w:sz w:val="22"/>
          <w:szCs w:val="22"/>
        </w:rPr>
      </w:pPr>
      <w:r w:rsidRPr="5C735887" w:rsidR="0AD9ADD3">
        <w:rPr>
          <w:rFonts w:ascii="Arial" w:hAnsi="Arial" w:eastAsia="Arial" w:cs="Arial"/>
          <w:sz w:val="22"/>
          <w:szCs w:val="22"/>
        </w:rPr>
        <w:t xml:space="preserve">Rehabilitation for ASD aims to enable participation and reduce disability through tailored supports rather than behavioural modification. In practice, this includes occupational therapy, sensory-informed approaches, speech and language therapy, daily living skills </w:t>
      </w:r>
      <w:r w:rsidRPr="5C735887" w:rsidR="7DB89767">
        <w:rPr>
          <w:rFonts w:ascii="Arial" w:hAnsi="Arial" w:eastAsia="Arial" w:cs="Arial"/>
          <w:sz w:val="22"/>
          <w:szCs w:val="22"/>
        </w:rPr>
        <w:t>support,</w:t>
      </w:r>
      <w:r w:rsidRPr="5C735887" w:rsidR="0AD9ADD3">
        <w:rPr>
          <w:rFonts w:ascii="Arial" w:hAnsi="Arial" w:eastAsia="Arial" w:cs="Arial"/>
          <w:sz w:val="22"/>
          <w:szCs w:val="22"/>
        </w:rPr>
        <w:t xml:space="preserve"> and employment </w:t>
      </w:r>
      <w:r w:rsidRPr="5C735887" w:rsidR="0AD9ADD3">
        <w:rPr>
          <w:rFonts w:ascii="Arial" w:hAnsi="Arial" w:eastAsia="Arial" w:cs="Arial"/>
          <w:sz w:val="22"/>
          <w:szCs w:val="22"/>
        </w:rPr>
        <w:t>assistance</w:t>
      </w:r>
      <w:r w:rsidRPr="5C735887" w:rsidR="0AD9ADD3">
        <w:rPr>
          <w:rFonts w:ascii="Arial" w:hAnsi="Arial" w:eastAsia="Arial" w:cs="Arial"/>
          <w:sz w:val="22"/>
          <w:szCs w:val="22"/>
        </w:rPr>
        <w:t>, increasingly framed within inclusive and rights-based models (Shah et al., 2022).</w:t>
      </w:r>
    </w:p>
    <w:p w:rsidRPr="00D840C9" w:rsidR="0AD9ADD3" w:rsidP="00D840C9" w:rsidRDefault="0AD9ADD3" w14:paraId="38F7D106" w14:textId="22EF2640">
      <w:pPr>
        <w:spacing w:before="240" w:after="240" w:line="360" w:lineRule="auto"/>
        <w:rPr>
          <w:rFonts w:ascii="Arial" w:hAnsi="Arial" w:eastAsia="Arial" w:cs="Arial"/>
          <w:sz w:val="22"/>
          <w:szCs w:val="22"/>
        </w:rPr>
      </w:pPr>
      <w:r w:rsidRPr="5C735887" w:rsidR="0AD9ADD3">
        <w:rPr>
          <w:rFonts w:ascii="Arial" w:hAnsi="Arial" w:eastAsia="Arial" w:cs="Arial"/>
          <w:sz w:val="22"/>
          <w:szCs w:val="22"/>
        </w:rPr>
        <w:t xml:space="preserve">For adults, rehabilitation often requires coordination across NHS services, local </w:t>
      </w:r>
      <w:r w:rsidRPr="5C735887" w:rsidR="4833618A">
        <w:rPr>
          <w:rFonts w:ascii="Arial" w:hAnsi="Arial" w:eastAsia="Arial" w:cs="Arial"/>
          <w:sz w:val="22"/>
          <w:szCs w:val="22"/>
        </w:rPr>
        <w:t>authorities,</w:t>
      </w:r>
      <w:r w:rsidRPr="5C735887" w:rsidR="0AD9ADD3">
        <w:rPr>
          <w:rFonts w:ascii="Arial" w:hAnsi="Arial" w:eastAsia="Arial" w:cs="Arial"/>
          <w:sz w:val="22"/>
          <w:szCs w:val="22"/>
        </w:rPr>
        <w:t xml:space="preserve"> and the voluntary sector to address housing, </w:t>
      </w:r>
      <w:r w:rsidRPr="5C735887" w:rsidR="1954781D">
        <w:rPr>
          <w:rFonts w:ascii="Arial" w:hAnsi="Arial" w:eastAsia="Arial" w:cs="Arial"/>
          <w:sz w:val="22"/>
          <w:szCs w:val="22"/>
        </w:rPr>
        <w:t>employment,</w:t>
      </w:r>
      <w:r w:rsidRPr="5C735887" w:rsidR="0AD9ADD3">
        <w:rPr>
          <w:rFonts w:ascii="Arial" w:hAnsi="Arial" w:eastAsia="Arial" w:cs="Arial"/>
          <w:sz w:val="22"/>
          <w:szCs w:val="22"/>
        </w:rPr>
        <w:t xml:space="preserve"> and community inclusion. UK policy frameworks, including the Autism Act 2009 and statutory guidance on the adult autism strategy, emphasise shared responsibility across health and social care rather than reliance on healthcare alone (Autism Act, 2009; DHSC, 2015).</w:t>
      </w:r>
    </w:p>
    <w:p w:rsidR="0AD9ADD3" w:rsidP="00D840C9" w:rsidRDefault="0AD9ADD3" w14:paraId="002FECD1" w14:textId="59F01612">
      <w:pPr>
        <w:spacing w:before="240" w:after="240" w:line="360" w:lineRule="auto"/>
        <w:rPr>
          <w:rFonts w:ascii="Arial" w:hAnsi="Arial" w:eastAsia="Arial" w:cs="Arial"/>
          <w:sz w:val="22"/>
          <w:szCs w:val="22"/>
        </w:rPr>
      </w:pPr>
      <w:r w:rsidRPr="5C735887" w:rsidR="0AD9ADD3">
        <w:rPr>
          <w:rFonts w:ascii="Arial" w:hAnsi="Arial" w:eastAsia="Arial" w:cs="Arial"/>
          <w:sz w:val="22"/>
          <w:szCs w:val="22"/>
        </w:rPr>
        <w:t xml:space="preserve">The National Strategy for Autistic People further highlights reducing health inequalities, improving access to </w:t>
      </w:r>
      <w:r w:rsidRPr="5C735887" w:rsidR="4013F0C4">
        <w:rPr>
          <w:rFonts w:ascii="Arial" w:hAnsi="Arial" w:eastAsia="Arial" w:cs="Arial"/>
          <w:sz w:val="22"/>
          <w:szCs w:val="22"/>
        </w:rPr>
        <w:t>support,</w:t>
      </w:r>
      <w:r w:rsidRPr="5C735887" w:rsidR="0AD9ADD3">
        <w:rPr>
          <w:rFonts w:ascii="Arial" w:hAnsi="Arial" w:eastAsia="Arial" w:cs="Arial"/>
          <w:sz w:val="22"/>
          <w:szCs w:val="22"/>
        </w:rPr>
        <w:t xml:space="preserve"> and promoting societal understanding (Local Government Association, 2021). </w:t>
      </w:r>
      <w:r w:rsidRPr="5C735887" w:rsidR="0AD9ADD3">
        <w:rPr>
          <w:rFonts w:ascii="Arial" w:hAnsi="Arial" w:eastAsia="Arial" w:cs="Arial"/>
          <w:sz w:val="22"/>
          <w:szCs w:val="22"/>
        </w:rPr>
        <w:t>Accordingly</w:t>
      </w:r>
      <w:r w:rsidRPr="5C735887" w:rsidR="0AD9ADD3">
        <w:rPr>
          <w:rFonts w:ascii="Arial" w:hAnsi="Arial" w:eastAsia="Arial" w:cs="Arial"/>
          <w:sz w:val="22"/>
          <w:szCs w:val="22"/>
        </w:rPr>
        <w:t xml:space="preserve">, effective rehabilitation prioritises environmental adaptation, </w:t>
      </w:r>
      <w:r w:rsidRPr="5C735887" w:rsidR="6DD029B3">
        <w:rPr>
          <w:rFonts w:ascii="Arial" w:hAnsi="Arial" w:eastAsia="Arial" w:cs="Arial"/>
          <w:sz w:val="22"/>
          <w:szCs w:val="22"/>
        </w:rPr>
        <w:t>autonomy,</w:t>
      </w:r>
      <w:r w:rsidRPr="5C735887" w:rsidR="0AD9ADD3">
        <w:rPr>
          <w:rFonts w:ascii="Arial" w:hAnsi="Arial" w:eastAsia="Arial" w:cs="Arial"/>
          <w:sz w:val="22"/>
          <w:szCs w:val="22"/>
        </w:rPr>
        <w:t xml:space="preserve"> and participation, aligning practice with social and rights-based models of disability rather than deficit-focused medical frameworks.</w:t>
      </w:r>
    </w:p>
    <w:p w:rsidRPr="00D840C9" w:rsidR="00577349" w:rsidP="00D840C9" w:rsidRDefault="00577349" w14:paraId="724C6AE8" w14:textId="306F3CF8">
      <w:pPr>
        <w:spacing w:before="240" w:after="240" w:line="360" w:lineRule="auto"/>
        <w:rPr>
          <w:rFonts w:ascii="Arial" w:hAnsi="Arial" w:eastAsia="Arial" w:cs="Arial"/>
          <w:sz w:val="22"/>
          <w:szCs w:val="22"/>
        </w:rPr>
      </w:pPr>
      <w:r>
        <w:rPr>
          <w:rFonts w:ascii="Arial" w:hAnsi="Arial" w:eastAsia="Arial" w:cs="Arial"/>
          <w:noProof/>
          <w:sz w:val="22"/>
          <w:szCs w:val="22"/>
        </w:rPr>
        <w:drawing>
          <wp:inline distT="0" distB="0" distL="0" distR="0" wp14:anchorId="697E9CE2" wp14:editId="4ED70505">
            <wp:extent cx="5913120" cy="2956560"/>
            <wp:effectExtent l="0" t="0" r="0" b="0"/>
            <wp:docPr id="15495054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13120" cy="2956560"/>
                    </a:xfrm>
                    <a:prstGeom prst="rect">
                      <a:avLst/>
                    </a:prstGeom>
                    <a:noFill/>
                  </pic:spPr>
                </pic:pic>
              </a:graphicData>
            </a:graphic>
          </wp:inline>
        </w:drawing>
      </w:r>
    </w:p>
    <w:p w:rsidRPr="00D840C9" w:rsidR="06A60A2C" w:rsidP="00D840C9" w:rsidRDefault="06A60A2C" w14:paraId="21D24DE9" w14:textId="60C51E36">
      <w:pPr>
        <w:pStyle w:val="Heading2"/>
        <w:spacing w:before="299" w:after="299" w:line="360" w:lineRule="auto"/>
        <w:rPr>
          <w:rFonts w:ascii="Arial" w:hAnsi="Arial" w:eastAsia="Arial" w:cs="Arial"/>
          <w:b/>
          <w:bCs/>
          <w:color w:val="auto"/>
          <w:sz w:val="22"/>
          <w:szCs w:val="22"/>
        </w:rPr>
      </w:pPr>
      <w:r w:rsidRPr="00D840C9">
        <w:rPr>
          <w:rFonts w:ascii="Arial" w:hAnsi="Arial" w:eastAsia="Arial" w:cs="Arial"/>
          <w:b/>
          <w:bCs/>
          <w:color w:val="auto"/>
          <w:sz w:val="22"/>
          <w:szCs w:val="22"/>
        </w:rPr>
        <w:t>3.3 Effectiveness and Limitations</w:t>
      </w:r>
    </w:p>
    <w:p w:rsidRPr="00D840C9" w:rsidR="06A60A2C" w:rsidP="00D840C9" w:rsidRDefault="06A60A2C" w14:paraId="50A437E1" w14:textId="62AEA20D">
      <w:pPr>
        <w:spacing w:before="240" w:after="240" w:line="360" w:lineRule="auto"/>
        <w:rPr>
          <w:rFonts w:ascii="Arial" w:hAnsi="Arial" w:eastAsia="Arial" w:cs="Arial"/>
          <w:sz w:val="22"/>
          <w:szCs w:val="22"/>
        </w:rPr>
      </w:pPr>
      <w:r w:rsidRPr="5C735887" w:rsidR="06A60A2C">
        <w:rPr>
          <w:rFonts w:ascii="Arial" w:hAnsi="Arial" w:eastAsia="Arial" w:cs="Arial"/>
          <w:sz w:val="22"/>
          <w:szCs w:val="22"/>
        </w:rPr>
        <w:t xml:space="preserve">The effectiveness of ASD interventions varies according to appropriateness, </w:t>
      </w:r>
      <w:r w:rsidRPr="5C735887" w:rsidR="391EDB40">
        <w:rPr>
          <w:rFonts w:ascii="Arial" w:hAnsi="Arial" w:eastAsia="Arial" w:cs="Arial"/>
          <w:sz w:val="22"/>
          <w:szCs w:val="22"/>
        </w:rPr>
        <w:t>timing,</w:t>
      </w:r>
      <w:r w:rsidRPr="5C735887" w:rsidR="06A60A2C">
        <w:rPr>
          <w:rFonts w:ascii="Arial" w:hAnsi="Arial" w:eastAsia="Arial" w:cs="Arial"/>
          <w:sz w:val="22"/>
          <w:szCs w:val="22"/>
        </w:rPr>
        <w:t xml:space="preserve"> and respect for individual autonomy. Interventions focusing on communication support, sensory needs and practical adjustments can improve wellbeing and participation; however, </w:t>
      </w:r>
      <w:r w:rsidRPr="5C735887" w:rsidR="06A60A2C">
        <w:rPr>
          <w:rFonts w:ascii="Arial" w:hAnsi="Arial" w:eastAsia="Arial" w:cs="Arial"/>
          <w:sz w:val="22"/>
          <w:szCs w:val="22"/>
        </w:rPr>
        <w:t>effectiveness is limited where services are under-resourced, culturally insensitive or prioritise compliance over autonomy (Green, 2023).</w:t>
      </w:r>
    </w:p>
    <w:p w:rsidRPr="00D840C9" w:rsidR="06A60A2C" w:rsidP="00D840C9" w:rsidRDefault="06A60A2C" w14:paraId="6D8A193A" w14:textId="55EF5709">
      <w:pPr>
        <w:spacing w:before="240" w:after="240" w:line="360" w:lineRule="auto"/>
        <w:rPr>
          <w:rFonts w:ascii="Arial" w:hAnsi="Arial" w:eastAsia="Arial" w:cs="Arial"/>
          <w:sz w:val="22"/>
          <w:szCs w:val="22"/>
        </w:rPr>
      </w:pPr>
      <w:r w:rsidRPr="5C735887" w:rsidR="06A60A2C">
        <w:rPr>
          <w:rFonts w:ascii="Arial" w:hAnsi="Arial" w:eastAsia="Arial" w:cs="Arial"/>
          <w:sz w:val="22"/>
          <w:szCs w:val="22"/>
        </w:rPr>
        <w:t xml:space="preserve">A key limitation is that diagnostic recognition does not consistently lead to meaningful post-diagnostic support, particularly within adult services. Long waiting times, fragmented </w:t>
      </w:r>
      <w:r w:rsidRPr="5C735887" w:rsidR="3923B897">
        <w:rPr>
          <w:rFonts w:ascii="Arial" w:hAnsi="Arial" w:eastAsia="Arial" w:cs="Arial"/>
          <w:sz w:val="22"/>
          <w:szCs w:val="22"/>
        </w:rPr>
        <w:t>commissioning,</w:t>
      </w:r>
      <w:r w:rsidRPr="5C735887" w:rsidR="06A60A2C">
        <w:rPr>
          <w:rFonts w:ascii="Arial" w:hAnsi="Arial" w:eastAsia="Arial" w:cs="Arial"/>
          <w:sz w:val="22"/>
          <w:szCs w:val="22"/>
        </w:rPr>
        <w:t xml:space="preserve"> and inconsistent eligibility thresholds undermine NICE ambitions for access and quality (NHS England, 2019). Autistic people also experience elevated rates of co-occurring mental health difficulties, which may be </w:t>
      </w:r>
      <w:r w:rsidRPr="5C735887" w:rsidR="06A60A2C">
        <w:rPr>
          <w:rFonts w:ascii="Arial" w:hAnsi="Arial" w:eastAsia="Arial" w:cs="Arial"/>
          <w:sz w:val="22"/>
          <w:szCs w:val="22"/>
        </w:rPr>
        <w:t>exacerbated</w:t>
      </w:r>
      <w:r w:rsidRPr="5C735887" w:rsidR="06A60A2C">
        <w:rPr>
          <w:rFonts w:ascii="Arial" w:hAnsi="Arial" w:eastAsia="Arial" w:cs="Arial"/>
          <w:sz w:val="22"/>
          <w:szCs w:val="22"/>
        </w:rPr>
        <w:t xml:space="preserve"> by stigma, </w:t>
      </w:r>
      <w:r w:rsidRPr="5C735887" w:rsidR="011789C2">
        <w:rPr>
          <w:rFonts w:ascii="Arial" w:hAnsi="Arial" w:eastAsia="Arial" w:cs="Arial"/>
          <w:sz w:val="22"/>
          <w:szCs w:val="22"/>
        </w:rPr>
        <w:t>exclusion,</w:t>
      </w:r>
      <w:r w:rsidRPr="5C735887" w:rsidR="06A60A2C">
        <w:rPr>
          <w:rFonts w:ascii="Arial" w:hAnsi="Arial" w:eastAsia="Arial" w:cs="Arial"/>
          <w:sz w:val="22"/>
          <w:szCs w:val="22"/>
        </w:rPr>
        <w:t xml:space="preserve"> and inadequate adjustments (Green, 2023).</w:t>
      </w:r>
    </w:p>
    <w:p w:rsidRPr="00D840C9" w:rsidR="06A60A2C" w:rsidP="00D840C9" w:rsidRDefault="06A60A2C" w14:paraId="645067A1" w14:textId="5E4B82AE">
      <w:pPr>
        <w:spacing w:before="240" w:after="240" w:line="360" w:lineRule="auto"/>
        <w:rPr>
          <w:rFonts w:ascii="Arial" w:hAnsi="Arial" w:eastAsia="Arial" w:cs="Arial"/>
          <w:sz w:val="22"/>
          <w:szCs w:val="22"/>
        </w:rPr>
      </w:pPr>
      <w:r w:rsidRPr="5C735887" w:rsidR="06A60A2C">
        <w:rPr>
          <w:rFonts w:ascii="Arial" w:hAnsi="Arial" w:eastAsia="Arial" w:cs="Arial"/>
          <w:sz w:val="22"/>
          <w:szCs w:val="22"/>
        </w:rPr>
        <w:t xml:space="preserve">From a critical perspective, over-medicalised approaches risk </w:t>
      </w:r>
      <w:r w:rsidRPr="5C735887" w:rsidR="06A60A2C">
        <w:rPr>
          <w:rFonts w:ascii="Arial" w:hAnsi="Arial" w:eastAsia="Arial" w:cs="Arial"/>
          <w:sz w:val="22"/>
          <w:szCs w:val="22"/>
        </w:rPr>
        <w:t>pathologising</w:t>
      </w:r>
      <w:r w:rsidRPr="5C735887" w:rsidR="06A60A2C">
        <w:rPr>
          <w:rFonts w:ascii="Arial" w:hAnsi="Arial" w:eastAsia="Arial" w:cs="Arial"/>
          <w:sz w:val="22"/>
          <w:szCs w:val="22"/>
        </w:rPr>
        <w:t xml:space="preserve"> difference and obscuring social determinants of distress, including bullying, unemployment, </w:t>
      </w:r>
      <w:r w:rsidRPr="5C735887" w:rsidR="3544F4A0">
        <w:rPr>
          <w:rFonts w:ascii="Arial" w:hAnsi="Arial" w:eastAsia="Arial" w:cs="Arial"/>
          <w:sz w:val="22"/>
          <w:szCs w:val="22"/>
        </w:rPr>
        <w:t>poverty,</w:t>
      </w:r>
      <w:r w:rsidRPr="5C735887" w:rsidR="06A60A2C">
        <w:rPr>
          <w:rFonts w:ascii="Arial" w:hAnsi="Arial" w:eastAsia="Arial" w:cs="Arial"/>
          <w:sz w:val="22"/>
          <w:szCs w:val="22"/>
        </w:rPr>
        <w:t xml:space="preserve"> and barriers to healthcare access. This highlights the need for integrated, rights-based rehabilitation models spanning health, </w:t>
      </w:r>
      <w:r w:rsidRPr="5C735887" w:rsidR="0FC94A3B">
        <w:rPr>
          <w:rFonts w:ascii="Arial" w:hAnsi="Arial" w:eastAsia="Arial" w:cs="Arial"/>
          <w:sz w:val="22"/>
          <w:szCs w:val="22"/>
        </w:rPr>
        <w:t>education,</w:t>
      </w:r>
      <w:r w:rsidRPr="5C735887" w:rsidR="06A60A2C">
        <w:rPr>
          <w:rFonts w:ascii="Arial" w:hAnsi="Arial" w:eastAsia="Arial" w:cs="Arial"/>
          <w:sz w:val="22"/>
          <w:szCs w:val="22"/>
        </w:rPr>
        <w:t xml:space="preserve"> and social care.</w:t>
      </w:r>
    </w:p>
    <w:p w:rsidRPr="00D840C9" w:rsidR="00BD61FF" w:rsidP="00D840C9" w:rsidRDefault="00BD61FF" w14:paraId="23874BE2" w14:textId="3F37658D">
      <w:pPr>
        <w:spacing w:line="360" w:lineRule="auto"/>
        <w:rPr>
          <w:rFonts w:ascii="Arial" w:hAnsi="Arial" w:cs="Arial"/>
          <w:b/>
          <w:bCs/>
          <w:sz w:val="22"/>
          <w:szCs w:val="22"/>
        </w:rPr>
      </w:pPr>
      <w:r w:rsidRPr="00D840C9">
        <w:rPr>
          <w:rFonts w:ascii="Arial" w:hAnsi="Arial" w:cs="Arial"/>
          <w:b/>
          <w:bCs/>
          <w:sz w:val="22"/>
          <w:szCs w:val="22"/>
        </w:rPr>
        <w:t>4. Current Debates and Emerging Issues</w:t>
      </w:r>
    </w:p>
    <w:p w:rsidRPr="00D840C9" w:rsidR="00BD61FF" w:rsidP="00D840C9" w:rsidRDefault="00BD61FF" w14:paraId="1876EA35" w14:textId="7867CE3A">
      <w:pPr>
        <w:spacing w:line="360" w:lineRule="auto"/>
        <w:rPr>
          <w:rFonts w:ascii="Arial" w:hAnsi="Arial" w:cs="Arial"/>
          <w:b/>
          <w:bCs/>
          <w:sz w:val="22"/>
          <w:szCs w:val="22"/>
        </w:rPr>
      </w:pPr>
      <w:r w:rsidRPr="00D840C9">
        <w:rPr>
          <w:rFonts w:ascii="Arial" w:hAnsi="Arial" w:cs="Arial"/>
          <w:b/>
          <w:bCs/>
          <w:sz w:val="22"/>
          <w:szCs w:val="22"/>
        </w:rPr>
        <w:t xml:space="preserve">4.1 Classification, </w:t>
      </w:r>
      <w:r w:rsidRPr="00D840C9" w:rsidR="00E47129">
        <w:rPr>
          <w:rFonts w:ascii="Arial" w:hAnsi="Arial" w:cs="Arial"/>
          <w:b/>
          <w:bCs/>
          <w:sz w:val="22"/>
          <w:szCs w:val="22"/>
        </w:rPr>
        <w:t>Identity,</w:t>
      </w:r>
      <w:r w:rsidRPr="00D840C9">
        <w:rPr>
          <w:rFonts w:ascii="Arial" w:hAnsi="Arial" w:cs="Arial"/>
          <w:b/>
          <w:bCs/>
          <w:sz w:val="22"/>
          <w:szCs w:val="22"/>
        </w:rPr>
        <w:t xml:space="preserve"> and the Neurodiversity Debate</w:t>
      </w:r>
    </w:p>
    <w:p w:rsidRPr="00D840C9" w:rsidR="00BD61FF" w:rsidP="00D840C9" w:rsidRDefault="00BD61FF" w14:paraId="2503A336" w14:textId="05040627">
      <w:pPr>
        <w:spacing w:line="360" w:lineRule="auto"/>
        <w:rPr>
          <w:rFonts w:ascii="Arial" w:hAnsi="Arial" w:cs="Arial"/>
          <w:sz w:val="22"/>
          <w:szCs w:val="22"/>
        </w:rPr>
      </w:pPr>
      <w:r w:rsidRPr="00D840C9">
        <w:rPr>
          <w:rFonts w:ascii="Arial" w:hAnsi="Arial" w:cs="Arial"/>
          <w:sz w:val="22"/>
          <w:szCs w:val="22"/>
        </w:rPr>
        <w:t>One of the most significant debates concerns whether autism should be conceptualised primarily as a disorder or as neurodivergence. Neurodiversity perspectives argue that autism is a natural variant of human cognition, and that the social environment often produces disability through lack of inclusion and accommodations (Shah et al., 2022). This debate also affects preferred terminology, including identity-first language such as “autistic person</w:t>
      </w:r>
      <w:r w:rsidRPr="00D840C9" w:rsidR="00E47129">
        <w:rPr>
          <w:rFonts w:ascii="Arial" w:hAnsi="Arial" w:cs="Arial"/>
          <w:sz w:val="22"/>
          <w:szCs w:val="22"/>
        </w:rPr>
        <w:t>,”</w:t>
      </w:r>
      <w:r w:rsidRPr="00D840C9">
        <w:rPr>
          <w:rFonts w:ascii="Arial" w:hAnsi="Arial" w:cs="Arial"/>
          <w:sz w:val="22"/>
          <w:szCs w:val="22"/>
        </w:rPr>
        <w:t xml:space="preserve"> which some argue reflects identity and community rather than illness (Shah et al., 2022).</w:t>
      </w:r>
    </w:p>
    <w:p w:rsidRPr="00D840C9" w:rsidR="00BD61FF" w:rsidP="00D840C9" w:rsidRDefault="00BD61FF" w14:paraId="17990BB0" w14:textId="402D2F97">
      <w:pPr>
        <w:spacing w:line="360" w:lineRule="auto"/>
        <w:rPr>
          <w:rFonts w:ascii="Arial" w:hAnsi="Arial" w:cs="Arial"/>
          <w:sz w:val="22"/>
          <w:szCs w:val="22"/>
        </w:rPr>
      </w:pPr>
      <w:r w:rsidRPr="00D840C9">
        <w:rPr>
          <w:rFonts w:ascii="Arial" w:hAnsi="Arial" w:cs="Arial"/>
          <w:sz w:val="22"/>
          <w:szCs w:val="22"/>
        </w:rPr>
        <w:t xml:space="preserve">Clinical and family perspectives may emphasise substantial disability, </w:t>
      </w:r>
      <w:r w:rsidRPr="00D840C9" w:rsidR="00E47129">
        <w:rPr>
          <w:rFonts w:ascii="Arial" w:hAnsi="Arial" w:cs="Arial"/>
          <w:sz w:val="22"/>
          <w:szCs w:val="22"/>
        </w:rPr>
        <w:t>distress,</w:t>
      </w:r>
      <w:r w:rsidRPr="00D840C9">
        <w:rPr>
          <w:rFonts w:ascii="Arial" w:hAnsi="Arial" w:cs="Arial"/>
          <w:sz w:val="22"/>
          <w:szCs w:val="22"/>
        </w:rPr>
        <w:t xml:space="preserve"> and support needs for some individuals, particularly those with high care needs or intellectual disability. Green (2023) notes that neurodiversity framing can be experienced by some clinicians and families as insufficiently recognising impairment and the urgency of support. These tensions are important in practice because classification impacts funding, eligibility, and service commissioning.</w:t>
      </w:r>
    </w:p>
    <w:p w:rsidRPr="00D840C9" w:rsidR="008D57D7" w:rsidP="00D840C9" w:rsidRDefault="008D57D7" w14:paraId="03683664" w14:textId="77777777">
      <w:pPr>
        <w:spacing w:line="360" w:lineRule="auto"/>
        <w:rPr>
          <w:rFonts w:ascii="Arial" w:hAnsi="Arial" w:cs="Arial"/>
          <w:b/>
          <w:bCs/>
          <w:sz w:val="22"/>
          <w:szCs w:val="22"/>
        </w:rPr>
      </w:pPr>
    </w:p>
    <w:p w:rsidRPr="00D840C9" w:rsidR="00BD61FF" w:rsidP="00D840C9" w:rsidRDefault="00BD61FF" w14:paraId="656213D6" w14:textId="6F860484">
      <w:pPr>
        <w:spacing w:line="360" w:lineRule="auto"/>
        <w:rPr>
          <w:rFonts w:ascii="Arial" w:hAnsi="Arial" w:cs="Arial"/>
          <w:b/>
          <w:bCs/>
          <w:sz w:val="22"/>
          <w:szCs w:val="22"/>
        </w:rPr>
      </w:pPr>
      <w:r w:rsidRPr="00D840C9">
        <w:rPr>
          <w:rFonts w:ascii="Arial" w:hAnsi="Arial" w:cs="Arial"/>
          <w:b/>
          <w:bCs/>
          <w:sz w:val="22"/>
          <w:szCs w:val="22"/>
        </w:rPr>
        <w:t>4.2 Diagnostic Thresholds, Masking and Equity</w:t>
      </w:r>
    </w:p>
    <w:p w:rsidRPr="00D840C9" w:rsidR="00BD61FF" w:rsidP="00D840C9" w:rsidRDefault="00BD61FF" w14:paraId="7E9FDBB8" w14:textId="77777777">
      <w:pPr>
        <w:spacing w:line="360" w:lineRule="auto"/>
        <w:rPr>
          <w:rFonts w:ascii="Arial" w:hAnsi="Arial" w:cs="Arial"/>
          <w:sz w:val="22"/>
          <w:szCs w:val="22"/>
        </w:rPr>
      </w:pPr>
      <w:r w:rsidRPr="00D840C9">
        <w:rPr>
          <w:rFonts w:ascii="Arial" w:hAnsi="Arial" w:cs="Arial"/>
          <w:sz w:val="22"/>
          <w:szCs w:val="22"/>
        </w:rPr>
        <w:t xml:space="preserve">Another debate relates to diagnostic thresholds and the requirement for clinically significant impairment. ICD-11 and other diagnostic systems require impairment, yet many individuals experience substantial internal distress while presenting as externally competent due to masking or compensation, especially women and some minority groups (Green, 2023). This </w:t>
      </w:r>
      <w:r w:rsidRPr="00D840C9">
        <w:rPr>
          <w:rFonts w:ascii="Arial" w:hAnsi="Arial" w:cs="Arial"/>
          <w:sz w:val="22"/>
          <w:szCs w:val="22"/>
        </w:rPr>
        <w:t>can lead to under-diagnosis or misdiagnosis, delayed access to adjustments, and poorer mental health outcomes.</w:t>
      </w:r>
    </w:p>
    <w:p w:rsidRPr="00D840C9" w:rsidR="00BD61FF" w:rsidP="00D840C9" w:rsidRDefault="00BD61FF" w14:paraId="55BD2006" w14:textId="77777777">
      <w:pPr>
        <w:spacing w:line="360" w:lineRule="auto"/>
        <w:rPr>
          <w:rFonts w:ascii="Arial" w:hAnsi="Arial" w:cs="Arial"/>
          <w:sz w:val="22"/>
          <w:szCs w:val="22"/>
        </w:rPr>
      </w:pPr>
      <w:r w:rsidRPr="00D840C9">
        <w:rPr>
          <w:rFonts w:ascii="Arial" w:hAnsi="Arial" w:cs="Arial"/>
          <w:sz w:val="22"/>
          <w:szCs w:val="22"/>
        </w:rPr>
        <w:t>Contemporary literature also highlights that diagnostic tools and professional assumptions may not adequately capture culturally shaped communication norms, potentially affecting assessment equity. This creates a policy and practice imperative to improve culturally competent assessment, reduce bias and ensure that diagnosis does not reproduce inequalities.</w:t>
      </w:r>
    </w:p>
    <w:p w:rsidR="00C61319" w:rsidP="00D840C9" w:rsidRDefault="00C61319" w14:paraId="6B274275" w14:textId="77777777">
      <w:pPr>
        <w:spacing w:line="360" w:lineRule="auto"/>
        <w:rPr>
          <w:rFonts w:ascii="Arial" w:hAnsi="Arial" w:cs="Arial"/>
          <w:b/>
          <w:bCs/>
          <w:sz w:val="22"/>
          <w:szCs w:val="22"/>
        </w:rPr>
      </w:pPr>
    </w:p>
    <w:p w:rsidRPr="00D840C9" w:rsidR="00BD61FF" w:rsidP="00D840C9" w:rsidRDefault="00BD61FF" w14:paraId="53825B86" w14:textId="32FE91AC">
      <w:pPr>
        <w:spacing w:line="360" w:lineRule="auto"/>
        <w:rPr>
          <w:rFonts w:ascii="Arial" w:hAnsi="Arial" w:cs="Arial"/>
          <w:b/>
          <w:bCs/>
          <w:sz w:val="22"/>
          <w:szCs w:val="22"/>
        </w:rPr>
      </w:pPr>
      <w:r w:rsidRPr="00D840C9">
        <w:rPr>
          <w:rFonts w:ascii="Arial" w:hAnsi="Arial" w:cs="Arial"/>
          <w:b/>
          <w:bCs/>
          <w:sz w:val="22"/>
          <w:szCs w:val="22"/>
        </w:rPr>
        <w:t>4.3 Reclassification Issues and Implications for Practice</w:t>
      </w:r>
    </w:p>
    <w:p w:rsidRPr="00D840C9" w:rsidR="00BD61FF" w:rsidP="00D840C9" w:rsidRDefault="00BD61FF" w14:paraId="4AFDF93F" w14:textId="77777777">
      <w:pPr>
        <w:spacing w:line="360" w:lineRule="auto"/>
        <w:rPr>
          <w:rFonts w:ascii="Arial" w:hAnsi="Arial" w:cs="Arial"/>
          <w:sz w:val="22"/>
          <w:szCs w:val="22"/>
        </w:rPr>
      </w:pPr>
      <w:r w:rsidRPr="00D840C9">
        <w:rPr>
          <w:rFonts w:ascii="Arial" w:hAnsi="Arial" w:cs="Arial"/>
          <w:sz w:val="22"/>
          <w:szCs w:val="22"/>
        </w:rPr>
        <w:t>ICD-11’s spectrum approach, including sub-classification by intellectual and language profiles, reflects an attempt to improve clinical precision while recognising heterogeneity (Greaves-Lord, 2022; Kamp-Becker, 2024). However, reclassification also raises concerns about service access. If diagnostic boundaries shift, some individuals may fear losing entitlement to support, while others may gain recognition. Classification therefore has real consequences for practice, commissioning and legal duties under equality and social care legislation.</w:t>
      </w:r>
    </w:p>
    <w:p w:rsidRPr="00D840C9" w:rsidR="00BD61FF" w:rsidP="00D840C9" w:rsidRDefault="00BD61FF" w14:paraId="0C4FD05D" w14:textId="77777777">
      <w:pPr>
        <w:spacing w:line="360" w:lineRule="auto"/>
        <w:rPr>
          <w:rFonts w:ascii="Arial" w:hAnsi="Arial" w:cs="Arial"/>
          <w:sz w:val="22"/>
          <w:szCs w:val="22"/>
        </w:rPr>
      </w:pPr>
      <w:r w:rsidRPr="00D840C9">
        <w:rPr>
          <w:rFonts w:ascii="Arial" w:hAnsi="Arial" w:cs="Arial"/>
          <w:sz w:val="22"/>
          <w:szCs w:val="22"/>
        </w:rPr>
        <w:t>In the UK, autism policy frameworks emphasise reasonable adjustments and inclusive services. The Equality Act 2010 requires services and employers to make reasonable adjustments for disabled people, which has direct relevance for autistic people seeking healthcare access or workplace support. This strengthens the argument that debates about classification must be connected to rights and systemic obligations rather than purely clinical definitions.</w:t>
      </w:r>
    </w:p>
    <w:p w:rsidRPr="00D840C9" w:rsidR="00BD61FF" w:rsidP="00D840C9" w:rsidRDefault="00BD61FF" w14:paraId="6CF93788" w14:textId="0289046E">
      <w:pPr>
        <w:spacing w:line="360" w:lineRule="auto"/>
        <w:rPr>
          <w:rFonts w:ascii="Arial" w:hAnsi="Arial" w:cs="Arial"/>
          <w:sz w:val="22"/>
          <w:szCs w:val="22"/>
        </w:rPr>
      </w:pPr>
    </w:p>
    <w:p w:rsidRPr="00D840C9" w:rsidR="3164DC01" w:rsidP="00D840C9" w:rsidRDefault="3164DC01" w14:paraId="1B32E899" w14:textId="05115722">
      <w:pPr>
        <w:pStyle w:val="Heading2"/>
        <w:spacing w:before="299" w:after="299" w:line="360" w:lineRule="auto"/>
        <w:rPr>
          <w:rFonts w:ascii="Arial" w:hAnsi="Arial" w:eastAsia="Arial" w:cs="Arial"/>
          <w:b/>
          <w:bCs/>
          <w:color w:val="auto"/>
          <w:sz w:val="22"/>
          <w:szCs w:val="22"/>
        </w:rPr>
      </w:pPr>
      <w:r w:rsidRPr="00D840C9">
        <w:rPr>
          <w:rFonts w:ascii="Arial" w:hAnsi="Arial" w:eastAsia="Arial" w:cs="Arial"/>
          <w:b/>
          <w:bCs/>
          <w:color w:val="auto"/>
          <w:sz w:val="22"/>
          <w:szCs w:val="22"/>
        </w:rPr>
        <w:t>5. Recommendations</w:t>
      </w:r>
    </w:p>
    <w:p w:rsidRPr="00D840C9" w:rsidR="3164DC01" w:rsidP="00D840C9" w:rsidRDefault="3164DC01" w14:paraId="021FA953" w14:textId="013E6121">
      <w:pPr>
        <w:pStyle w:val="Heading3"/>
        <w:spacing w:before="281" w:after="281" w:line="360" w:lineRule="auto"/>
        <w:rPr>
          <w:rFonts w:ascii="Arial" w:hAnsi="Arial" w:eastAsia="Arial" w:cs="Arial"/>
          <w:b/>
          <w:bCs/>
          <w:color w:val="auto"/>
          <w:sz w:val="22"/>
          <w:szCs w:val="22"/>
        </w:rPr>
      </w:pPr>
      <w:r w:rsidRPr="00D840C9">
        <w:rPr>
          <w:rFonts w:ascii="Arial" w:hAnsi="Arial" w:eastAsia="Arial" w:cs="Arial"/>
          <w:b/>
          <w:bCs/>
          <w:color w:val="auto"/>
          <w:sz w:val="22"/>
          <w:szCs w:val="22"/>
        </w:rPr>
        <w:t>5.1 Classification and Communication</w:t>
      </w:r>
    </w:p>
    <w:p w:rsidRPr="00D840C9" w:rsidR="3164DC01" w:rsidP="00D840C9" w:rsidRDefault="3164DC01" w14:paraId="0B092B74" w14:textId="1EAE4F86">
      <w:pPr>
        <w:spacing w:before="240" w:after="240" w:line="360" w:lineRule="auto"/>
        <w:rPr>
          <w:rFonts w:ascii="Arial" w:hAnsi="Arial" w:eastAsia="Arial" w:cs="Arial"/>
          <w:sz w:val="22"/>
          <w:szCs w:val="22"/>
        </w:rPr>
      </w:pPr>
      <w:r w:rsidRPr="00D840C9">
        <w:rPr>
          <w:rFonts w:ascii="Arial" w:hAnsi="Arial" w:eastAsia="Arial" w:cs="Arial"/>
          <w:sz w:val="22"/>
          <w:szCs w:val="22"/>
        </w:rPr>
        <w:t>Adopt balanced, non-deficit language in practice that acknowledges ICD-11 classification while recognising autistic strengths and individual preferences. Clinical reports and care plans should incorporate preferred terminology to support respectful, person-centred care (Shah et al., 2022). Public-facing explanations of autism classification should also be improved to reduce stigma and misunderstanding.</w:t>
      </w:r>
    </w:p>
    <w:p w:rsidRPr="00D840C9" w:rsidR="3164DC01" w:rsidP="00D840C9" w:rsidRDefault="3164DC01" w14:paraId="75D0630B" w14:textId="437B848F">
      <w:pPr>
        <w:pStyle w:val="Heading3"/>
        <w:spacing w:before="281" w:after="281" w:line="360" w:lineRule="auto"/>
        <w:rPr>
          <w:rFonts w:ascii="Arial" w:hAnsi="Arial" w:eastAsia="Arial" w:cs="Arial"/>
          <w:b/>
          <w:bCs/>
          <w:color w:val="auto"/>
          <w:sz w:val="22"/>
          <w:szCs w:val="22"/>
        </w:rPr>
      </w:pPr>
      <w:r w:rsidRPr="00D840C9">
        <w:rPr>
          <w:rFonts w:ascii="Arial" w:hAnsi="Arial" w:eastAsia="Arial" w:cs="Arial"/>
          <w:b/>
          <w:bCs/>
          <w:color w:val="auto"/>
          <w:sz w:val="22"/>
          <w:szCs w:val="22"/>
        </w:rPr>
        <w:t>5.2 Diagnosis and Assessment Pathways</w:t>
      </w:r>
    </w:p>
    <w:p w:rsidRPr="00D840C9" w:rsidR="3164DC01" w:rsidP="00D840C9" w:rsidRDefault="3164DC01" w14:paraId="2A4D1421" w14:textId="1AFB1BD4">
      <w:pPr>
        <w:spacing w:before="240" w:after="240" w:line="360" w:lineRule="auto"/>
        <w:rPr>
          <w:rFonts w:ascii="Arial" w:hAnsi="Arial" w:eastAsia="Arial" w:cs="Arial"/>
          <w:sz w:val="22"/>
          <w:szCs w:val="22"/>
        </w:rPr>
      </w:pPr>
      <w:r w:rsidRPr="5C735887" w:rsidR="3164DC01">
        <w:rPr>
          <w:rFonts w:ascii="Arial" w:hAnsi="Arial" w:eastAsia="Arial" w:cs="Arial"/>
          <w:sz w:val="22"/>
          <w:szCs w:val="22"/>
        </w:rPr>
        <w:t xml:space="preserve">Reduce diagnostic waiting times through sustained investment in multidisciplinary services, in line with NICE guidance and national strategy commitments (NICE, 2012; NHS England, 2019). Equity in diagnosis should be strengthened through enhanced clinician training in masking, gender </w:t>
      </w:r>
      <w:r w:rsidRPr="5C735887" w:rsidR="50200EF5">
        <w:rPr>
          <w:rFonts w:ascii="Arial" w:hAnsi="Arial" w:eastAsia="Arial" w:cs="Arial"/>
          <w:sz w:val="22"/>
          <w:szCs w:val="22"/>
        </w:rPr>
        <w:t>differences,</w:t>
      </w:r>
      <w:r w:rsidRPr="5C735887" w:rsidR="3164DC01">
        <w:rPr>
          <w:rFonts w:ascii="Arial" w:hAnsi="Arial" w:eastAsia="Arial" w:cs="Arial"/>
          <w:sz w:val="22"/>
          <w:szCs w:val="22"/>
        </w:rPr>
        <w:t xml:space="preserve"> and culturally competent assessment to address under-recognition in women and minority communities (Green, 2023).</w:t>
      </w:r>
    </w:p>
    <w:p w:rsidRPr="00D840C9" w:rsidR="3164DC01" w:rsidP="00D840C9" w:rsidRDefault="3164DC01" w14:paraId="4625A7F8" w14:textId="562BEAE1">
      <w:pPr>
        <w:pStyle w:val="Heading3"/>
        <w:spacing w:before="281" w:after="281" w:line="360" w:lineRule="auto"/>
        <w:rPr>
          <w:rFonts w:ascii="Arial" w:hAnsi="Arial" w:eastAsia="Arial" w:cs="Arial"/>
          <w:b/>
          <w:bCs/>
          <w:color w:val="auto"/>
          <w:sz w:val="22"/>
          <w:szCs w:val="22"/>
        </w:rPr>
      </w:pPr>
      <w:r w:rsidRPr="00D840C9">
        <w:rPr>
          <w:rFonts w:ascii="Arial" w:hAnsi="Arial" w:eastAsia="Arial" w:cs="Arial"/>
          <w:b/>
          <w:bCs/>
          <w:color w:val="auto"/>
          <w:sz w:val="22"/>
          <w:szCs w:val="22"/>
        </w:rPr>
        <w:t>5.3 Treatment, Rehabilitation and Policy</w:t>
      </w:r>
    </w:p>
    <w:p w:rsidRPr="00D840C9" w:rsidR="3164DC01" w:rsidP="00D840C9" w:rsidRDefault="3164DC01" w14:paraId="706A76AC" w14:textId="530A1BDD">
      <w:pPr>
        <w:spacing w:before="240" w:after="240" w:line="360" w:lineRule="auto"/>
        <w:rPr>
          <w:rFonts w:ascii="Arial" w:hAnsi="Arial" w:eastAsia="Arial" w:cs="Arial"/>
          <w:sz w:val="22"/>
          <w:szCs w:val="22"/>
        </w:rPr>
      </w:pPr>
      <w:r w:rsidRPr="5C735887" w:rsidR="3164DC01">
        <w:rPr>
          <w:rFonts w:ascii="Arial" w:hAnsi="Arial" w:eastAsia="Arial" w:cs="Arial"/>
          <w:sz w:val="22"/>
          <w:szCs w:val="22"/>
        </w:rPr>
        <w:t xml:space="preserve">Guarantee access to post-diagnostic support across the lifespan, including psychoeducation, structured </w:t>
      </w:r>
      <w:r w:rsidRPr="5C735887" w:rsidR="711AE432">
        <w:rPr>
          <w:rFonts w:ascii="Arial" w:hAnsi="Arial" w:eastAsia="Arial" w:cs="Arial"/>
          <w:sz w:val="22"/>
          <w:szCs w:val="22"/>
        </w:rPr>
        <w:t>signposting,</w:t>
      </w:r>
      <w:r w:rsidRPr="5C735887" w:rsidR="3164DC01">
        <w:rPr>
          <w:rFonts w:ascii="Arial" w:hAnsi="Arial" w:eastAsia="Arial" w:cs="Arial"/>
          <w:sz w:val="22"/>
          <w:szCs w:val="22"/>
        </w:rPr>
        <w:t xml:space="preserve"> and reasonable adjustments. Rehabilitation should be delivered through integrated models linking NHS services, local authority social care, </w:t>
      </w:r>
      <w:r w:rsidRPr="5C735887" w:rsidR="40B4B8B6">
        <w:rPr>
          <w:rFonts w:ascii="Arial" w:hAnsi="Arial" w:eastAsia="Arial" w:cs="Arial"/>
          <w:sz w:val="22"/>
          <w:szCs w:val="22"/>
        </w:rPr>
        <w:t>education,</w:t>
      </w:r>
      <w:r w:rsidRPr="5C735887" w:rsidR="3164DC01">
        <w:rPr>
          <w:rFonts w:ascii="Arial" w:hAnsi="Arial" w:eastAsia="Arial" w:cs="Arial"/>
          <w:sz w:val="22"/>
          <w:szCs w:val="22"/>
        </w:rPr>
        <w:t xml:space="preserve"> and employment, consistent with statutory guidance and the national autism strategy (DHSC, 2015; Local Government Association, 2021).</w:t>
      </w:r>
    </w:p>
    <w:p w:rsidRPr="00D840C9" w:rsidR="3164DC01" w:rsidP="00D840C9" w:rsidRDefault="3164DC01" w14:paraId="78666E88" w14:textId="6E9A673F">
      <w:pPr>
        <w:pStyle w:val="Heading3"/>
        <w:spacing w:before="281" w:after="281" w:line="360" w:lineRule="auto"/>
        <w:rPr>
          <w:rFonts w:ascii="Arial" w:hAnsi="Arial" w:eastAsia="Arial" w:cs="Arial"/>
          <w:b/>
          <w:bCs/>
          <w:color w:val="auto"/>
          <w:sz w:val="22"/>
          <w:szCs w:val="22"/>
        </w:rPr>
      </w:pPr>
      <w:r w:rsidRPr="00D840C9">
        <w:rPr>
          <w:rFonts w:ascii="Arial" w:hAnsi="Arial" w:eastAsia="Arial" w:cs="Arial"/>
          <w:b/>
          <w:bCs/>
          <w:color w:val="auto"/>
          <w:sz w:val="22"/>
          <w:szCs w:val="22"/>
        </w:rPr>
        <w:t>5.4 Research and Future Practice</w:t>
      </w:r>
    </w:p>
    <w:p w:rsidRPr="00D840C9" w:rsidR="3164DC01" w:rsidP="00D840C9" w:rsidRDefault="3164DC01" w14:paraId="416EAE7D" w14:textId="2CE63179">
      <w:pPr>
        <w:spacing w:before="240" w:after="240" w:line="360" w:lineRule="auto"/>
        <w:rPr>
          <w:rFonts w:ascii="Arial" w:hAnsi="Arial" w:eastAsia="Arial" w:cs="Arial"/>
          <w:sz w:val="22"/>
          <w:szCs w:val="22"/>
        </w:rPr>
      </w:pPr>
      <w:r w:rsidRPr="00D840C9">
        <w:rPr>
          <w:rFonts w:ascii="Arial" w:hAnsi="Arial" w:eastAsia="Arial" w:cs="Arial"/>
          <w:sz w:val="22"/>
          <w:szCs w:val="22"/>
        </w:rPr>
        <w:t>Embed autism-informed practice across mainstream services to reduce diagnostic overshadowing and improve access. Future research should prioritise equitable diagnostic pathways and evaluate interventions that reduce inequalities and improve quality of life for late-diagnosed and marginalised groups.</w:t>
      </w:r>
    </w:p>
    <w:p w:rsidRPr="00DC57C5" w:rsidR="00DC57C5" w:rsidP="00D840C9" w:rsidRDefault="00DC57C5" w14:paraId="3DFF2247" w14:textId="77777777">
      <w:pPr>
        <w:spacing w:before="299" w:after="299" w:line="360" w:lineRule="auto"/>
        <w:rPr>
          <w:rFonts w:ascii="Arial" w:hAnsi="Arial" w:cs="Arial"/>
          <w:b/>
          <w:bCs/>
          <w:sz w:val="2"/>
          <w:szCs w:val="2"/>
        </w:rPr>
      </w:pPr>
    </w:p>
    <w:p w:rsidRPr="00D840C9" w:rsidR="40BEA56E" w:rsidP="00D840C9" w:rsidRDefault="40BEA56E" w14:paraId="29A24E6F" w14:textId="45ED5C6A">
      <w:pPr>
        <w:spacing w:before="299" w:after="299" w:line="360" w:lineRule="auto"/>
        <w:rPr>
          <w:rFonts w:ascii="Arial" w:hAnsi="Arial" w:cs="Arial"/>
          <w:b/>
          <w:bCs/>
          <w:sz w:val="22"/>
          <w:szCs w:val="22"/>
        </w:rPr>
      </w:pPr>
      <w:r w:rsidRPr="00D840C9">
        <w:rPr>
          <w:rFonts w:ascii="Arial" w:hAnsi="Arial" w:cs="Arial"/>
          <w:b/>
          <w:bCs/>
          <w:sz w:val="22"/>
          <w:szCs w:val="22"/>
        </w:rPr>
        <w:t>6. Conclusion</w:t>
      </w:r>
      <w:r w:rsidRPr="00D840C9" w:rsidR="04A4B922">
        <w:rPr>
          <w:rFonts w:ascii="Arial" w:hAnsi="Arial" w:eastAsia="Arial" w:cs="Arial"/>
          <w:b/>
          <w:bCs/>
          <w:sz w:val="22"/>
          <w:szCs w:val="22"/>
        </w:rPr>
        <w:t xml:space="preserve"> </w:t>
      </w:r>
    </w:p>
    <w:p w:rsidRPr="00D840C9" w:rsidR="54FE6CB7" w:rsidP="00D840C9" w:rsidRDefault="54FE6CB7" w14:paraId="17144902" w14:textId="039209CB">
      <w:pPr>
        <w:spacing w:before="240" w:after="240" w:line="360" w:lineRule="auto"/>
        <w:rPr>
          <w:rFonts w:ascii="Arial" w:hAnsi="Arial" w:cs="Arial"/>
          <w:sz w:val="22"/>
          <w:szCs w:val="22"/>
        </w:rPr>
      </w:pPr>
      <w:r w:rsidRPr="5C735887" w:rsidR="54FE6CB7">
        <w:rPr>
          <w:rFonts w:ascii="Arial" w:hAnsi="Arial" w:eastAsia="Arial" w:cs="Arial"/>
          <w:sz w:val="22"/>
          <w:szCs w:val="22"/>
        </w:rPr>
        <w:t xml:space="preserve">Autism Spectrum Disorder is classified in ICD-11 as a neurodevelopmental disorder (6A02), defined by persistent differences in social communication and restricted, repetitive patterns of behaviour originating in the developmental period (WHO, 2019). While this classification provides a structured framework for diagnosis and service planning, its reliance on impairment-based criteria </w:t>
      </w:r>
      <w:r w:rsidRPr="5C735887" w:rsidR="54FE6CB7">
        <w:rPr>
          <w:rFonts w:ascii="Arial" w:hAnsi="Arial" w:eastAsia="Arial" w:cs="Arial"/>
          <w:sz w:val="22"/>
          <w:szCs w:val="22"/>
        </w:rPr>
        <w:t>remains</w:t>
      </w:r>
      <w:r w:rsidRPr="5C735887" w:rsidR="54FE6CB7">
        <w:rPr>
          <w:rFonts w:ascii="Arial" w:hAnsi="Arial" w:eastAsia="Arial" w:cs="Arial"/>
          <w:sz w:val="22"/>
          <w:szCs w:val="22"/>
        </w:rPr>
        <w:t xml:space="preserve"> contested, particularly within neurodiversity perspectives that emphasise identity, </w:t>
      </w:r>
      <w:r w:rsidRPr="5C735887" w:rsidR="07B3B253">
        <w:rPr>
          <w:rFonts w:ascii="Arial" w:hAnsi="Arial" w:eastAsia="Arial" w:cs="Arial"/>
          <w:sz w:val="22"/>
          <w:szCs w:val="22"/>
        </w:rPr>
        <w:t>difference,</w:t>
      </w:r>
      <w:r w:rsidRPr="5C735887" w:rsidR="54FE6CB7">
        <w:rPr>
          <w:rFonts w:ascii="Arial" w:hAnsi="Arial" w:eastAsia="Arial" w:cs="Arial"/>
          <w:sz w:val="22"/>
          <w:szCs w:val="22"/>
        </w:rPr>
        <w:t xml:space="preserve"> and social inclusion (Shah et al., 2022; Green, 2023).</w:t>
      </w:r>
    </w:p>
    <w:p w:rsidRPr="00D840C9" w:rsidR="54FE6CB7" w:rsidP="00D840C9" w:rsidRDefault="54FE6CB7" w14:paraId="14757942" w14:textId="51C5DC5C">
      <w:pPr>
        <w:spacing w:before="240" w:after="240" w:line="360" w:lineRule="auto"/>
        <w:rPr>
          <w:rFonts w:ascii="Arial" w:hAnsi="Arial" w:cs="Arial"/>
          <w:sz w:val="22"/>
          <w:szCs w:val="22"/>
        </w:rPr>
      </w:pPr>
      <w:r w:rsidRPr="5C735887" w:rsidR="54FE6CB7">
        <w:rPr>
          <w:rFonts w:ascii="Arial" w:hAnsi="Arial" w:eastAsia="Arial" w:cs="Arial"/>
          <w:sz w:val="22"/>
          <w:szCs w:val="22"/>
        </w:rPr>
        <w:t xml:space="preserve">In the UK, NICE guidance supports comprehensive, person-centred assessment and intervention across the lifespan. However, extended waiting times, regional </w:t>
      </w:r>
      <w:r w:rsidRPr="5C735887" w:rsidR="76E4F4F5">
        <w:rPr>
          <w:rFonts w:ascii="Arial" w:hAnsi="Arial" w:eastAsia="Arial" w:cs="Arial"/>
          <w:sz w:val="22"/>
          <w:szCs w:val="22"/>
        </w:rPr>
        <w:t>variation,</w:t>
      </w:r>
      <w:r w:rsidRPr="5C735887" w:rsidR="54FE6CB7">
        <w:rPr>
          <w:rFonts w:ascii="Arial" w:hAnsi="Arial" w:eastAsia="Arial" w:cs="Arial"/>
          <w:sz w:val="22"/>
          <w:szCs w:val="22"/>
        </w:rPr>
        <w:t xml:space="preserve"> and limited post-diagnostic provision, especially within adult services, continue to restrict </w:t>
      </w:r>
      <w:r w:rsidRPr="5C735887" w:rsidR="54FE6CB7">
        <w:rPr>
          <w:rFonts w:ascii="Arial" w:hAnsi="Arial" w:eastAsia="Arial" w:cs="Arial"/>
          <w:sz w:val="22"/>
          <w:szCs w:val="22"/>
        </w:rPr>
        <w:t>equitable</w:t>
      </w:r>
      <w:r w:rsidRPr="5C735887" w:rsidR="54FE6CB7">
        <w:rPr>
          <w:rFonts w:ascii="Arial" w:hAnsi="Arial" w:eastAsia="Arial" w:cs="Arial"/>
          <w:sz w:val="22"/>
          <w:szCs w:val="22"/>
        </w:rPr>
        <w:t xml:space="preserve"> access and may </w:t>
      </w:r>
      <w:r w:rsidRPr="5C735887" w:rsidR="54FE6CB7">
        <w:rPr>
          <w:rFonts w:ascii="Arial" w:hAnsi="Arial" w:eastAsia="Arial" w:cs="Arial"/>
          <w:sz w:val="22"/>
          <w:szCs w:val="22"/>
        </w:rPr>
        <w:t>exacerbate</w:t>
      </w:r>
      <w:r w:rsidRPr="5C735887" w:rsidR="54FE6CB7">
        <w:rPr>
          <w:rFonts w:ascii="Arial" w:hAnsi="Arial" w:eastAsia="Arial" w:cs="Arial"/>
          <w:sz w:val="22"/>
          <w:szCs w:val="22"/>
        </w:rPr>
        <w:t xml:space="preserve"> mental health inequalities (NHS England, 2019). Debates surrounding masking, gender bias and cultural inequity further highlight limitations </w:t>
      </w:r>
      <w:r w:rsidRPr="5C735887" w:rsidR="54FE6CB7">
        <w:rPr>
          <w:rFonts w:ascii="Arial" w:hAnsi="Arial" w:eastAsia="Arial" w:cs="Arial"/>
          <w:sz w:val="22"/>
          <w:szCs w:val="22"/>
        </w:rPr>
        <w:t>in current diagnostic frameworks, particularly for individuals whose distress is not externally visible.</w:t>
      </w:r>
    </w:p>
    <w:p w:rsidRPr="00D840C9" w:rsidR="54FE6CB7" w:rsidP="00D840C9" w:rsidRDefault="54FE6CB7" w14:paraId="18705EC9" w14:textId="38DBF626">
      <w:pPr>
        <w:spacing w:before="240" w:after="240" w:line="360" w:lineRule="auto"/>
        <w:rPr>
          <w:rFonts w:ascii="Arial" w:hAnsi="Arial" w:cs="Arial"/>
          <w:sz w:val="22"/>
          <w:szCs w:val="22"/>
        </w:rPr>
      </w:pPr>
      <w:r w:rsidRPr="5C735887" w:rsidR="54FE6CB7">
        <w:rPr>
          <w:rFonts w:ascii="Arial" w:hAnsi="Arial" w:eastAsia="Arial" w:cs="Arial"/>
          <w:sz w:val="22"/>
          <w:szCs w:val="22"/>
        </w:rPr>
        <w:t xml:space="preserve">Improving outcomes for autistic people therefore requires moving beyond diagnosis alone towards integrated, rights-based rehabilitation models that promote autonomy, participation and reasonable adjustment across health, </w:t>
      </w:r>
      <w:r w:rsidRPr="5C735887" w:rsidR="5B3E4F7D">
        <w:rPr>
          <w:rFonts w:ascii="Arial" w:hAnsi="Arial" w:eastAsia="Arial" w:cs="Arial"/>
          <w:sz w:val="22"/>
          <w:szCs w:val="22"/>
        </w:rPr>
        <w:t>education,</w:t>
      </w:r>
      <w:r w:rsidRPr="5C735887" w:rsidR="54FE6CB7">
        <w:rPr>
          <w:rFonts w:ascii="Arial" w:hAnsi="Arial" w:eastAsia="Arial" w:cs="Arial"/>
          <w:sz w:val="22"/>
          <w:szCs w:val="22"/>
        </w:rPr>
        <w:t xml:space="preserve"> and social care. ICD-11 classification must be applied critically and ethically, functioning as a gateway to meaningful support rather than a barrier to inclusion.</w:t>
      </w:r>
    </w:p>
    <w:p w:rsidR="00DC57C5" w:rsidP="00D840C9" w:rsidRDefault="00DC57C5" w14:paraId="0A29CBD0" w14:textId="77777777">
      <w:pPr>
        <w:spacing w:line="360" w:lineRule="auto"/>
        <w:rPr>
          <w:rFonts w:ascii="Arial" w:hAnsi="Arial" w:cs="Arial"/>
          <w:b/>
          <w:bCs/>
          <w:sz w:val="22"/>
          <w:szCs w:val="22"/>
        </w:rPr>
      </w:pPr>
    </w:p>
    <w:p w:rsidR="000B0476" w:rsidP="00D840C9" w:rsidRDefault="000B0476" w14:paraId="4DD14150" w14:textId="77777777">
      <w:pPr>
        <w:spacing w:line="360" w:lineRule="auto"/>
        <w:rPr>
          <w:rFonts w:ascii="Arial" w:hAnsi="Arial" w:cs="Arial"/>
          <w:b/>
          <w:bCs/>
          <w:sz w:val="22"/>
          <w:szCs w:val="22"/>
        </w:rPr>
      </w:pPr>
    </w:p>
    <w:p w:rsidR="000B0476" w:rsidP="00D840C9" w:rsidRDefault="000B0476" w14:paraId="364E0D18" w14:textId="77777777">
      <w:pPr>
        <w:spacing w:line="360" w:lineRule="auto"/>
        <w:rPr>
          <w:rFonts w:ascii="Arial" w:hAnsi="Arial" w:cs="Arial"/>
          <w:b/>
          <w:bCs/>
          <w:sz w:val="22"/>
          <w:szCs w:val="22"/>
        </w:rPr>
      </w:pPr>
    </w:p>
    <w:p w:rsidR="00DC57C5" w:rsidP="00D840C9" w:rsidRDefault="00DC57C5" w14:paraId="4940465D" w14:textId="77777777">
      <w:pPr>
        <w:spacing w:line="360" w:lineRule="auto"/>
        <w:rPr>
          <w:rFonts w:ascii="Arial" w:hAnsi="Arial" w:cs="Arial"/>
          <w:b/>
          <w:bCs/>
          <w:sz w:val="22"/>
          <w:szCs w:val="22"/>
        </w:rPr>
      </w:pPr>
    </w:p>
    <w:p w:rsidR="00DC57C5" w:rsidP="00D840C9" w:rsidRDefault="00DC57C5" w14:paraId="1E5F37D3" w14:textId="77777777">
      <w:pPr>
        <w:spacing w:line="360" w:lineRule="auto"/>
        <w:rPr>
          <w:rFonts w:ascii="Arial" w:hAnsi="Arial" w:cs="Arial"/>
          <w:b/>
          <w:bCs/>
          <w:sz w:val="22"/>
          <w:szCs w:val="22"/>
        </w:rPr>
      </w:pPr>
    </w:p>
    <w:p w:rsidR="002B41E5" w:rsidP="00D840C9" w:rsidRDefault="002B41E5" w14:paraId="3FE50FCE" w14:textId="77777777">
      <w:pPr>
        <w:spacing w:line="360" w:lineRule="auto"/>
        <w:rPr>
          <w:rFonts w:ascii="Arial" w:hAnsi="Arial" w:cs="Arial"/>
          <w:b/>
          <w:bCs/>
          <w:sz w:val="22"/>
          <w:szCs w:val="22"/>
        </w:rPr>
      </w:pPr>
    </w:p>
    <w:p w:rsidR="002B41E5" w:rsidP="00D840C9" w:rsidRDefault="002B41E5" w14:paraId="6EB783DB" w14:textId="77777777">
      <w:pPr>
        <w:spacing w:line="360" w:lineRule="auto"/>
        <w:rPr>
          <w:rFonts w:ascii="Arial" w:hAnsi="Arial" w:cs="Arial"/>
          <w:b/>
          <w:bCs/>
          <w:sz w:val="22"/>
          <w:szCs w:val="22"/>
        </w:rPr>
      </w:pPr>
    </w:p>
    <w:p w:rsidR="002B41E5" w:rsidP="00D840C9" w:rsidRDefault="002B41E5" w14:paraId="6A54E40B" w14:textId="77777777">
      <w:pPr>
        <w:spacing w:line="360" w:lineRule="auto"/>
        <w:rPr>
          <w:rFonts w:ascii="Arial" w:hAnsi="Arial" w:cs="Arial"/>
          <w:b/>
          <w:bCs/>
          <w:sz w:val="22"/>
          <w:szCs w:val="22"/>
        </w:rPr>
      </w:pPr>
    </w:p>
    <w:p w:rsidR="002B41E5" w:rsidP="00D840C9" w:rsidRDefault="002B41E5" w14:paraId="5C06A1BF" w14:textId="77777777">
      <w:pPr>
        <w:spacing w:line="360" w:lineRule="auto"/>
        <w:rPr>
          <w:rFonts w:ascii="Arial" w:hAnsi="Arial" w:cs="Arial"/>
          <w:b/>
          <w:bCs/>
          <w:sz w:val="22"/>
          <w:szCs w:val="22"/>
        </w:rPr>
      </w:pPr>
    </w:p>
    <w:p w:rsidR="002B41E5" w:rsidP="00D840C9" w:rsidRDefault="002B41E5" w14:paraId="70C1625E" w14:textId="77777777">
      <w:pPr>
        <w:spacing w:line="360" w:lineRule="auto"/>
        <w:rPr>
          <w:rFonts w:ascii="Arial" w:hAnsi="Arial" w:cs="Arial"/>
          <w:b/>
          <w:bCs/>
          <w:sz w:val="22"/>
          <w:szCs w:val="22"/>
        </w:rPr>
      </w:pPr>
    </w:p>
    <w:p w:rsidR="002B41E5" w:rsidP="00D840C9" w:rsidRDefault="002B41E5" w14:paraId="6134E32B" w14:textId="77777777">
      <w:pPr>
        <w:spacing w:line="360" w:lineRule="auto"/>
        <w:rPr>
          <w:rFonts w:ascii="Arial" w:hAnsi="Arial" w:cs="Arial"/>
          <w:b/>
          <w:bCs/>
          <w:sz w:val="22"/>
          <w:szCs w:val="22"/>
        </w:rPr>
      </w:pPr>
    </w:p>
    <w:p w:rsidR="002B41E5" w:rsidP="00D840C9" w:rsidRDefault="002B41E5" w14:paraId="0D456DAB" w14:textId="77777777">
      <w:pPr>
        <w:spacing w:line="360" w:lineRule="auto"/>
        <w:rPr>
          <w:rFonts w:ascii="Arial" w:hAnsi="Arial" w:cs="Arial"/>
          <w:b/>
          <w:bCs/>
          <w:sz w:val="22"/>
          <w:szCs w:val="22"/>
        </w:rPr>
      </w:pPr>
    </w:p>
    <w:p w:rsidR="002B41E5" w:rsidP="00D840C9" w:rsidRDefault="002B41E5" w14:paraId="26B6EE44" w14:textId="77777777">
      <w:pPr>
        <w:spacing w:line="360" w:lineRule="auto"/>
        <w:rPr>
          <w:rFonts w:ascii="Arial" w:hAnsi="Arial" w:cs="Arial"/>
          <w:b/>
          <w:bCs/>
          <w:sz w:val="22"/>
          <w:szCs w:val="22"/>
        </w:rPr>
      </w:pPr>
    </w:p>
    <w:p w:rsidR="002B41E5" w:rsidP="00D840C9" w:rsidRDefault="002B41E5" w14:paraId="620E54C8" w14:textId="77777777">
      <w:pPr>
        <w:spacing w:line="360" w:lineRule="auto"/>
        <w:rPr>
          <w:rFonts w:ascii="Arial" w:hAnsi="Arial" w:cs="Arial"/>
          <w:b/>
          <w:bCs/>
          <w:sz w:val="22"/>
          <w:szCs w:val="22"/>
        </w:rPr>
      </w:pPr>
    </w:p>
    <w:p w:rsidRPr="00D840C9" w:rsidR="00BD61FF" w:rsidP="00D840C9" w:rsidRDefault="00BD61FF" w14:paraId="4B7ED6D4" w14:textId="52DF7813">
      <w:pPr>
        <w:spacing w:line="360" w:lineRule="auto"/>
        <w:rPr>
          <w:rFonts w:ascii="Arial" w:hAnsi="Arial" w:cs="Arial"/>
          <w:b/>
          <w:bCs/>
          <w:sz w:val="22"/>
          <w:szCs w:val="22"/>
        </w:rPr>
      </w:pPr>
      <w:r w:rsidRPr="00D840C9">
        <w:rPr>
          <w:rFonts w:ascii="Arial" w:hAnsi="Arial" w:cs="Arial"/>
          <w:b/>
          <w:bCs/>
          <w:sz w:val="22"/>
          <w:szCs w:val="22"/>
        </w:rPr>
        <w:t xml:space="preserve">Reference </w:t>
      </w:r>
    </w:p>
    <w:p w:rsidRPr="00D840C9" w:rsidR="00DD1AFB" w:rsidP="00D840C9" w:rsidRDefault="00DD1AFB" w14:paraId="1A453436" w14:textId="77777777">
      <w:pPr>
        <w:spacing w:line="360" w:lineRule="auto"/>
        <w:rPr>
          <w:rFonts w:ascii="Arial" w:hAnsi="Arial" w:cs="Arial"/>
          <w:sz w:val="22"/>
          <w:szCs w:val="22"/>
        </w:rPr>
      </w:pPr>
      <w:r w:rsidRPr="00D840C9">
        <w:rPr>
          <w:rFonts w:ascii="Arial" w:hAnsi="Arial" w:cs="Arial"/>
          <w:sz w:val="22"/>
          <w:szCs w:val="22"/>
        </w:rPr>
        <w:t xml:space="preserve">American Psychiatric Association (2013) </w:t>
      </w:r>
      <w:r w:rsidRPr="00D840C9">
        <w:rPr>
          <w:rFonts w:ascii="Arial" w:hAnsi="Arial" w:cs="Arial"/>
          <w:i/>
          <w:iCs/>
          <w:sz w:val="22"/>
          <w:szCs w:val="22"/>
        </w:rPr>
        <w:t>Diagnostic and statistical manual of mental disorders (DSM-5)</w:t>
      </w:r>
      <w:r w:rsidRPr="00D840C9">
        <w:rPr>
          <w:rFonts w:ascii="Arial" w:hAnsi="Arial" w:cs="Arial"/>
          <w:sz w:val="22"/>
          <w:szCs w:val="22"/>
        </w:rPr>
        <w:t>. 5th edn. Washington, DC: APA.</w:t>
      </w:r>
    </w:p>
    <w:p w:rsidRPr="00D840C9" w:rsidR="00DD1AFB" w:rsidP="00D840C9" w:rsidRDefault="00DD1AFB" w14:paraId="6BF0C651" w14:textId="77777777">
      <w:pPr>
        <w:spacing w:before="240" w:after="240" w:line="360" w:lineRule="auto"/>
        <w:rPr>
          <w:rFonts w:ascii="Arial" w:hAnsi="Arial" w:eastAsia="Arial" w:cs="Arial"/>
          <w:i/>
          <w:iCs/>
          <w:sz w:val="22"/>
          <w:szCs w:val="22"/>
        </w:rPr>
      </w:pPr>
      <w:r w:rsidRPr="00D840C9">
        <w:rPr>
          <w:rFonts w:ascii="Arial" w:hAnsi="Arial" w:eastAsia="Arial" w:cs="Arial"/>
          <w:sz w:val="22"/>
          <w:szCs w:val="22"/>
        </w:rPr>
        <w:t xml:space="preserve">American Psychiatric Association (APA) (2022) </w:t>
      </w:r>
      <w:r w:rsidRPr="00D840C9">
        <w:rPr>
          <w:rFonts w:ascii="Arial" w:hAnsi="Arial" w:eastAsia="Arial" w:cs="Arial"/>
          <w:i/>
          <w:iCs/>
          <w:sz w:val="22"/>
          <w:szCs w:val="22"/>
        </w:rPr>
        <w:t>DSM-5-TR: Diagnostic and statistical manual of mental disorders</w:t>
      </w:r>
      <w:r w:rsidRPr="00D840C9">
        <w:rPr>
          <w:rFonts w:ascii="Arial" w:hAnsi="Arial" w:eastAsia="Arial" w:cs="Arial"/>
          <w:sz w:val="22"/>
          <w:szCs w:val="22"/>
        </w:rPr>
        <w:t xml:space="preserve"> (5th ed., text revision). Washington, DC: APA.</w:t>
      </w:r>
      <w:r w:rsidRPr="00D840C9">
        <w:rPr>
          <w:rFonts w:ascii="Arial" w:hAnsi="Arial" w:cs="Arial"/>
          <w:sz w:val="22"/>
          <w:szCs w:val="22"/>
        </w:rPr>
        <w:br/>
      </w:r>
      <w:r w:rsidRPr="00D840C9">
        <w:rPr>
          <w:rFonts w:ascii="Arial" w:hAnsi="Arial" w:eastAsia="Arial" w:cs="Arial"/>
          <w:sz w:val="22"/>
          <w:szCs w:val="22"/>
        </w:rPr>
        <w:t xml:space="preserve"> </w:t>
      </w:r>
      <w:r w:rsidRPr="00D840C9">
        <w:rPr>
          <w:rFonts w:ascii="Arial" w:hAnsi="Arial" w:eastAsia="Arial" w:cs="Arial"/>
          <w:i/>
          <w:iCs/>
          <w:sz w:val="22"/>
          <w:szCs w:val="22"/>
        </w:rPr>
        <w:t>(Useful for critical comparison with ICD-11 classification)</w:t>
      </w:r>
    </w:p>
    <w:p w:rsidRPr="00D840C9" w:rsidR="00DD1AFB" w:rsidP="00D840C9" w:rsidRDefault="00DD1AFB" w14:paraId="0EF5154E" w14:textId="77777777">
      <w:pPr>
        <w:spacing w:line="360" w:lineRule="auto"/>
        <w:rPr>
          <w:rFonts w:ascii="Arial" w:hAnsi="Arial" w:cs="Arial"/>
          <w:sz w:val="22"/>
          <w:szCs w:val="22"/>
        </w:rPr>
      </w:pPr>
      <w:r w:rsidRPr="00D840C9">
        <w:rPr>
          <w:rFonts w:ascii="Arial" w:hAnsi="Arial" w:cs="Arial"/>
          <w:sz w:val="22"/>
          <w:szCs w:val="22"/>
        </w:rPr>
        <w:t xml:space="preserve">Autism Act 2009. London: The Stationery Office. Department of Health and Social Care (DHSC) (2015) </w:t>
      </w:r>
      <w:r w:rsidRPr="00D840C9">
        <w:rPr>
          <w:rFonts w:ascii="Arial" w:hAnsi="Arial" w:cs="Arial"/>
          <w:i/>
          <w:iCs/>
          <w:sz w:val="22"/>
          <w:szCs w:val="22"/>
        </w:rPr>
        <w:t>Statutory guidance for Local Authorities and NHS organisations to support implementation of the Adult Autism Strategy</w:t>
      </w:r>
      <w:r w:rsidRPr="00D840C9">
        <w:rPr>
          <w:rFonts w:ascii="Arial" w:hAnsi="Arial" w:cs="Arial"/>
          <w:sz w:val="22"/>
          <w:szCs w:val="22"/>
        </w:rPr>
        <w:t xml:space="preserve">. London: DHSC. </w:t>
      </w:r>
    </w:p>
    <w:p w:rsidRPr="00D840C9" w:rsidR="00DD1AFB" w:rsidP="00D840C9" w:rsidRDefault="00DD1AFB" w14:paraId="6B3EF8D2" w14:textId="77777777">
      <w:pPr>
        <w:spacing w:before="240" w:after="240" w:line="360" w:lineRule="auto"/>
        <w:rPr>
          <w:rFonts w:ascii="Arial" w:hAnsi="Arial" w:eastAsia="Arial" w:cs="Arial"/>
          <w:i/>
          <w:iCs/>
          <w:sz w:val="22"/>
          <w:szCs w:val="22"/>
        </w:rPr>
      </w:pPr>
      <w:r w:rsidRPr="00D840C9">
        <w:rPr>
          <w:rFonts w:ascii="Arial" w:hAnsi="Arial" w:eastAsia="Arial" w:cs="Arial"/>
          <w:sz w:val="22"/>
          <w:szCs w:val="22"/>
        </w:rPr>
        <w:t xml:space="preserve">Autistic (2021) </w:t>
      </w:r>
      <w:r w:rsidRPr="00D840C9">
        <w:rPr>
          <w:rFonts w:ascii="Arial" w:hAnsi="Arial" w:eastAsia="Arial" w:cs="Arial"/>
          <w:i/>
          <w:iCs/>
          <w:sz w:val="22"/>
          <w:szCs w:val="22"/>
        </w:rPr>
        <w:t>Autism and mental health: evidence review</w:t>
      </w:r>
      <w:r w:rsidRPr="00D840C9">
        <w:rPr>
          <w:rFonts w:ascii="Arial" w:hAnsi="Arial" w:eastAsia="Arial" w:cs="Arial"/>
          <w:sz w:val="22"/>
          <w:szCs w:val="22"/>
        </w:rPr>
        <w:t>. London: Autistica.</w:t>
      </w:r>
      <w:r w:rsidRPr="00D840C9">
        <w:rPr>
          <w:rFonts w:ascii="Arial" w:hAnsi="Arial" w:cs="Arial"/>
          <w:sz w:val="22"/>
          <w:szCs w:val="22"/>
        </w:rPr>
        <w:br/>
      </w:r>
      <w:r w:rsidRPr="00D840C9">
        <w:rPr>
          <w:rFonts w:ascii="Arial" w:hAnsi="Arial" w:eastAsia="Arial" w:cs="Arial"/>
          <w:sz w:val="22"/>
          <w:szCs w:val="22"/>
        </w:rPr>
        <w:t xml:space="preserve"> </w:t>
      </w:r>
      <w:r w:rsidRPr="00D840C9">
        <w:rPr>
          <w:rFonts w:ascii="Arial" w:hAnsi="Arial" w:eastAsia="Arial" w:cs="Arial"/>
          <w:i/>
          <w:iCs/>
          <w:sz w:val="22"/>
          <w:szCs w:val="22"/>
        </w:rPr>
        <w:t>(Strong UK charity evidence on comorbidity and service gaps)</w:t>
      </w:r>
    </w:p>
    <w:p w:rsidRPr="00D840C9" w:rsidR="00DD1AFB" w:rsidP="00D840C9" w:rsidRDefault="007962F9" w14:paraId="69DC85ED" w14:textId="1D3E242F">
      <w:pPr>
        <w:spacing w:line="360" w:lineRule="auto"/>
        <w:rPr>
          <w:rFonts w:ascii="Arial" w:hAnsi="Arial" w:cs="Arial"/>
          <w:sz w:val="22"/>
          <w:szCs w:val="22"/>
        </w:rPr>
      </w:pPr>
      <w:r w:rsidRPr="00D840C9">
        <w:rPr>
          <w:rFonts w:ascii="Arial" w:hAnsi="Arial" w:cs="Arial"/>
          <w:sz w:val="22"/>
          <w:szCs w:val="22"/>
        </w:rPr>
        <w:t>Centres</w:t>
      </w:r>
      <w:r w:rsidRPr="00D840C9" w:rsidR="00DD1AFB">
        <w:rPr>
          <w:rFonts w:ascii="Arial" w:hAnsi="Arial" w:cs="Arial"/>
          <w:sz w:val="22"/>
          <w:szCs w:val="22"/>
        </w:rPr>
        <w:t xml:space="preserve"> for Disease Control and Prevention (2023) </w:t>
      </w:r>
      <w:r w:rsidRPr="00D840C9" w:rsidR="00DD1AFB">
        <w:rPr>
          <w:rFonts w:ascii="Arial" w:hAnsi="Arial" w:cs="Arial"/>
          <w:i/>
          <w:iCs/>
          <w:sz w:val="22"/>
          <w:szCs w:val="22"/>
        </w:rPr>
        <w:t>Autism prevalence in the United States</w:t>
      </w:r>
      <w:r w:rsidRPr="00D840C9" w:rsidR="00DD1AFB">
        <w:rPr>
          <w:rFonts w:ascii="Arial" w:hAnsi="Arial" w:cs="Arial"/>
          <w:sz w:val="22"/>
          <w:szCs w:val="22"/>
        </w:rPr>
        <w:t>. Available at</w:t>
      </w:r>
      <w:r w:rsidRPr="00D840C9" w:rsidR="00DD1AFB">
        <w:rPr>
          <w:rFonts w:ascii="Arial" w:hAnsi="Arial" w:cs="Arial"/>
          <w:sz w:val="22"/>
          <w:szCs w:val="22"/>
        </w:rPr>
        <w:t xml:space="preserve">: </w:t>
      </w:r>
      <w:hyperlink w:tgtFrame="_new" w:history="1" r:id="rId11">
        <w:r w:rsidRPr="00D840C9" w:rsidR="00DD1AFB">
          <w:rPr>
            <w:rFonts w:ascii="Arial" w:hAnsi="Arial" w:cs="Arial"/>
            <w:sz w:val="22"/>
            <w:szCs w:val="22"/>
          </w:rPr>
          <w:t>https://www.cdc.gov</w:t>
        </w:r>
      </w:hyperlink>
      <w:r w:rsidRPr="00D840C9" w:rsidR="00DD1AFB">
        <w:rPr>
          <w:rFonts w:ascii="Arial" w:hAnsi="Arial" w:cs="Arial"/>
          <w:sz w:val="22"/>
          <w:szCs w:val="22"/>
        </w:rPr>
        <w:t xml:space="preserve"> (Accessed: 21 March 2026).</w:t>
      </w:r>
    </w:p>
    <w:p w:rsidR="00196E08" w:rsidP="00196E08" w:rsidRDefault="00196E08" w14:paraId="73AFC988" w14:textId="2D528338">
      <w:pPr>
        <w:spacing w:line="360" w:lineRule="auto"/>
        <w:rPr>
          <w:rFonts w:ascii="Arial" w:hAnsi="Arial" w:eastAsia="Aptos" w:cs="Arial"/>
          <w:sz w:val="22"/>
          <w:szCs w:val="22"/>
        </w:rPr>
      </w:pPr>
      <w:r>
        <w:rPr>
          <w:rFonts w:ascii="Arial" w:hAnsi="Arial" w:eastAsia="Aptos" w:cs="Arial"/>
          <w:sz w:val="22"/>
          <w:szCs w:val="22"/>
        </w:rPr>
        <w:t>Department of Health (2020) Prevalence of Autism Spectrum Disorder</w:t>
      </w:r>
      <w:r w:rsidR="004169C2">
        <w:rPr>
          <w:rFonts w:ascii="Arial" w:hAnsi="Arial" w:eastAsia="Aptos" w:cs="Arial"/>
          <w:sz w:val="22"/>
          <w:szCs w:val="22"/>
        </w:rPr>
        <w:t xml:space="preserve"> </w:t>
      </w:r>
      <w:r w:rsidRPr="00D840C9" w:rsidR="004169C2">
        <w:rPr>
          <w:rFonts w:ascii="Arial" w:hAnsi="Arial" w:cs="Arial"/>
          <w:sz w:val="22"/>
          <w:szCs w:val="22"/>
        </w:rPr>
        <w:t>(Accessed: 21 March 2026).</w:t>
      </w:r>
    </w:p>
    <w:p w:rsidRPr="00D840C9" w:rsidR="00DD1AFB" w:rsidP="00D840C9" w:rsidRDefault="00DD1AFB" w14:paraId="4C0AB5D4" w14:textId="77777777">
      <w:pPr>
        <w:spacing w:before="240" w:after="240" w:line="360" w:lineRule="auto"/>
        <w:rPr>
          <w:rFonts w:ascii="Arial" w:hAnsi="Arial" w:eastAsia="Arial" w:cs="Arial"/>
          <w:sz w:val="22"/>
          <w:szCs w:val="22"/>
        </w:rPr>
      </w:pPr>
      <w:r w:rsidRPr="00D840C9">
        <w:rPr>
          <w:rFonts w:ascii="Arial" w:hAnsi="Arial" w:eastAsia="Arial" w:cs="Arial"/>
          <w:sz w:val="22"/>
          <w:szCs w:val="22"/>
        </w:rPr>
        <w:t xml:space="preserve">Department of Health and Social Care (DHSC) (2015) </w:t>
      </w:r>
      <w:r w:rsidRPr="00D840C9">
        <w:rPr>
          <w:rFonts w:ascii="Arial" w:hAnsi="Arial" w:eastAsia="Arial" w:cs="Arial"/>
          <w:i/>
          <w:iCs/>
          <w:sz w:val="22"/>
          <w:szCs w:val="22"/>
        </w:rPr>
        <w:t>Statutory guidance for Local Authorities and NHS organisations to support implementation of the Adult Autism Strategy</w:t>
      </w:r>
      <w:r w:rsidRPr="00D840C9">
        <w:rPr>
          <w:rFonts w:ascii="Arial" w:hAnsi="Arial" w:eastAsia="Arial" w:cs="Arial"/>
          <w:sz w:val="22"/>
          <w:szCs w:val="22"/>
        </w:rPr>
        <w:t>. London: DHSC.</w:t>
      </w:r>
    </w:p>
    <w:p w:rsidRPr="00D840C9" w:rsidR="00DD1AFB" w:rsidP="00D840C9" w:rsidRDefault="00DD1AFB" w14:paraId="51EE72F6" w14:textId="5E26B5CB">
      <w:pPr>
        <w:spacing w:before="240" w:after="240" w:line="360" w:lineRule="auto"/>
        <w:rPr>
          <w:rFonts w:ascii="Arial" w:hAnsi="Arial" w:eastAsia="Arial" w:cs="Arial"/>
          <w:sz w:val="22"/>
          <w:szCs w:val="22"/>
        </w:rPr>
      </w:pPr>
      <w:r w:rsidRPr="5C735887" w:rsidR="00DD1AFB">
        <w:rPr>
          <w:rFonts w:ascii="Arial" w:hAnsi="Arial" w:eastAsia="Arial" w:cs="Arial"/>
          <w:sz w:val="22"/>
          <w:szCs w:val="22"/>
        </w:rPr>
        <w:t xml:space="preserve">Department of Health and Social Care (DHSC) (2021) </w:t>
      </w:r>
      <w:r w:rsidRPr="5C735887" w:rsidR="00DD1AFB">
        <w:rPr>
          <w:rFonts w:ascii="Arial" w:hAnsi="Arial" w:eastAsia="Arial" w:cs="Arial"/>
          <w:i w:val="1"/>
          <w:iCs w:val="1"/>
          <w:sz w:val="22"/>
          <w:szCs w:val="22"/>
        </w:rPr>
        <w:t xml:space="preserve">National strategy for autistic children, young </w:t>
      </w:r>
      <w:r w:rsidRPr="5C735887" w:rsidR="614A8E01">
        <w:rPr>
          <w:rFonts w:ascii="Arial" w:hAnsi="Arial" w:eastAsia="Arial" w:cs="Arial"/>
          <w:i w:val="1"/>
          <w:iCs w:val="1"/>
          <w:sz w:val="22"/>
          <w:szCs w:val="22"/>
        </w:rPr>
        <w:t>people,</w:t>
      </w:r>
      <w:r w:rsidRPr="5C735887" w:rsidR="00DD1AFB">
        <w:rPr>
          <w:rFonts w:ascii="Arial" w:hAnsi="Arial" w:eastAsia="Arial" w:cs="Arial"/>
          <w:i w:val="1"/>
          <w:iCs w:val="1"/>
          <w:sz w:val="22"/>
          <w:szCs w:val="22"/>
        </w:rPr>
        <w:t xml:space="preserve"> and adults: 2021 to 2026</w:t>
      </w:r>
      <w:r w:rsidRPr="5C735887" w:rsidR="00DD1AFB">
        <w:rPr>
          <w:rFonts w:ascii="Arial" w:hAnsi="Arial" w:eastAsia="Arial" w:cs="Arial"/>
          <w:sz w:val="22"/>
          <w:szCs w:val="22"/>
        </w:rPr>
        <w:t>. London: DHSC.</w:t>
      </w:r>
    </w:p>
    <w:p w:rsidRPr="00D840C9" w:rsidR="00DD1AFB" w:rsidP="00D840C9" w:rsidRDefault="00DD1AFB" w14:paraId="43BD2541" w14:textId="77777777">
      <w:pPr>
        <w:spacing w:before="240" w:after="240" w:line="360" w:lineRule="auto"/>
        <w:rPr>
          <w:rFonts w:ascii="Arial" w:hAnsi="Arial" w:eastAsia="Arial" w:cs="Arial"/>
          <w:i/>
          <w:iCs/>
          <w:sz w:val="22"/>
          <w:szCs w:val="22"/>
        </w:rPr>
      </w:pPr>
      <w:r w:rsidRPr="00D840C9">
        <w:rPr>
          <w:rFonts w:ascii="Arial" w:hAnsi="Arial" w:eastAsia="Arial" w:cs="Arial"/>
          <w:sz w:val="22"/>
          <w:szCs w:val="22"/>
        </w:rPr>
        <w:t xml:space="preserve">Fombonne, E. (2020) ‘Epidemiological controversies in autism’, </w:t>
      </w:r>
      <w:r w:rsidRPr="00D840C9">
        <w:rPr>
          <w:rFonts w:ascii="Arial" w:hAnsi="Arial" w:eastAsia="Arial" w:cs="Arial"/>
          <w:i/>
          <w:iCs/>
          <w:sz w:val="22"/>
          <w:szCs w:val="22"/>
        </w:rPr>
        <w:t>Swiss Archives of Neurology, Psychiatry and Psychotherapy</w:t>
      </w:r>
      <w:r w:rsidRPr="00D840C9">
        <w:rPr>
          <w:rFonts w:ascii="Arial" w:hAnsi="Arial" w:eastAsia="Arial" w:cs="Arial"/>
          <w:sz w:val="22"/>
          <w:szCs w:val="22"/>
        </w:rPr>
        <w:t>, 171(2), pp. 1–8.</w:t>
      </w:r>
      <w:r w:rsidRPr="00D840C9">
        <w:rPr>
          <w:rFonts w:ascii="Arial" w:hAnsi="Arial" w:cs="Arial"/>
          <w:sz w:val="22"/>
          <w:szCs w:val="22"/>
        </w:rPr>
        <w:br/>
      </w:r>
      <w:r w:rsidRPr="00D840C9">
        <w:rPr>
          <w:rFonts w:ascii="Arial" w:hAnsi="Arial" w:eastAsia="Arial" w:cs="Arial"/>
          <w:sz w:val="22"/>
          <w:szCs w:val="22"/>
        </w:rPr>
        <w:t xml:space="preserve"> </w:t>
      </w:r>
      <w:r w:rsidRPr="00D840C9">
        <w:rPr>
          <w:rFonts w:ascii="Arial" w:hAnsi="Arial" w:eastAsia="Arial" w:cs="Arial"/>
          <w:i/>
          <w:iCs/>
          <w:sz w:val="22"/>
          <w:szCs w:val="22"/>
        </w:rPr>
        <w:t>(Excellent for critical discussion of prevalence and diagnostic inflation)</w:t>
      </w:r>
    </w:p>
    <w:p w:rsidRPr="00D840C9" w:rsidR="00DD1AFB" w:rsidP="00D840C9" w:rsidRDefault="00DD1AFB" w14:paraId="4A4AF8F1" w14:textId="77777777">
      <w:pPr>
        <w:spacing w:line="360" w:lineRule="auto"/>
        <w:rPr>
          <w:rFonts w:ascii="Arial" w:hAnsi="Arial" w:cs="Arial"/>
          <w:sz w:val="22"/>
          <w:szCs w:val="22"/>
        </w:rPr>
      </w:pPr>
      <w:r w:rsidRPr="00D840C9">
        <w:rPr>
          <w:rFonts w:ascii="Arial" w:hAnsi="Arial" w:cs="Arial"/>
          <w:sz w:val="22"/>
          <w:szCs w:val="22"/>
        </w:rPr>
        <w:t xml:space="preserve">Greaves-Lord, K. (2022) ‘Innovations of the ICD-11 in the field of autism spectrum disorder’, </w:t>
      </w:r>
      <w:r w:rsidRPr="00D840C9">
        <w:rPr>
          <w:rFonts w:ascii="Arial" w:hAnsi="Arial" w:cs="Arial"/>
          <w:i/>
          <w:iCs/>
          <w:sz w:val="22"/>
          <w:szCs w:val="22"/>
        </w:rPr>
        <w:t>Journal of Autism and Developmental Disorders</w:t>
      </w:r>
      <w:r w:rsidRPr="00D840C9">
        <w:rPr>
          <w:rFonts w:ascii="Arial" w:hAnsi="Arial" w:cs="Arial"/>
          <w:sz w:val="22"/>
          <w:szCs w:val="22"/>
        </w:rPr>
        <w:t xml:space="preserve">, 52, pp. 1–12. </w:t>
      </w:r>
    </w:p>
    <w:p w:rsidRPr="00D840C9" w:rsidR="00DD1AFB" w:rsidP="00D840C9" w:rsidRDefault="00DD1AFB" w14:paraId="25262BE5" w14:textId="77777777">
      <w:pPr>
        <w:spacing w:before="240" w:after="240" w:line="360" w:lineRule="auto"/>
        <w:rPr>
          <w:rFonts w:ascii="Arial" w:hAnsi="Arial" w:eastAsia="Arial" w:cs="Arial"/>
          <w:sz w:val="22"/>
          <w:szCs w:val="22"/>
        </w:rPr>
      </w:pPr>
      <w:r w:rsidRPr="00D840C9">
        <w:rPr>
          <w:rFonts w:ascii="Arial" w:hAnsi="Arial" w:eastAsia="Arial" w:cs="Arial"/>
          <w:sz w:val="22"/>
          <w:szCs w:val="22"/>
        </w:rPr>
        <w:t xml:space="preserve">Green, J. (2023) ‘Debate: Neurodiversity, autism and healthcare’, </w:t>
      </w:r>
      <w:r w:rsidRPr="00D840C9">
        <w:rPr>
          <w:rFonts w:ascii="Arial" w:hAnsi="Arial" w:eastAsia="Arial" w:cs="Arial"/>
          <w:i/>
          <w:iCs/>
          <w:sz w:val="22"/>
          <w:szCs w:val="22"/>
        </w:rPr>
        <w:t>Child and Adolescent Mental Health</w:t>
      </w:r>
      <w:r w:rsidRPr="00D840C9">
        <w:rPr>
          <w:rFonts w:ascii="Arial" w:hAnsi="Arial" w:eastAsia="Arial" w:cs="Arial"/>
          <w:sz w:val="22"/>
          <w:szCs w:val="22"/>
        </w:rPr>
        <w:t>, 28(3), pp. 265–267.</w:t>
      </w:r>
    </w:p>
    <w:p w:rsidRPr="00D840C9" w:rsidR="00DD1AFB" w:rsidP="00D840C9" w:rsidRDefault="00DD1AFB" w14:paraId="446EBC18" w14:textId="77777777">
      <w:pPr>
        <w:spacing w:line="360" w:lineRule="auto"/>
        <w:rPr>
          <w:rFonts w:ascii="Arial" w:hAnsi="Arial" w:cs="Arial"/>
          <w:sz w:val="22"/>
          <w:szCs w:val="22"/>
        </w:rPr>
      </w:pPr>
      <w:r w:rsidRPr="5C735887" w:rsidR="00DD1AFB">
        <w:rPr>
          <w:rFonts w:ascii="Arial" w:hAnsi="Arial" w:cs="Arial"/>
          <w:b w:val="0"/>
          <w:bCs w:val="0"/>
          <w:sz w:val="22"/>
          <w:szCs w:val="22"/>
        </w:rPr>
        <w:t>Harvard medical School (2025) ‘Health Harvard education: mind and mood</w:t>
      </w:r>
      <w:r w:rsidRPr="5C735887" w:rsidR="00DD1AFB">
        <w:rPr>
          <w:rFonts w:ascii="Arial" w:hAnsi="Arial" w:cs="Arial"/>
          <w:b w:val="1"/>
          <w:bCs w:val="1"/>
          <w:sz w:val="22"/>
          <w:szCs w:val="22"/>
        </w:rPr>
        <w:t>,</w:t>
      </w:r>
      <w:r w:rsidRPr="5C735887" w:rsidR="00DD1AFB">
        <w:rPr>
          <w:rFonts w:ascii="Arial" w:hAnsi="Arial" w:cs="Arial"/>
          <w:sz w:val="22"/>
          <w:szCs w:val="22"/>
        </w:rPr>
        <w:t xml:space="preserve"> </w:t>
      </w:r>
      <w:hyperlink r:id="Rb97cceecfb3d4d07">
        <w:r w:rsidRPr="5C735887" w:rsidR="00DD1AFB">
          <w:rPr>
            <w:rFonts w:ascii="Arial" w:hAnsi="Arial" w:cs="Arial"/>
            <w:sz w:val="22"/>
            <w:szCs w:val="22"/>
          </w:rPr>
          <w:t>What is autism spectrum disorder? - Harvard Health</w:t>
        </w:r>
      </w:hyperlink>
      <w:r w:rsidRPr="5C735887" w:rsidR="00DD1AFB">
        <w:rPr>
          <w:rFonts w:ascii="Arial" w:hAnsi="Arial" w:cs="Arial"/>
          <w:sz w:val="22"/>
          <w:szCs w:val="22"/>
        </w:rPr>
        <w:t xml:space="preserve"> Publishing. (Accessed Date: March 2026)</w:t>
      </w:r>
    </w:p>
    <w:p w:rsidRPr="00D840C9" w:rsidR="00DD1AFB" w:rsidP="00D840C9" w:rsidRDefault="00DD1AFB" w14:paraId="6732BEA1" w14:textId="77777777">
      <w:pPr>
        <w:spacing w:line="360" w:lineRule="auto"/>
        <w:rPr>
          <w:rFonts w:ascii="Arial" w:hAnsi="Arial" w:cs="Arial"/>
          <w:sz w:val="22"/>
          <w:szCs w:val="22"/>
        </w:rPr>
      </w:pPr>
      <w:r w:rsidRPr="00D840C9">
        <w:rPr>
          <w:rFonts w:ascii="Arial" w:hAnsi="Arial" w:cs="Arial"/>
          <w:sz w:val="22"/>
          <w:szCs w:val="22"/>
        </w:rPr>
        <w:t xml:space="preserve">HM Government (2023) </w:t>
      </w:r>
      <w:r w:rsidRPr="00D840C9">
        <w:rPr>
          <w:rFonts w:ascii="Arial" w:hAnsi="Arial" w:cs="Arial"/>
          <w:i/>
          <w:iCs/>
          <w:sz w:val="22"/>
          <w:szCs w:val="22"/>
        </w:rPr>
        <w:t>Working together to safeguard children</w:t>
      </w:r>
      <w:r w:rsidRPr="00D840C9">
        <w:rPr>
          <w:rFonts w:ascii="Arial" w:hAnsi="Arial" w:cs="Arial"/>
          <w:sz w:val="22"/>
          <w:szCs w:val="22"/>
        </w:rPr>
        <w:t>. London: The Stationery Office.</w:t>
      </w:r>
    </w:p>
    <w:p w:rsidRPr="00D840C9" w:rsidR="00DD1AFB" w:rsidP="5C735887" w:rsidRDefault="00DD1AFB" w14:paraId="20C8257E" w14:textId="552285BB">
      <w:pPr>
        <w:spacing w:before="240" w:after="240" w:line="360" w:lineRule="auto"/>
        <w:rPr>
          <w:rFonts w:ascii="Arial" w:hAnsi="Arial" w:eastAsia="Arial" w:cs="Arial"/>
          <w:i w:val="1"/>
          <w:iCs w:val="1"/>
          <w:sz w:val="22"/>
          <w:szCs w:val="22"/>
        </w:rPr>
      </w:pPr>
      <w:r w:rsidRPr="5C735887" w:rsidR="00DD1AFB">
        <w:rPr>
          <w:rFonts w:ascii="Arial" w:hAnsi="Arial" w:eastAsia="Arial" w:cs="Arial"/>
          <w:sz w:val="22"/>
          <w:szCs w:val="22"/>
        </w:rPr>
        <w:t xml:space="preserve">Hollin, G. (2017) ‘Autism, </w:t>
      </w:r>
      <w:r w:rsidRPr="5C735887" w:rsidR="51C46496">
        <w:rPr>
          <w:rFonts w:ascii="Arial" w:hAnsi="Arial" w:eastAsia="Arial" w:cs="Arial"/>
          <w:sz w:val="22"/>
          <w:szCs w:val="22"/>
        </w:rPr>
        <w:t>assemblages,</w:t>
      </w:r>
      <w:r w:rsidRPr="5C735887" w:rsidR="00DD1AFB">
        <w:rPr>
          <w:rFonts w:ascii="Arial" w:hAnsi="Arial" w:eastAsia="Arial" w:cs="Arial"/>
          <w:sz w:val="22"/>
          <w:szCs w:val="22"/>
        </w:rPr>
        <w:t xml:space="preserve"> and the life of things’, </w:t>
      </w:r>
      <w:r w:rsidRPr="5C735887" w:rsidR="731D05CF">
        <w:rPr>
          <w:rFonts w:ascii="Arial" w:hAnsi="Arial" w:eastAsia="Arial" w:cs="Arial"/>
          <w:i w:val="1"/>
          <w:iCs w:val="1"/>
          <w:sz w:val="22"/>
          <w:szCs w:val="22"/>
        </w:rPr>
        <w:t>Bio Societies</w:t>
      </w:r>
      <w:r w:rsidRPr="5C735887" w:rsidR="00DD1AFB">
        <w:rPr>
          <w:rFonts w:ascii="Arial" w:hAnsi="Arial" w:eastAsia="Arial" w:cs="Arial"/>
          <w:sz w:val="22"/>
          <w:szCs w:val="22"/>
        </w:rPr>
        <w:t>, 12(1), pp. 1–28.</w:t>
      </w:r>
      <w:r>
        <w:br/>
      </w:r>
      <w:r w:rsidRPr="5C735887" w:rsidR="00DD1AFB">
        <w:rPr>
          <w:rFonts w:ascii="Arial" w:hAnsi="Arial" w:eastAsia="Arial" w:cs="Arial"/>
          <w:sz w:val="22"/>
          <w:szCs w:val="22"/>
        </w:rPr>
        <w:t xml:space="preserve"> </w:t>
      </w:r>
      <w:r w:rsidRPr="5C735887" w:rsidR="00DD1AFB">
        <w:rPr>
          <w:rFonts w:ascii="Arial" w:hAnsi="Arial" w:eastAsia="Arial" w:cs="Arial"/>
          <w:i w:val="1"/>
          <w:iCs w:val="1"/>
          <w:sz w:val="22"/>
          <w:szCs w:val="22"/>
        </w:rPr>
        <w:t>(Strong sociological critique of diagnosis and classification)</w:t>
      </w:r>
    </w:p>
    <w:p w:rsidRPr="00D840C9" w:rsidR="00DD1AFB" w:rsidP="00D840C9" w:rsidRDefault="00DD1AFB" w14:paraId="3953280B" w14:textId="77777777">
      <w:pPr>
        <w:spacing w:line="360" w:lineRule="auto"/>
        <w:rPr>
          <w:rFonts w:ascii="Arial" w:hAnsi="Arial" w:cs="Arial"/>
          <w:sz w:val="22"/>
          <w:szCs w:val="22"/>
        </w:rPr>
      </w:pPr>
      <w:r w:rsidRPr="00D840C9">
        <w:rPr>
          <w:rFonts w:ascii="Arial" w:hAnsi="Arial" w:cs="Arial"/>
          <w:sz w:val="22"/>
          <w:szCs w:val="22"/>
        </w:rPr>
        <w:t xml:space="preserve">Hull, L., Petrides, K.V. and Mandy, W. (2020) ‘The female autism phenotype and camouflaging: A narrative review’, </w:t>
      </w:r>
      <w:r w:rsidRPr="00D840C9">
        <w:rPr>
          <w:rFonts w:ascii="Arial" w:hAnsi="Arial" w:cs="Arial"/>
          <w:i/>
          <w:iCs/>
          <w:sz w:val="22"/>
          <w:szCs w:val="22"/>
        </w:rPr>
        <w:t>Review Journal of Autism and Developmental Disorders</w:t>
      </w:r>
      <w:r w:rsidRPr="00D840C9">
        <w:rPr>
          <w:rFonts w:ascii="Arial" w:hAnsi="Arial" w:cs="Arial"/>
          <w:sz w:val="22"/>
          <w:szCs w:val="22"/>
        </w:rPr>
        <w:t>, 7(4), pp. 306–317.</w:t>
      </w:r>
    </w:p>
    <w:p w:rsidRPr="00D840C9" w:rsidR="00DD1AFB" w:rsidP="00D840C9" w:rsidRDefault="00DD1AFB" w14:paraId="536E41D0" w14:textId="77777777">
      <w:pPr>
        <w:spacing w:before="240" w:after="240" w:line="360" w:lineRule="auto"/>
        <w:rPr>
          <w:rFonts w:ascii="Arial" w:hAnsi="Arial" w:eastAsia="Arial" w:cs="Arial"/>
          <w:sz w:val="22"/>
          <w:szCs w:val="22"/>
        </w:rPr>
      </w:pPr>
      <w:r w:rsidRPr="00D840C9">
        <w:rPr>
          <w:rFonts w:ascii="Arial" w:hAnsi="Arial" w:eastAsia="Arial" w:cs="Arial"/>
          <w:sz w:val="22"/>
          <w:szCs w:val="22"/>
        </w:rPr>
        <w:t xml:space="preserve">Kamp-Becker, I. (2024) ‘autism spectrum disorder in ICD-11: a critical reflection of its diagnostic requirements’, </w:t>
      </w:r>
      <w:r w:rsidRPr="00D840C9">
        <w:rPr>
          <w:rFonts w:ascii="Arial" w:hAnsi="Arial" w:eastAsia="Arial" w:cs="Arial"/>
          <w:i/>
          <w:iCs/>
          <w:sz w:val="22"/>
          <w:szCs w:val="22"/>
        </w:rPr>
        <w:t>Frontiers in Psychiatry</w:t>
      </w:r>
      <w:r w:rsidRPr="00D840C9">
        <w:rPr>
          <w:rFonts w:ascii="Arial" w:hAnsi="Arial" w:eastAsia="Arial" w:cs="Arial"/>
          <w:sz w:val="22"/>
          <w:szCs w:val="22"/>
        </w:rPr>
        <w:t>, 15, pp. 1–12.</w:t>
      </w:r>
    </w:p>
    <w:p w:rsidRPr="00D840C9" w:rsidR="00DD1AFB" w:rsidP="00D840C9" w:rsidRDefault="00DD1AFB" w14:paraId="69FB945D" w14:textId="4ED629B8">
      <w:pPr>
        <w:spacing w:before="240" w:after="240" w:line="360" w:lineRule="auto"/>
        <w:rPr>
          <w:rFonts w:ascii="Arial" w:hAnsi="Arial" w:eastAsia="Arial" w:cs="Arial"/>
          <w:i/>
          <w:iCs/>
          <w:sz w:val="22"/>
          <w:szCs w:val="22"/>
        </w:rPr>
      </w:pPr>
      <w:r w:rsidRPr="00D840C9">
        <w:rPr>
          <w:rFonts w:ascii="Arial" w:hAnsi="Arial" w:eastAsia="Arial" w:cs="Arial"/>
          <w:sz w:val="22"/>
          <w:szCs w:val="22"/>
        </w:rPr>
        <w:t xml:space="preserve">Lai, M.C. and Szatmari, P. (2020) ‘Sex and gender impacts on the behavioural presentation and recognition of autism’, </w:t>
      </w:r>
      <w:r w:rsidRPr="00D840C9">
        <w:rPr>
          <w:rFonts w:ascii="Arial" w:hAnsi="Arial" w:eastAsia="Arial" w:cs="Arial"/>
          <w:i/>
          <w:iCs/>
          <w:sz w:val="22"/>
          <w:szCs w:val="22"/>
        </w:rPr>
        <w:t>Current Opinion in Psychiatry</w:t>
      </w:r>
      <w:r w:rsidRPr="00D840C9">
        <w:rPr>
          <w:rFonts w:ascii="Arial" w:hAnsi="Arial" w:eastAsia="Arial" w:cs="Arial"/>
          <w:sz w:val="22"/>
          <w:szCs w:val="22"/>
        </w:rPr>
        <w:t>, 33(2), pp. 117–123.</w:t>
      </w:r>
      <w:r w:rsidRPr="00D840C9">
        <w:rPr>
          <w:rFonts w:ascii="Arial" w:hAnsi="Arial" w:cs="Arial"/>
          <w:sz w:val="22"/>
          <w:szCs w:val="22"/>
        </w:rPr>
        <w:br/>
      </w:r>
      <w:r w:rsidRPr="00D840C9">
        <w:rPr>
          <w:rFonts w:ascii="Arial" w:hAnsi="Arial" w:eastAsia="Arial" w:cs="Arial"/>
          <w:sz w:val="22"/>
          <w:szCs w:val="22"/>
        </w:rPr>
        <w:t xml:space="preserve"> </w:t>
      </w:r>
      <w:r w:rsidRPr="00D840C9">
        <w:rPr>
          <w:rFonts w:ascii="Arial" w:hAnsi="Arial" w:eastAsia="Arial" w:cs="Arial"/>
          <w:i/>
          <w:iCs/>
          <w:sz w:val="22"/>
          <w:szCs w:val="22"/>
        </w:rPr>
        <w:t>(Key evidence for masking and female under-diagnosis)</w:t>
      </w:r>
      <w:r w:rsidRPr="00D840C9">
        <w:rPr>
          <w:rFonts w:ascii="Arial" w:hAnsi="Arial" w:cs="Arial"/>
          <w:sz w:val="22"/>
          <w:szCs w:val="22"/>
        </w:rPr>
        <w:t xml:space="preserve"> </w:t>
      </w:r>
    </w:p>
    <w:p w:rsidRPr="00D840C9" w:rsidR="00DD1AFB" w:rsidP="00D840C9" w:rsidRDefault="00DD1AFB" w14:paraId="73779D0E" w14:textId="77777777">
      <w:pPr>
        <w:spacing w:before="240" w:after="240" w:line="360" w:lineRule="auto"/>
        <w:rPr>
          <w:rFonts w:ascii="Arial" w:hAnsi="Arial" w:eastAsia="Arial" w:cs="Arial"/>
          <w:sz w:val="22"/>
          <w:szCs w:val="22"/>
        </w:rPr>
      </w:pPr>
      <w:r w:rsidRPr="00D840C9">
        <w:rPr>
          <w:rFonts w:ascii="Arial" w:hAnsi="Arial" w:eastAsia="Arial" w:cs="Arial"/>
          <w:sz w:val="22"/>
          <w:szCs w:val="22"/>
        </w:rPr>
        <w:t xml:space="preserve">Local Government Association (2021) </w:t>
      </w:r>
      <w:r w:rsidRPr="00D840C9">
        <w:rPr>
          <w:rFonts w:ascii="Arial" w:hAnsi="Arial" w:eastAsia="Arial" w:cs="Arial"/>
          <w:i/>
          <w:iCs/>
          <w:sz w:val="22"/>
          <w:szCs w:val="22"/>
        </w:rPr>
        <w:t>The National Strategy for Autistic People, Children and Young People</w:t>
      </w:r>
      <w:r w:rsidRPr="00D840C9">
        <w:rPr>
          <w:rFonts w:ascii="Arial" w:hAnsi="Arial" w:eastAsia="Arial" w:cs="Arial"/>
          <w:sz w:val="22"/>
          <w:szCs w:val="22"/>
        </w:rPr>
        <w:t>. London: LGA.</w:t>
      </w:r>
    </w:p>
    <w:p w:rsidRPr="00D840C9" w:rsidR="00DD1AFB" w:rsidP="00D840C9" w:rsidRDefault="00DD1AFB" w14:paraId="4ED12A28" w14:textId="6CA93B26">
      <w:pPr>
        <w:spacing w:line="360" w:lineRule="auto"/>
        <w:rPr>
          <w:rFonts w:ascii="Arial" w:hAnsi="Arial" w:cs="Arial"/>
          <w:sz w:val="22"/>
          <w:szCs w:val="22"/>
        </w:rPr>
      </w:pPr>
      <w:r w:rsidRPr="5C735887" w:rsidR="00DD1AFB">
        <w:rPr>
          <w:rFonts w:ascii="Arial" w:hAnsi="Arial" w:cs="Arial"/>
          <w:sz w:val="22"/>
          <w:szCs w:val="22"/>
        </w:rPr>
        <w:t xml:space="preserve">Lord, C., Rutter, M., </w:t>
      </w:r>
      <w:r w:rsidRPr="5C735887" w:rsidR="00DD1AFB">
        <w:rPr>
          <w:rFonts w:ascii="Arial" w:hAnsi="Arial" w:cs="Arial"/>
          <w:sz w:val="22"/>
          <w:szCs w:val="22"/>
        </w:rPr>
        <w:t>DiLavore</w:t>
      </w:r>
      <w:r w:rsidRPr="5C735887" w:rsidR="00DD1AFB">
        <w:rPr>
          <w:rFonts w:ascii="Arial" w:hAnsi="Arial" w:cs="Arial"/>
          <w:sz w:val="22"/>
          <w:szCs w:val="22"/>
        </w:rPr>
        <w:t xml:space="preserve">, P.C., Risi, S., Gotham, </w:t>
      </w:r>
      <w:r w:rsidRPr="5C735887" w:rsidR="7501FF67">
        <w:rPr>
          <w:rFonts w:ascii="Arial" w:hAnsi="Arial" w:cs="Arial"/>
          <w:sz w:val="22"/>
          <w:szCs w:val="22"/>
        </w:rPr>
        <w:t>K.,</w:t>
      </w:r>
      <w:r w:rsidRPr="5C735887" w:rsidR="00DD1AFB">
        <w:rPr>
          <w:rFonts w:ascii="Arial" w:hAnsi="Arial" w:cs="Arial"/>
          <w:sz w:val="22"/>
          <w:szCs w:val="22"/>
        </w:rPr>
        <w:t xml:space="preserve"> and Bishop, S. (2012) </w:t>
      </w:r>
      <w:r w:rsidRPr="5C735887" w:rsidR="00DD1AFB">
        <w:rPr>
          <w:rFonts w:ascii="Arial" w:hAnsi="Arial" w:cs="Arial"/>
          <w:i w:val="1"/>
          <w:iCs w:val="1"/>
          <w:sz w:val="22"/>
          <w:szCs w:val="22"/>
        </w:rPr>
        <w:t>Autism Diagnostic Observation Schedule (ADOS-2)</w:t>
      </w:r>
      <w:r w:rsidRPr="5C735887" w:rsidR="00DD1AFB">
        <w:rPr>
          <w:rFonts w:ascii="Arial" w:hAnsi="Arial" w:cs="Arial"/>
          <w:sz w:val="22"/>
          <w:szCs w:val="22"/>
        </w:rPr>
        <w:t xml:space="preserve">. 2nd </w:t>
      </w:r>
      <w:r w:rsidRPr="5C735887" w:rsidR="00DD1AFB">
        <w:rPr>
          <w:rFonts w:ascii="Arial" w:hAnsi="Arial" w:cs="Arial"/>
          <w:sz w:val="22"/>
          <w:szCs w:val="22"/>
        </w:rPr>
        <w:t>edn</w:t>
      </w:r>
      <w:r w:rsidRPr="5C735887" w:rsidR="00DD1AFB">
        <w:rPr>
          <w:rFonts w:ascii="Arial" w:hAnsi="Arial" w:cs="Arial"/>
          <w:sz w:val="22"/>
          <w:szCs w:val="22"/>
        </w:rPr>
        <w:t>. Torrance, CA: Western Psychological Services.</w:t>
      </w:r>
    </w:p>
    <w:p w:rsidRPr="00D840C9" w:rsidR="00DD1AFB" w:rsidP="00D840C9" w:rsidRDefault="00DD1AFB" w14:paraId="58579C56" w14:textId="25160AD0">
      <w:pPr>
        <w:spacing w:before="240" w:after="240" w:line="360" w:lineRule="auto"/>
        <w:rPr>
          <w:rFonts w:ascii="Arial" w:hAnsi="Arial" w:eastAsia="Arial" w:cs="Arial"/>
          <w:sz w:val="22"/>
          <w:szCs w:val="22"/>
        </w:rPr>
      </w:pPr>
      <w:r w:rsidRPr="5C735887" w:rsidR="00DD1AFB">
        <w:rPr>
          <w:rFonts w:ascii="Arial" w:hAnsi="Arial" w:eastAsia="Arial" w:cs="Arial"/>
          <w:sz w:val="22"/>
          <w:szCs w:val="22"/>
        </w:rPr>
        <w:t xml:space="preserve">National Institute for Health and Care Excellence (NICE) (2011) </w:t>
      </w:r>
      <w:r w:rsidRPr="5C735887" w:rsidR="00DD1AFB">
        <w:rPr>
          <w:rFonts w:ascii="Arial" w:hAnsi="Arial" w:eastAsia="Arial" w:cs="Arial"/>
          <w:i w:val="1"/>
          <w:iCs w:val="1"/>
          <w:sz w:val="22"/>
          <w:szCs w:val="22"/>
        </w:rPr>
        <w:t xml:space="preserve">autism spectrum disorder in under 19s: recognition, </w:t>
      </w:r>
      <w:r w:rsidRPr="5C735887" w:rsidR="6BF02B00">
        <w:rPr>
          <w:rFonts w:ascii="Arial" w:hAnsi="Arial" w:eastAsia="Arial" w:cs="Arial"/>
          <w:i w:val="1"/>
          <w:iCs w:val="1"/>
          <w:sz w:val="22"/>
          <w:szCs w:val="22"/>
        </w:rPr>
        <w:t>referral,</w:t>
      </w:r>
      <w:r w:rsidRPr="5C735887" w:rsidR="00DD1AFB">
        <w:rPr>
          <w:rFonts w:ascii="Arial" w:hAnsi="Arial" w:eastAsia="Arial" w:cs="Arial"/>
          <w:i w:val="1"/>
          <w:iCs w:val="1"/>
          <w:sz w:val="22"/>
          <w:szCs w:val="22"/>
        </w:rPr>
        <w:t xml:space="preserve"> and diagnosis (CG128)</w:t>
      </w:r>
      <w:r w:rsidRPr="5C735887" w:rsidR="00DD1AFB">
        <w:rPr>
          <w:rFonts w:ascii="Arial" w:hAnsi="Arial" w:eastAsia="Arial" w:cs="Arial"/>
          <w:sz w:val="22"/>
          <w:szCs w:val="22"/>
        </w:rPr>
        <w:t>. London: NICE.</w:t>
      </w:r>
    </w:p>
    <w:p w:rsidRPr="00D840C9" w:rsidR="00DD1AFB" w:rsidP="00D840C9" w:rsidRDefault="00DD1AFB" w14:paraId="34647CB1" w14:textId="77777777">
      <w:pPr>
        <w:spacing w:before="240" w:after="240" w:line="360" w:lineRule="auto"/>
        <w:rPr>
          <w:rFonts w:ascii="Arial" w:hAnsi="Arial" w:eastAsia="Arial" w:cs="Arial"/>
          <w:sz w:val="22"/>
          <w:szCs w:val="22"/>
        </w:rPr>
      </w:pPr>
      <w:r w:rsidRPr="00D840C9">
        <w:rPr>
          <w:rFonts w:ascii="Arial" w:hAnsi="Arial" w:eastAsia="Arial" w:cs="Arial"/>
          <w:sz w:val="22"/>
          <w:szCs w:val="22"/>
        </w:rPr>
        <w:t xml:space="preserve">National Institute for Health and Care Excellence (NICE) (2012) </w:t>
      </w:r>
      <w:r w:rsidRPr="00D840C9">
        <w:rPr>
          <w:rFonts w:ascii="Arial" w:hAnsi="Arial" w:eastAsia="Arial" w:cs="Arial"/>
          <w:i/>
          <w:iCs/>
          <w:sz w:val="22"/>
          <w:szCs w:val="22"/>
        </w:rPr>
        <w:t>autism spectrum disorder in adults: diagnosis and management (CG142)</w:t>
      </w:r>
      <w:r w:rsidRPr="00D840C9">
        <w:rPr>
          <w:rFonts w:ascii="Arial" w:hAnsi="Arial" w:eastAsia="Arial" w:cs="Arial"/>
          <w:sz w:val="22"/>
          <w:szCs w:val="22"/>
        </w:rPr>
        <w:t>. London: NICE.</w:t>
      </w:r>
    </w:p>
    <w:p w:rsidRPr="00D840C9" w:rsidR="00DD1AFB" w:rsidP="00D840C9" w:rsidRDefault="00DD1AFB" w14:paraId="0E1051B2" w14:textId="77777777">
      <w:pPr>
        <w:spacing w:line="360" w:lineRule="auto"/>
        <w:rPr>
          <w:rFonts w:ascii="Arial" w:hAnsi="Arial" w:cs="Arial"/>
          <w:sz w:val="22"/>
          <w:szCs w:val="22"/>
        </w:rPr>
      </w:pPr>
      <w:r w:rsidRPr="00D840C9">
        <w:rPr>
          <w:rFonts w:ascii="Arial" w:hAnsi="Arial" w:cs="Arial"/>
          <w:sz w:val="22"/>
          <w:szCs w:val="22"/>
        </w:rPr>
        <w:t xml:space="preserve">National Institute for Health and Care Excellence (NICE) (2013) </w:t>
      </w:r>
      <w:r w:rsidRPr="00D840C9">
        <w:rPr>
          <w:rFonts w:ascii="Arial" w:hAnsi="Arial" w:cs="Arial"/>
          <w:i/>
          <w:iCs/>
          <w:sz w:val="22"/>
          <w:szCs w:val="22"/>
        </w:rPr>
        <w:t>autism spectrum disorder in under 19s: support and management (CG170)</w:t>
      </w:r>
      <w:r w:rsidRPr="00D840C9">
        <w:rPr>
          <w:rFonts w:ascii="Arial" w:hAnsi="Arial" w:cs="Arial"/>
          <w:sz w:val="22"/>
          <w:szCs w:val="22"/>
        </w:rPr>
        <w:t xml:space="preserve">. London: NICE. </w:t>
      </w:r>
    </w:p>
    <w:p w:rsidRPr="00D840C9" w:rsidR="00DD1AFB" w:rsidP="00D840C9" w:rsidRDefault="00DD1AFB" w14:paraId="545405BC" w14:textId="77777777">
      <w:pPr>
        <w:spacing w:before="240" w:after="240" w:line="360" w:lineRule="auto"/>
        <w:rPr>
          <w:rFonts w:ascii="Arial" w:hAnsi="Arial" w:eastAsia="Arial" w:cs="Arial"/>
          <w:i/>
          <w:iCs/>
          <w:sz w:val="22"/>
          <w:szCs w:val="22"/>
        </w:rPr>
      </w:pPr>
      <w:r w:rsidRPr="00D840C9">
        <w:rPr>
          <w:rFonts w:ascii="Arial" w:hAnsi="Arial" w:eastAsia="Arial" w:cs="Arial"/>
          <w:sz w:val="22"/>
          <w:szCs w:val="22"/>
        </w:rPr>
        <w:t xml:space="preserve">NHS Digital (2022) </w:t>
      </w:r>
      <w:r w:rsidRPr="00D840C9">
        <w:rPr>
          <w:rFonts w:ascii="Arial" w:hAnsi="Arial" w:eastAsia="Arial" w:cs="Arial"/>
          <w:i/>
          <w:iCs/>
          <w:sz w:val="22"/>
          <w:szCs w:val="22"/>
        </w:rPr>
        <w:t>Autism statistics: prevalence and service use in England</w:t>
      </w:r>
      <w:r w:rsidRPr="00D840C9">
        <w:rPr>
          <w:rFonts w:ascii="Arial" w:hAnsi="Arial" w:eastAsia="Arial" w:cs="Arial"/>
          <w:sz w:val="22"/>
          <w:szCs w:val="22"/>
        </w:rPr>
        <w:t>. Leeds: NHS Digital.</w:t>
      </w:r>
      <w:r w:rsidRPr="00D840C9">
        <w:rPr>
          <w:rFonts w:ascii="Arial" w:hAnsi="Arial" w:cs="Arial"/>
          <w:sz w:val="22"/>
          <w:szCs w:val="22"/>
        </w:rPr>
        <w:br/>
      </w:r>
      <w:r w:rsidRPr="00D840C9">
        <w:rPr>
          <w:rFonts w:ascii="Arial" w:hAnsi="Arial" w:eastAsia="Arial" w:cs="Arial"/>
          <w:sz w:val="22"/>
          <w:szCs w:val="22"/>
        </w:rPr>
        <w:t xml:space="preserve"> </w:t>
      </w:r>
      <w:r w:rsidRPr="00D840C9">
        <w:rPr>
          <w:rFonts w:ascii="Arial" w:hAnsi="Arial" w:eastAsia="Arial" w:cs="Arial"/>
          <w:i/>
          <w:iCs/>
          <w:sz w:val="22"/>
          <w:szCs w:val="22"/>
        </w:rPr>
        <w:t>(Strong for prevalence, waiting times and service pressure)</w:t>
      </w:r>
    </w:p>
    <w:p w:rsidRPr="00D840C9" w:rsidR="00DD1AFB" w:rsidP="00D840C9" w:rsidRDefault="00DD1AFB" w14:paraId="366CE0BA" w14:textId="77777777">
      <w:pPr>
        <w:spacing w:line="360" w:lineRule="auto"/>
        <w:rPr>
          <w:rFonts w:ascii="Arial" w:hAnsi="Arial" w:cs="Arial"/>
          <w:sz w:val="22"/>
          <w:szCs w:val="22"/>
        </w:rPr>
      </w:pPr>
      <w:r w:rsidRPr="00D840C9">
        <w:rPr>
          <w:rFonts w:ascii="Arial" w:hAnsi="Arial" w:cs="Arial"/>
          <w:sz w:val="22"/>
          <w:szCs w:val="22"/>
        </w:rPr>
        <w:t xml:space="preserve">NHS England (2019) </w:t>
      </w:r>
      <w:r w:rsidRPr="00D840C9">
        <w:rPr>
          <w:rFonts w:ascii="Arial" w:hAnsi="Arial" w:cs="Arial"/>
          <w:i/>
          <w:iCs/>
          <w:sz w:val="22"/>
          <w:szCs w:val="22"/>
        </w:rPr>
        <w:t>The NHS Long Term Plan</w:t>
      </w:r>
      <w:r w:rsidRPr="00D840C9">
        <w:rPr>
          <w:rFonts w:ascii="Arial" w:hAnsi="Arial" w:cs="Arial"/>
          <w:sz w:val="22"/>
          <w:szCs w:val="22"/>
        </w:rPr>
        <w:t>. London: NHS England.</w:t>
      </w:r>
    </w:p>
    <w:p w:rsidRPr="00D840C9" w:rsidR="00DD1AFB" w:rsidP="00D840C9" w:rsidRDefault="00DD1AFB" w14:paraId="0A61E13E" w14:textId="77777777">
      <w:pPr>
        <w:spacing w:before="240" w:after="240" w:line="360" w:lineRule="auto"/>
        <w:rPr>
          <w:rFonts w:ascii="Arial" w:hAnsi="Arial" w:eastAsia="Arial" w:cs="Arial"/>
          <w:sz w:val="22"/>
          <w:szCs w:val="22"/>
        </w:rPr>
      </w:pPr>
      <w:r w:rsidRPr="00D840C9">
        <w:rPr>
          <w:rFonts w:ascii="Arial" w:hAnsi="Arial" w:eastAsia="Arial" w:cs="Arial"/>
          <w:sz w:val="22"/>
          <w:szCs w:val="22"/>
        </w:rPr>
        <w:t xml:space="preserve">Office for National Statistics (ONS) (2021) </w:t>
      </w:r>
      <w:r w:rsidRPr="00D840C9">
        <w:rPr>
          <w:rFonts w:ascii="Arial" w:hAnsi="Arial" w:eastAsia="Arial" w:cs="Arial"/>
          <w:i/>
          <w:iCs/>
          <w:sz w:val="22"/>
          <w:szCs w:val="22"/>
        </w:rPr>
        <w:t>Outcomes for disabled people in the UK: autism overview</w:t>
      </w:r>
      <w:r w:rsidRPr="00D840C9">
        <w:rPr>
          <w:rFonts w:ascii="Arial" w:hAnsi="Arial" w:eastAsia="Arial" w:cs="Arial"/>
          <w:sz w:val="22"/>
          <w:szCs w:val="22"/>
        </w:rPr>
        <w:t>. London: ONS.</w:t>
      </w:r>
    </w:p>
    <w:p w:rsidRPr="00D840C9" w:rsidR="00DD1AFB" w:rsidP="5C735887" w:rsidRDefault="00DD1AFB" w14:paraId="680AB680" w14:textId="398C3C17">
      <w:pPr>
        <w:spacing w:before="240" w:after="240" w:line="360" w:lineRule="auto"/>
        <w:rPr>
          <w:rFonts w:ascii="Arial" w:hAnsi="Arial" w:eastAsia="Arial" w:cs="Arial"/>
          <w:i w:val="1"/>
          <w:iCs w:val="1"/>
          <w:sz w:val="22"/>
          <w:szCs w:val="22"/>
        </w:rPr>
      </w:pPr>
      <w:r w:rsidRPr="5C735887" w:rsidR="00DD1AFB">
        <w:rPr>
          <w:rFonts w:ascii="Arial" w:hAnsi="Arial" w:eastAsia="Arial" w:cs="Arial"/>
          <w:sz w:val="22"/>
          <w:szCs w:val="22"/>
        </w:rPr>
        <w:t xml:space="preserve">Pellicano, E., den Houting, </w:t>
      </w:r>
      <w:r w:rsidRPr="5C735887" w:rsidR="3061E7A1">
        <w:rPr>
          <w:rFonts w:ascii="Arial" w:hAnsi="Arial" w:eastAsia="Arial" w:cs="Arial"/>
          <w:sz w:val="22"/>
          <w:szCs w:val="22"/>
        </w:rPr>
        <w:t>J.,</w:t>
      </w:r>
      <w:r w:rsidRPr="5C735887" w:rsidR="00DD1AFB">
        <w:rPr>
          <w:rFonts w:ascii="Arial" w:hAnsi="Arial" w:eastAsia="Arial" w:cs="Arial"/>
          <w:sz w:val="22"/>
          <w:szCs w:val="22"/>
        </w:rPr>
        <w:t xml:space="preserve"> and Heyworth, M. (2022) </w:t>
      </w:r>
      <w:r w:rsidRPr="5C735887" w:rsidR="00DD1AFB">
        <w:rPr>
          <w:rFonts w:ascii="Arial" w:hAnsi="Arial" w:eastAsia="Arial" w:cs="Arial"/>
          <w:i w:val="1"/>
          <w:iCs w:val="1"/>
          <w:sz w:val="22"/>
          <w:szCs w:val="22"/>
        </w:rPr>
        <w:t>The autism advantage: perspectives from the neurodiversity movement</w:t>
      </w:r>
      <w:r w:rsidRPr="5C735887" w:rsidR="00DD1AFB">
        <w:rPr>
          <w:rFonts w:ascii="Arial" w:hAnsi="Arial" w:eastAsia="Arial" w:cs="Arial"/>
          <w:sz w:val="22"/>
          <w:szCs w:val="22"/>
        </w:rPr>
        <w:t>. London: Policy Press.</w:t>
      </w:r>
      <w:r>
        <w:br/>
      </w:r>
      <w:r w:rsidRPr="5C735887" w:rsidR="00DD1AFB">
        <w:rPr>
          <w:rFonts w:ascii="Arial" w:hAnsi="Arial" w:eastAsia="Arial" w:cs="Arial"/>
          <w:sz w:val="22"/>
          <w:szCs w:val="22"/>
        </w:rPr>
        <w:t xml:space="preserve"> </w:t>
      </w:r>
      <w:r w:rsidRPr="5C735887" w:rsidR="00DD1AFB">
        <w:rPr>
          <w:rFonts w:ascii="Arial" w:hAnsi="Arial" w:eastAsia="Arial" w:cs="Arial"/>
          <w:i w:val="1"/>
          <w:iCs w:val="1"/>
          <w:sz w:val="22"/>
          <w:szCs w:val="22"/>
        </w:rPr>
        <w:t>(Excellent for balanced neurodiversity discussion)</w:t>
      </w:r>
    </w:p>
    <w:p w:rsidRPr="00D840C9" w:rsidR="00DD1AFB" w:rsidP="00D840C9" w:rsidRDefault="00DD1AFB" w14:paraId="7E08486E" w14:textId="77777777">
      <w:pPr>
        <w:spacing w:line="360" w:lineRule="auto"/>
        <w:rPr>
          <w:rFonts w:ascii="Arial" w:hAnsi="Arial" w:cs="Arial"/>
          <w:sz w:val="22"/>
          <w:szCs w:val="22"/>
        </w:rPr>
      </w:pPr>
      <w:r w:rsidRPr="00D840C9">
        <w:rPr>
          <w:rFonts w:ascii="Arial" w:hAnsi="Arial" w:cs="Arial"/>
          <w:sz w:val="22"/>
          <w:szCs w:val="22"/>
        </w:rPr>
        <w:t xml:space="preserve">Russell, G., Stapley, S., Newlove-Delgado, T., Salmon, A., White, R., Warren, F. and Pearson, A. (2022) ‘Time trends in autism diagnosis over 20 years: A UK population-based study’, </w:t>
      </w:r>
      <w:r w:rsidRPr="00D840C9">
        <w:rPr>
          <w:rFonts w:ascii="Arial" w:hAnsi="Arial" w:cs="Arial"/>
          <w:i/>
          <w:iCs/>
          <w:sz w:val="22"/>
          <w:szCs w:val="22"/>
        </w:rPr>
        <w:t>Journal of Child Psychology and Psychiatry</w:t>
      </w:r>
      <w:r w:rsidRPr="00D840C9">
        <w:rPr>
          <w:rFonts w:ascii="Arial" w:hAnsi="Arial" w:cs="Arial"/>
          <w:sz w:val="22"/>
          <w:szCs w:val="22"/>
        </w:rPr>
        <w:t>, 63(6), pp. 674–682.</w:t>
      </w:r>
    </w:p>
    <w:p w:rsidRPr="00D840C9" w:rsidR="00DD1AFB" w:rsidP="00D840C9" w:rsidRDefault="00DD1AFB" w14:paraId="1ECF8E70" w14:textId="77777777">
      <w:pPr>
        <w:spacing w:line="360" w:lineRule="auto"/>
        <w:rPr>
          <w:rFonts w:ascii="Arial" w:hAnsi="Arial" w:cs="Arial"/>
          <w:sz w:val="22"/>
          <w:szCs w:val="22"/>
        </w:rPr>
      </w:pPr>
      <w:r w:rsidRPr="00D840C9">
        <w:rPr>
          <w:rFonts w:ascii="Arial" w:hAnsi="Arial" w:cs="Arial"/>
          <w:sz w:val="22"/>
          <w:szCs w:val="22"/>
        </w:rPr>
        <w:t xml:space="preserve">Shah, P.J., Livingston, L.A., Holt, R., and MacKay, T. (2022) ‘Neurodevelopmental disorders and neurodiversity: definition of terms’, </w:t>
      </w:r>
      <w:r w:rsidRPr="00D840C9">
        <w:rPr>
          <w:rFonts w:ascii="Arial" w:hAnsi="Arial" w:cs="Arial"/>
          <w:i/>
          <w:iCs/>
          <w:sz w:val="22"/>
          <w:szCs w:val="22"/>
        </w:rPr>
        <w:t>The British Journal of Psychiatry</w:t>
      </w:r>
      <w:r w:rsidRPr="00D840C9">
        <w:rPr>
          <w:rFonts w:ascii="Arial" w:hAnsi="Arial" w:cs="Arial"/>
          <w:sz w:val="22"/>
          <w:szCs w:val="22"/>
        </w:rPr>
        <w:t>, 221(6), pp. 1–3.</w:t>
      </w:r>
    </w:p>
    <w:p w:rsidRPr="00D840C9" w:rsidR="00DD1AFB" w:rsidP="00D840C9" w:rsidRDefault="00DD1AFB" w14:paraId="5E3E922E" w14:textId="77777777">
      <w:pPr>
        <w:spacing w:before="240" w:after="240" w:line="360" w:lineRule="auto"/>
        <w:rPr>
          <w:rFonts w:ascii="Arial" w:hAnsi="Arial" w:eastAsia="Arial" w:cs="Arial"/>
          <w:sz w:val="22"/>
          <w:szCs w:val="22"/>
        </w:rPr>
      </w:pPr>
      <w:r w:rsidRPr="00D840C9">
        <w:rPr>
          <w:rFonts w:ascii="Arial" w:hAnsi="Arial" w:eastAsia="Arial" w:cs="Arial"/>
          <w:sz w:val="22"/>
          <w:szCs w:val="22"/>
        </w:rPr>
        <w:t xml:space="preserve">World Health Organization (WHO) (2019) </w:t>
      </w:r>
      <w:r w:rsidRPr="00D840C9">
        <w:rPr>
          <w:rFonts w:ascii="Arial" w:hAnsi="Arial" w:eastAsia="Arial" w:cs="Arial"/>
          <w:i/>
          <w:iCs/>
          <w:sz w:val="22"/>
          <w:szCs w:val="22"/>
        </w:rPr>
        <w:t>International classification of diseases for mortality and morbidity statistics (11th revision)</w:t>
      </w:r>
      <w:r w:rsidRPr="00D840C9">
        <w:rPr>
          <w:rFonts w:ascii="Arial" w:hAnsi="Arial" w:eastAsia="Arial" w:cs="Arial"/>
          <w:sz w:val="22"/>
          <w:szCs w:val="22"/>
        </w:rPr>
        <w:t>. Geneva: WHO.</w:t>
      </w:r>
    </w:p>
    <w:sectPr w:rsidRPr="00D840C9" w:rsidR="00DD1AF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381T4BhViaD0f1" int2:id="YlUlV4Je">
      <int2:state int2:type="spell" int2:value="Rejected"/>
    </int2:textHash>
    <int2:textHash int2:hashCode="L3ZscltUjzncZR" int2:id="nB3k3v8P">
      <int2:state int2:type="spell" int2:value="Rejected"/>
    </int2:textHash>
    <int2:textHash int2:hashCode="Y7rxyEYEGk+h8X" int2:id="Cn5QKNjk">
      <int2:state int2:type="spell" int2:value="Rejected"/>
    </int2:textHash>
    <int2:textHash int2:hashCode="y4cJq3WKTX5Ymt" int2:id="AOUWonuj">
      <int2:state int2:type="spell" int2:value="Rejected"/>
    </int2:textHash>
    <int2:textHash int2:hashCode="JFgbbEzoRtrJ/0" int2:id="fWyLW8hU">
      <int2:state int2:type="spell" int2:value="Rejected"/>
    </int2:textHash>
    <int2:textHash int2:hashCode="WJi53gMwGAYK+g" int2:id="eW2nhAIb">
      <int2:state int2:type="spell" int2:value="Rejected"/>
    </int2:textHash>
    <int2:textHash int2:hashCode="dbnVSOzKqgCoDp" int2:id="9z2HNjr3">
      <int2:state int2:type="spell"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F52A0"/>
    <w:multiLevelType w:val="multilevel"/>
    <w:tmpl w:val="3AC4D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9B6D11"/>
    <w:multiLevelType w:val="multilevel"/>
    <w:tmpl w:val="EB3C1E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333CEE"/>
    <w:multiLevelType w:val="multilevel"/>
    <w:tmpl w:val="7616B8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494548C"/>
    <w:multiLevelType w:val="multilevel"/>
    <w:tmpl w:val="6D967C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7B67BE"/>
    <w:multiLevelType w:val="multilevel"/>
    <w:tmpl w:val="6D5CD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8461102">
    <w:abstractNumId w:val="0"/>
  </w:num>
  <w:num w:numId="2" w16cid:durableId="491063570">
    <w:abstractNumId w:val="4"/>
  </w:num>
  <w:num w:numId="3" w16cid:durableId="2122526438">
    <w:abstractNumId w:val="1"/>
  </w:num>
  <w:num w:numId="4" w16cid:durableId="973826406">
    <w:abstractNumId w:val="3"/>
  </w:num>
  <w:num w:numId="5" w16cid:durableId="945309674">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58"/>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1FF"/>
    <w:rsid w:val="00024479"/>
    <w:rsid w:val="000424DD"/>
    <w:rsid w:val="00076071"/>
    <w:rsid w:val="00094A75"/>
    <w:rsid w:val="000B0476"/>
    <w:rsid w:val="000C0A22"/>
    <w:rsid w:val="000F7A95"/>
    <w:rsid w:val="00113DFD"/>
    <w:rsid w:val="0011592E"/>
    <w:rsid w:val="0014527C"/>
    <w:rsid w:val="001523B6"/>
    <w:rsid w:val="00172950"/>
    <w:rsid w:val="00182973"/>
    <w:rsid w:val="00196E08"/>
    <w:rsid w:val="001D0711"/>
    <w:rsid w:val="001D6553"/>
    <w:rsid w:val="001F60AB"/>
    <w:rsid w:val="002724DB"/>
    <w:rsid w:val="0027799B"/>
    <w:rsid w:val="002A0499"/>
    <w:rsid w:val="002B41E5"/>
    <w:rsid w:val="00324EB6"/>
    <w:rsid w:val="00325AD1"/>
    <w:rsid w:val="003350D4"/>
    <w:rsid w:val="00336534"/>
    <w:rsid w:val="003A1B13"/>
    <w:rsid w:val="003A720E"/>
    <w:rsid w:val="003B3691"/>
    <w:rsid w:val="003B6188"/>
    <w:rsid w:val="003D423A"/>
    <w:rsid w:val="003E273A"/>
    <w:rsid w:val="003F0F2C"/>
    <w:rsid w:val="003F2C11"/>
    <w:rsid w:val="00406474"/>
    <w:rsid w:val="004131C6"/>
    <w:rsid w:val="004169C2"/>
    <w:rsid w:val="004417EB"/>
    <w:rsid w:val="00442D27"/>
    <w:rsid w:val="0044389E"/>
    <w:rsid w:val="0045654F"/>
    <w:rsid w:val="004B1594"/>
    <w:rsid w:val="004C0FC3"/>
    <w:rsid w:val="004D4B0C"/>
    <w:rsid w:val="005239CD"/>
    <w:rsid w:val="00530572"/>
    <w:rsid w:val="00533751"/>
    <w:rsid w:val="0054712A"/>
    <w:rsid w:val="00563904"/>
    <w:rsid w:val="00577349"/>
    <w:rsid w:val="00584E49"/>
    <w:rsid w:val="0059424A"/>
    <w:rsid w:val="005B2A11"/>
    <w:rsid w:val="005B3EC3"/>
    <w:rsid w:val="00636D9F"/>
    <w:rsid w:val="00644589"/>
    <w:rsid w:val="0066043E"/>
    <w:rsid w:val="00695D21"/>
    <w:rsid w:val="006A123F"/>
    <w:rsid w:val="006A2336"/>
    <w:rsid w:val="006B5EA9"/>
    <w:rsid w:val="006E2F64"/>
    <w:rsid w:val="006F1EC4"/>
    <w:rsid w:val="006F75E5"/>
    <w:rsid w:val="00703919"/>
    <w:rsid w:val="0070512C"/>
    <w:rsid w:val="00741300"/>
    <w:rsid w:val="00745AB7"/>
    <w:rsid w:val="007637A1"/>
    <w:rsid w:val="00770F23"/>
    <w:rsid w:val="0078741A"/>
    <w:rsid w:val="007962F9"/>
    <w:rsid w:val="00796F18"/>
    <w:rsid w:val="007D25C3"/>
    <w:rsid w:val="00844194"/>
    <w:rsid w:val="008B22EE"/>
    <w:rsid w:val="008D4BE7"/>
    <w:rsid w:val="008D57D7"/>
    <w:rsid w:val="00902B9C"/>
    <w:rsid w:val="00944318"/>
    <w:rsid w:val="0094563C"/>
    <w:rsid w:val="009A2A9A"/>
    <w:rsid w:val="009A3120"/>
    <w:rsid w:val="009A7BB7"/>
    <w:rsid w:val="009C1179"/>
    <w:rsid w:val="009D1DFC"/>
    <w:rsid w:val="009D2E57"/>
    <w:rsid w:val="00A25359"/>
    <w:rsid w:val="00A95E1E"/>
    <w:rsid w:val="00AD4074"/>
    <w:rsid w:val="00AE1CAF"/>
    <w:rsid w:val="00AE2DFA"/>
    <w:rsid w:val="00B0389B"/>
    <w:rsid w:val="00B2396C"/>
    <w:rsid w:val="00B7213E"/>
    <w:rsid w:val="00BB17C5"/>
    <w:rsid w:val="00BB23FE"/>
    <w:rsid w:val="00BC0FDD"/>
    <w:rsid w:val="00BD61FF"/>
    <w:rsid w:val="00C61319"/>
    <w:rsid w:val="00C7457B"/>
    <w:rsid w:val="00C92111"/>
    <w:rsid w:val="00CD770E"/>
    <w:rsid w:val="00D270D9"/>
    <w:rsid w:val="00D3253D"/>
    <w:rsid w:val="00D376FC"/>
    <w:rsid w:val="00D840C9"/>
    <w:rsid w:val="00DC57C5"/>
    <w:rsid w:val="00DC5C26"/>
    <w:rsid w:val="00DC6175"/>
    <w:rsid w:val="00DD1AFB"/>
    <w:rsid w:val="00DD353C"/>
    <w:rsid w:val="00DF783D"/>
    <w:rsid w:val="00E009E6"/>
    <w:rsid w:val="00E044E1"/>
    <w:rsid w:val="00E47129"/>
    <w:rsid w:val="00E513AE"/>
    <w:rsid w:val="00E87744"/>
    <w:rsid w:val="00E90ED3"/>
    <w:rsid w:val="00E94050"/>
    <w:rsid w:val="00EA0A8A"/>
    <w:rsid w:val="00F103D4"/>
    <w:rsid w:val="00F27879"/>
    <w:rsid w:val="00F513B4"/>
    <w:rsid w:val="00F765E4"/>
    <w:rsid w:val="00F86BB5"/>
    <w:rsid w:val="00FB6BC6"/>
    <w:rsid w:val="00FD43B4"/>
    <w:rsid w:val="00FD4D5D"/>
    <w:rsid w:val="00FE0704"/>
    <w:rsid w:val="00FE222F"/>
    <w:rsid w:val="00FE3276"/>
    <w:rsid w:val="011789C2"/>
    <w:rsid w:val="03264042"/>
    <w:rsid w:val="033EEB8F"/>
    <w:rsid w:val="03C342E9"/>
    <w:rsid w:val="040B824D"/>
    <w:rsid w:val="04A4B922"/>
    <w:rsid w:val="05845433"/>
    <w:rsid w:val="06A60A2C"/>
    <w:rsid w:val="070F8E50"/>
    <w:rsid w:val="07B3B253"/>
    <w:rsid w:val="0AD9ADD3"/>
    <w:rsid w:val="0CC75341"/>
    <w:rsid w:val="0E8534BF"/>
    <w:rsid w:val="0F4AD9C2"/>
    <w:rsid w:val="0FC94A3B"/>
    <w:rsid w:val="1174D329"/>
    <w:rsid w:val="119863F9"/>
    <w:rsid w:val="120EA64A"/>
    <w:rsid w:val="124A9C71"/>
    <w:rsid w:val="139325AA"/>
    <w:rsid w:val="13BA47CC"/>
    <w:rsid w:val="13BDD463"/>
    <w:rsid w:val="14725B3B"/>
    <w:rsid w:val="14F8258D"/>
    <w:rsid w:val="16BF232C"/>
    <w:rsid w:val="183B1334"/>
    <w:rsid w:val="1954781D"/>
    <w:rsid w:val="199954C3"/>
    <w:rsid w:val="1A3C174D"/>
    <w:rsid w:val="1E03DE90"/>
    <w:rsid w:val="1E8F3E5E"/>
    <w:rsid w:val="1E98AC4A"/>
    <w:rsid w:val="2018B3E0"/>
    <w:rsid w:val="22D13AA7"/>
    <w:rsid w:val="234DFD9C"/>
    <w:rsid w:val="23F3DD3D"/>
    <w:rsid w:val="2463DD58"/>
    <w:rsid w:val="26615873"/>
    <w:rsid w:val="270CBF65"/>
    <w:rsid w:val="27297A4F"/>
    <w:rsid w:val="2775AEDB"/>
    <w:rsid w:val="28A4C1F7"/>
    <w:rsid w:val="2928F45D"/>
    <w:rsid w:val="2AAB7731"/>
    <w:rsid w:val="2AB1F3A0"/>
    <w:rsid w:val="2B0070BB"/>
    <w:rsid w:val="2BBA8C18"/>
    <w:rsid w:val="2C3E17A0"/>
    <w:rsid w:val="2CAFEB8A"/>
    <w:rsid w:val="2D524786"/>
    <w:rsid w:val="2DB236A4"/>
    <w:rsid w:val="2E061CFE"/>
    <w:rsid w:val="3061E7A1"/>
    <w:rsid w:val="3164DC01"/>
    <w:rsid w:val="3373378D"/>
    <w:rsid w:val="344F45DF"/>
    <w:rsid w:val="3544F4A0"/>
    <w:rsid w:val="35F164B7"/>
    <w:rsid w:val="363F6373"/>
    <w:rsid w:val="37F5A68A"/>
    <w:rsid w:val="385947C0"/>
    <w:rsid w:val="38C0304C"/>
    <w:rsid w:val="391EDB40"/>
    <w:rsid w:val="3923B897"/>
    <w:rsid w:val="39C6B8CE"/>
    <w:rsid w:val="3AC2AD3B"/>
    <w:rsid w:val="3AFD1558"/>
    <w:rsid w:val="3CD46F11"/>
    <w:rsid w:val="3CEFEB6E"/>
    <w:rsid w:val="3CF00D96"/>
    <w:rsid w:val="3CFDDC9C"/>
    <w:rsid w:val="3E35AD62"/>
    <w:rsid w:val="3F5CB27B"/>
    <w:rsid w:val="3F5EE120"/>
    <w:rsid w:val="3F748033"/>
    <w:rsid w:val="3F90A737"/>
    <w:rsid w:val="4013F0C4"/>
    <w:rsid w:val="40B4B8B6"/>
    <w:rsid w:val="40BEA56E"/>
    <w:rsid w:val="41E8CB0B"/>
    <w:rsid w:val="45DE097D"/>
    <w:rsid w:val="45EF8939"/>
    <w:rsid w:val="4833618A"/>
    <w:rsid w:val="4868FC8C"/>
    <w:rsid w:val="4AB10924"/>
    <w:rsid w:val="4ACD723C"/>
    <w:rsid w:val="4CD427F2"/>
    <w:rsid w:val="4CDFBB48"/>
    <w:rsid w:val="4FD7AA3B"/>
    <w:rsid w:val="50200EF5"/>
    <w:rsid w:val="5036EB52"/>
    <w:rsid w:val="5082DC3B"/>
    <w:rsid w:val="50C89943"/>
    <w:rsid w:val="50F7177F"/>
    <w:rsid w:val="51C46496"/>
    <w:rsid w:val="54FE6CB7"/>
    <w:rsid w:val="555C8363"/>
    <w:rsid w:val="56A26BCF"/>
    <w:rsid w:val="56EBA51D"/>
    <w:rsid w:val="574B634E"/>
    <w:rsid w:val="5852A537"/>
    <w:rsid w:val="5B3E4F7D"/>
    <w:rsid w:val="5B4072CC"/>
    <w:rsid w:val="5C735887"/>
    <w:rsid w:val="5D835A94"/>
    <w:rsid w:val="5DB273FF"/>
    <w:rsid w:val="5F288D9B"/>
    <w:rsid w:val="5FD6AB12"/>
    <w:rsid w:val="60159C34"/>
    <w:rsid w:val="60691670"/>
    <w:rsid w:val="6132082F"/>
    <w:rsid w:val="614A8E01"/>
    <w:rsid w:val="634CA165"/>
    <w:rsid w:val="636E8297"/>
    <w:rsid w:val="655C7E1D"/>
    <w:rsid w:val="6618F2AE"/>
    <w:rsid w:val="66D95A17"/>
    <w:rsid w:val="68CAA510"/>
    <w:rsid w:val="6ABEE958"/>
    <w:rsid w:val="6BF02B00"/>
    <w:rsid w:val="6BFAFEB1"/>
    <w:rsid w:val="6D67133E"/>
    <w:rsid w:val="6DD029B3"/>
    <w:rsid w:val="6E525E32"/>
    <w:rsid w:val="6EE99B3F"/>
    <w:rsid w:val="711AE432"/>
    <w:rsid w:val="7234330A"/>
    <w:rsid w:val="72560541"/>
    <w:rsid w:val="72699F4E"/>
    <w:rsid w:val="72B330E6"/>
    <w:rsid w:val="731D05CF"/>
    <w:rsid w:val="7501FF67"/>
    <w:rsid w:val="7598B4F5"/>
    <w:rsid w:val="76E4F4F5"/>
    <w:rsid w:val="780A3789"/>
    <w:rsid w:val="789A720B"/>
    <w:rsid w:val="79BDB475"/>
    <w:rsid w:val="7C90C1B5"/>
    <w:rsid w:val="7CC47B5A"/>
    <w:rsid w:val="7CF2379E"/>
    <w:rsid w:val="7DB89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2A535"/>
  <w15:chartTrackingRefBased/>
  <w15:docId w15:val="{316EA13B-CCC5-4906-B46C-DD27C15FEA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D61F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61F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61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61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61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61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61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61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61F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D61F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D61F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D61F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D61F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D61F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D61F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D61F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D61F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D61FF"/>
    <w:rPr>
      <w:rFonts w:eastAsiaTheme="majorEastAsia" w:cstheme="majorBidi"/>
      <w:color w:val="272727" w:themeColor="text1" w:themeTint="D8"/>
    </w:rPr>
  </w:style>
  <w:style w:type="paragraph" w:styleId="Title">
    <w:name w:val="Title"/>
    <w:basedOn w:val="Normal"/>
    <w:next w:val="Normal"/>
    <w:link w:val="TitleChar"/>
    <w:uiPriority w:val="10"/>
    <w:qFormat/>
    <w:rsid w:val="00BD61F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D61F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D61F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D61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61FF"/>
    <w:pPr>
      <w:spacing w:before="160"/>
      <w:jc w:val="center"/>
    </w:pPr>
    <w:rPr>
      <w:i/>
      <w:iCs/>
      <w:color w:val="404040" w:themeColor="text1" w:themeTint="BF"/>
    </w:rPr>
  </w:style>
  <w:style w:type="character" w:styleId="QuoteChar" w:customStyle="1">
    <w:name w:val="Quote Char"/>
    <w:basedOn w:val="DefaultParagraphFont"/>
    <w:link w:val="Quote"/>
    <w:uiPriority w:val="29"/>
    <w:rsid w:val="00BD61FF"/>
    <w:rPr>
      <w:i/>
      <w:iCs/>
      <w:color w:val="404040" w:themeColor="text1" w:themeTint="BF"/>
    </w:rPr>
  </w:style>
  <w:style w:type="paragraph" w:styleId="ListParagraph">
    <w:name w:val="List Paragraph"/>
    <w:basedOn w:val="Normal"/>
    <w:uiPriority w:val="34"/>
    <w:qFormat/>
    <w:rsid w:val="00BD61FF"/>
    <w:pPr>
      <w:ind w:left="720"/>
      <w:contextualSpacing/>
    </w:pPr>
  </w:style>
  <w:style w:type="character" w:styleId="IntenseEmphasis">
    <w:name w:val="Intense Emphasis"/>
    <w:basedOn w:val="DefaultParagraphFont"/>
    <w:uiPriority w:val="21"/>
    <w:qFormat/>
    <w:rsid w:val="00BD61FF"/>
    <w:rPr>
      <w:i/>
      <w:iCs/>
      <w:color w:val="0F4761" w:themeColor="accent1" w:themeShade="BF"/>
    </w:rPr>
  </w:style>
  <w:style w:type="paragraph" w:styleId="IntenseQuote">
    <w:name w:val="Intense Quote"/>
    <w:basedOn w:val="Normal"/>
    <w:next w:val="Normal"/>
    <w:link w:val="IntenseQuoteChar"/>
    <w:uiPriority w:val="30"/>
    <w:qFormat/>
    <w:rsid w:val="00BD61F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D61FF"/>
    <w:rPr>
      <w:i/>
      <w:iCs/>
      <w:color w:val="0F4761" w:themeColor="accent1" w:themeShade="BF"/>
    </w:rPr>
  </w:style>
  <w:style w:type="character" w:styleId="IntenseReference">
    <w:name w:val="Intense Reference"/>
    <w:basedOn w:val="DefaultParagraphFont"/>
    <w:uiPriority w:val="32"/>
    <w:qFormat/>
    <w:rsid w:val="00BD61FF"/>
    <w:rPr>
      <w:b/>
      <w:bCs/>
      <w:smallCaps/>
      <w:color w:val="0F4761" w:themeColor="accent1" w:themeShade="BF"/>
      <w:spacing w:val="5"/>
    </w:rPr>
  </w:style>
  <w:style w:type="character" w:styleId="Hyperlink">
    <w:name w:val="Hyperlink"/>
    <w:basedOn w:val="DefaultParagraphFont"/>
    <w:uiPriority w:val="99"/>
    <w:unhideWhenUsed/>
    <w:rsid w:val="00BD61FF"/>
    <w:rPr>
      <w:color w:val="467886" w:themeColor="hyperlink"/>
      <w:u w:val="single"/>
    </w:rPr>
  </w:style>
  <w:style w:type="character" w:styleId="UnresolvedMention">
    <w:name w:val="Unresolved Mention"/>
    <w:basedOn w:val="DefaultParagraphFont"/>
    <w:uiPriority w:val="99"/>
    <w:semiHidden/>
    <w:unhideWhenUsed/>
    <w:rsid w:val="00BD61FF"/>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jpeg" Id="rId6" /><Relationship Type="http://schemas.openxmlformats.org/officeDocument/2006/relationships/hyperlink" Target="https://www.cdc.gov" TargetMode="External" Id="rId11" /><Relationship Type="http://schemas.openxmlformats.org/officeDocument/2006/relationships/image" Target="media/image1.png" Id="rId5" /><Relationship Type="http://schemas.microsoft.com/office/2020/10/relationships/intelligence" Target="intelligence2.xml" Id="rId15" /><Relationship Type="http://schemas.openxmlformats.org/officeDocument/2006/relationships/image" Target="media/image6.png" Id="rId10" /><Relationship Type="http://schemas.openxmlformats.org/officeDocument/2006/relationships/webSettings" Target="webSettings.xml" Id="rId4" /><Relationship Type="http://schemas.openxmlformats.org/officeDocument/2006/relationships/image" Target="media/image5.jpg" Id="rId9" /><Relationship Type="http://schemas.openxmlformats.org/officeDocument/2006/relationships/theme" Target="theme/theme1.xml" Id="rId14" /><Relationship Type="http://schemas.openxmlformats.org/officeDocument/2006/relationships/hyperlink" Target="https://www.health.harvard.edu/mind-and-mood/what-is-autism-spectrum-disorder" TargetMode="External" Id="Rb97cceecfb3d4d0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Kareemot Tijani Tijani (2320438)</dc:creator>
  <keywords/>
  <dc:description/>
  <lastModifiedBy>Kareemot Tijani Tijani (2320438)</lastModifiedBy>
  <revision>131</revision>
  <dcterms:created xsi:type="dcterms:W3CDTF">2026-01-22T11:41:00.0000000Z</dcterms:created>
  <dcterms:modified xsi:type="dcterms:W3CDTF">2026-03-28T12:42:29.0507956Z</dcterms:modified>
</coreProperties>
</file>