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4F050" w14:textId="25E0A72C" w:rsidR="00A018CE" w:rsidRDefault="00A018CE" w:rsidP="00A018CE">
      <w:pPr>
        <w:pStyle w:val="NoSpacing"/>
        <w:jc w:val="both"/>
      </w:pPr>
    </w:p>
    <w:p w14:paraId="68613B13" w14:textId="7BB46FD0" w:rsidR="00C84F6A" w:rsidRDefault="00A018CE" w:rsidP="00A018CE">
      <w:pPr>
        <w:pStyle w:val="NoSpacing"/>
        <w:jc w:val="both"/>
      </w:pPr>
      <w:r>
        <w:t xml:space="preserve">We live in an era where </w:t>
      </w:r>
      <w:r w:rsidR="00757F56">
        <w:t xml:space="preserve">we can access vast and infinite amounts of information and data on demand at a rate that is unprecedented in human history, due to the rapid technological advancements of modern society. These new technologies such as computers, Wi-Fi, and telecommunications have changed the way in which society operates and has had an impact on every industry and profession across the world. With this impact on how </w:t>
      </w:r>
      <w:r w:rsidR="00C84F6A">
        <w:t xml:space="preserve">information is stored and the versatility and speed at which it can be accessed has made research much more interactive and efficient than ever. When it comes to legal research, up until the 1990s, the internet was introduced, and this became the technical program which enabled the access to computerised legal information and data. The internet has become so prevalent and widely used because prior to its introduction there was </w:t>
      </w:r>
      <w:r w:rsidR="00171ED0">
        <w:t xml:space="preserve">nowhere in the world where you could access such high volumes of data – with professionals and academics having to rely up on traditional methods of research such as physically accessing textbooks and journals in a library or having to use practitioners’ textbooks or legislation in the office to advise a client. </w:t>
      </w:r>
    </w:p>
    <w:p w14:paraId="43ABEDC3" w14:textId="77777777" w:rsidR="00171ED0" w:rsidRDefault="00171ED0" w:rsidP="00A018CE">
      <w:pPr>
        <w:pStyle w:val="NoSpacing"/>
        <w:jc w:val="both"/>
      </w:pPr>
    </w:p>
    <w:p w14:paraId="45B0A1B5" w14:textId="3074A1D8" w:rsidR="00171ED0" w:rsidRDefault="00171ED0" w:rsidP="00A018CE">
      <w:pPr>
        <w:pStyle w:val="NoSpacing"/>
        <w:jc w:val="both"/>
      </w:pPr>
      <w:r>
        <w:t>Although before the internet was introduced there were electronic resources available in the form of CDs or databases accessed via floppy disks, many of which were not free you had to pay for them and they often required training to use, and these are just a few reasons why the internet revolutionised the way in which legal issues are researched and in turn the way legal matters are dealt with</w:t>
      </w:r>
      <w:r w:rsidR="00A333C6">
        <w:t xml:space="preserve">, Singh et al (2012). </w:t>
      </w:r>
    </w:p>
    <w:p w14:paraId="735CEADD" w14:textId="77777777" w:rsidR="00A333C6" w:rsidRDefault="00A333C6" w:rsidP="00A018CE">
      <w:pPr>
        <w:pStyle w:val="NoSpacing"/>
        <w:jc w:val="both"/>
      </w:pPr>
    </w:p>
    <w:p w14:paraId="14F359C8" w14:textId="1EF67909" w:rsidR="00A333C6" w:rsidRDefault="00A333C6" w:rsidP="00A018CE">
      <w:pPr>
        <w:pStyle w:val="NoSpacing"/>
        <w:jc w:val="both"/>
      </w:pPr>
      <w:r>
        <w:t>Research</w:t>
      </w:r>
      <w:r w:rsidR="00E70138">
        <w:t>, however, is more than just the storage of data and information. The term can have different meanings dependent upon the circumstances or even the industry in which that research is conducted, for instance should you be working in statistics, economics, or historian then research with regards to the collection of information would be sufficient but what differentiates industries such as medicine</w:t>
      </w:r>
      <w:r w:rsidR="0067219C">
        <w:t xml:space="preserve"> or</w:t>
      </w:r>
      <w:r w:rsidR="00E70138">
        <w:t xml:space="preserve"> </w:t>
      </w:r>
      <w:r w:rsidR="0067219C">
        <w:t>law and</w:t>
      </w:r>
      <w:r w:rsidR="00E70138">
        <w:t xml:space="preserve"> similar professions would be the methodology which is applied when approaching such research. </w:t>
      </w:r>
      <w:r w:rsidR="0067219C">
        <w:t xml:space="preserve">Because legal research deals with the nature of law relevant to a particular discipline and ascertaining facts from reviewing case law and judicial precedence to </w:t>
      </w:r>
      <w:r w:rsidR="009B275F">
        <w:t xml:space="preserve">familiarising yourself with legislation means that legal research must be defined to account for its unique and special interest in law. </w:t>
      </w:r>
    </w:p>
    <w:p w14:paraId="14921ACB" w14:textId="77777777" w:rsidR="009B275F" w:rsidRDefault="009B275F" w:rsidP="00A018CE">
      <w:pPr>
        <w:pStyle w:val="NoSpacing"/>
        <w:jc w:val="both"/>
      </w:pPr>
    </w:p>
    <w:p w14:paraId="6925BC8F" w14:textId="67790309" w:rsidR="00BB7BD7" w:rsidRDefault="009B275F" w:rsidP="00A018CE">
      <w:pPr>
        <w:pStyle w:val="NoSpacing"/>
        <w:jc w:val="both"/>
      </w:pPr>
      <w:r>
        <w:t>Unlike most professions which have</w:t>
      </w:r>
      <w:r w:rsidR="00BB7BD7">
        <w:t xml:space="preserve"> universal specifications, the legal profession differs due the authority and the laws of the legal system which deals with the matters being heard. There are numerous reasons why legal research needs to be conducted, but is usually carried out in order to ascertain what the rules for an individual and specific set of facts are, what particular law needs to be applied to </w:t>
      </w:r>
      <w:r w:rsidR="0069242D">
        <w:t xml:space="preserve">a specific case, why those set of laws and rules came into force and when, how those rules affect the distribution of justice and the hierarchy of the court systems, and also how those laws, rules and systems can be improved and whether or not the law would benefit from reformed into new legislative acts, </w:t>
      </w:r>
      <w:proofErr w:type="spellStart"/>
      <w:r w:rsidR="0069242D">
        <w:t>Ihugba</w:t>
      </w:r>
      <w:proofErr w:type="spellEnd"/>
      <w:r w:rsidR="0069242D">
        <w:t xml:space="preserve"> (2020). </w:t>
      </w:r>
    </w:p>
    <w:p w14:paraId="352E21A7" w14:textId="253FCA8C" w:rsidR="0069242D" w:rsidRDefault="0069242D" w:rsidP="00A018CE">
      <w:pPr>
        <w:pStyle w:val="NoSpacing"/>
        <w:jc w:val="both"/>
      </w:pPr>
    </w:p>
    <w:p w14:paraId="2F023516" w14:textId="5F0D5890" w:rsidR="00084F27" w:rsidRDefault="00235C1D" w:rsidP="00A018CE">
      <w:pPr>
        <w:pStyle w:val="NoSpacing"/>
        <w:jc w:val="both"/>
      </w:pPr>
      <w:r>
        <w:lastRenderedPageBreak/>
        <w:t xml:space="preserve">There are different types and approaches of legal research with the most popular and widely used being doctrinal research, which usually cater to the more well-established indisputable areas of law as opposed to the non-traditional subjects or promotion of interdisciplinary research methodology. </w:t>
      </w:r>
      <w:r w:rsidR="00902580">
        <w:t>The aim of doctrinal research is to equip students with the basic research skills necessary for practice by enabling students to develop their knowledge and understanding of the sources of law such as legislation, locating statutory instruments, case law and citations and how to use internet legal databases such as LexisNexis or Westlaw</w:t>
      </w:r>
      <w:r w:rsidR="00084F27">
        <w:t>, in short the ‘black letter law’ doctrinal research style is dependent upon using legislation, statute and case law precedence to explain the theoretical and procedural aspects of law. Doctrinal research intends to clarify any given topic of law by way of analytical and authoritative texts consisting of primary and secondary sources</w:t>
      </w:r>
      <w:r w:rsidR="00324EF9">
        <w:t xml:space="preserve">, with the assumption that </w:t>
      </w:r>
      <w:r w:rsidR="00324EF9">
        <w:rPr>
          <w:i/>
          <w:iCs/>
        </w:rPr>
        <w:t>“legal scholarship is derived from the law itself”.</w:t>
      </w:r>
      <w:r w:rsidR="00324EF9">
        <w:t xml:space="preserve"> </w:t>
      </w:r>
    </w:p>
    <w:p w14:paraId="3A3A6B39" w14:textId="77777777" w:rsidR="00324EF9" w:rsidRDefault="00324EF9" w:rsidP="00A018CE">
      <w:pPr>
        <w:pStyle w:val="NoSpacing"/>
        <w:jc w:val="both"/>
      </w:pPr>
    </w:p>
    <w:p w14:paraId="4D5ED6EE" w14:textId="69777BE0" w:rsidR="00E86034" w:rsidRDefault="00324EF9" w:rsidP="00A018CE">
      <w:pPr>
        <w:pStyle w:val="NoSpacing"/>
        <w:jc w:val="both"/>
      </w:pPr>
      <w:r>
        <w:t xml:space="preserve">There are a range of skills that legal research aims to develop and ensure students are proficient in for practice and they include determining the intentions of </w:t>
      </w:r>
      <w:r w:rsidR="00E86034">
        <w:t>your client and other legal practitioners, to analyse and identify factual evidence and decide when further facts need to be obtained, to apply the relevant statutory provisions to the facts of the case or matter, and to reference your sources for which you have based your opinions or arguments. These are just a few of the skills which legal scholars and professionals alike will need as the foundations for a successful legal career and is the general consensus among the academic community that it is necessary for legal students and lawyers to be able to conduct both library and electronic research</w:t>
      </w:r>
      <w:r w:rsidR="00FE6B2B">
        <w:t xml:space="preserve">, </w:t>
      </w:r>
      <w:proofErr w:type="spellStart"/>
      <w:r w:rsidR="00FE6B2B">
        <w:t>Simion</w:t>
      </w:r>
      <w:proofErr w:type="spellEnd"/>
      <w:r w:rsidR="00FE6B2B">
        <w:t>, (2016)</w:t>
      </w:r>
      <w:r w:rsidR="00E86034">
        <w:t xml:space="preserve">. </w:t>
      </w:r>
    </w:p>
    <w:p w14:paraId="1DC9E9E1" w14:textId="77777777" w:rsidR="00E86034" w:rsidRDefault="00E86034" w:rsidP="00A018CE">
      <w:pPr>
        <w:pStyle w:val="NoSpacing"/>
        <w:jc w:val="both"/>
      </w:pPr>
    </w:p>
    <w:p w14:paraId="7E409462" w14:textId="6AEFEB1E" w:rsidR="00E86034" w:rsidRDefault="00E86034" w:rsidP="00A018CE">
      <w:pPr>
        <w:pStyle w:val="NoSpacing"/>
        <w:jc w:val="both"/>
      </w:pPr>
      <w:r>
        <w:t xml:space="preserve"> Although the doctrinal approach provides the foundations of legal knowledge and research how does it compare to the empirical legal scholarship </w:t>
      </w:r>
      <w:r w:rsidR="00702B56">
        <w:t xml:space="preserve">and socio-legal approach to research? Within the last few years there has been some speculation and criticisms of the purely doctrinal approach, particularly for its </w:t>
      </w:r>
      <w:r w:rsidR="00702B56">
        <w:rPr>
          <w:i/>
          <w:iCs/>
        </w:rPr>
        <w:t>“intellectually rigid, inflexible and inward looking”</w:t>
      </w:r>
      <w:r w:rsidR="00702B56">
        <w:t xml:space="preserve"> attitude of understanding the law and processes of the legal system. Law schools in both the United Kingdom and United States have been offering new postgraduate programs </w:t>
      </w:r>
      <w:r w:rsidR="00905097">
        <w:t xml:space="preserve">in subject areas such </w:t>
      </w:r>
      <w:r w:rsidR="00702B56">
        <w:t>as</w:t>
      </w:r>
      <w:r w:rsidR="00905097">
        <w:t>,</w:t>
      </w:r>
      <w:r w:rsidR="00702B56">
        <w:t xml:space="preserve"> </w:t>
      </w:r>
      <w:r w:rsidR="00905097">
        <w:t xml:space="preserve">critical legal studies, socio-leal studies and international law that encourage the interdisciplinary research methodology to potentially enhance their standard undergraduate law degree. </w:t>
      </w:r>
    </w:p>
    <w:p w14:paraId="34F47E8C" w14:textId="77777777" w:rsidR="00905097" w:rsidRDefault="00905097" w:rsidP="00A018CE">
      <w:pPr>
        <w:pStyle w:val="NoSpacing"/>
        <w:jc w:val="both"/>
      </w:pPr>
    </w:p>
    <w:p w14:paraId="73BCDA14" w14:textId="1827C2E9" w:rsidR="00CF6832" w:rsidRDefault="00905097" w:rsidP="00A018CE">
      <w:pPr>
        <w:pStyle w:val="NoSpacing"/>
        <w:jc w:val="both"/>
      </w:pPr>
      <w:r>
        <w:t xml:space="preserve">This approach represents a relatively new era of legal studies and incorporates the wider sociological, economic, cultural and political aspects of the law and its application, with the approach adopting several methods </w:t>
      </w:r>
      <w:r w:rsidR="00CF6832">
        <w:t xml:space="preserve">from disciplines such as humanities and social sciences. Students who are enrolled on courses which promote such methods of study have opinions on the limitations of traditional research as being too narrow in its scope due to the understanding law mainly due to its reliance on case law, McConville </w:t>
      </w:r>
      <w:r w:rsidR="00C40041">
        <w:t>et al</w:t>
      </w:r>
      <w:r w:rsidR="00CF6832">
        <w:t xml:space="preserve">, (2017). </w:t>
      </w:r>
    </w:p>
    <w:p w14:paraId="2D5C33A5" w14:textId="77777777" w:rsidR="00CF6832" w:rsidRDefault="00CF6832" w:rsidP="00A018CE">
      <w:pPr>
        <w:pStyle w:val="NoSpacing"/>
        <w:jc w:val="both"/>
      </w:pPr>
    </w:p>
    <w:p w14:paraId="5BAEB8B5" w14:textId="0F31D648" w:rsidR="00C53262" w:rsidRDefault="0098686D" w:rsidP="00A018CE">
      <w:pPr>
        <w:pStyle w:val="NoSpacing"/>
        <w:jc w:val="both"/>
      </w:pPr>
      <w:r>
        <w:lastRenderedPageBreak/>
        <w:t xml:space="preserve">The majority of law students and newly qualified lawyers have grown up with all kinds of technology both inside and outside of the classroom – a generation often referred to as ‘digital natives’ – but even with this moniker this still does not guarantee that they will have the skills necessary to be able to effectively, efficiently and also ethically use technologies or know how to actually search for information using credible sources. Legal research platforms and databases have been adapted </w:t>
      </w:r>
      <w:r w:rsidR="00C53262">
        <w:t xml:space="preserve">continuously over time to try and provide a more user friendly experience, with some now even mimicking the look of a usual internet search engine, such as google, giving students and beginner researchers false confidence and it is evident that those students who learned their research skills in the digital era which has been dominated by google often find it harder to make the transition to the legal research method and often their research lacks the critical analysis needed. </w:t>
      </w:r>
    </w:p>
    <w:p w14:paraId="50B11AAA" w14:textId="77777777" w:rsidR="00C53262" w:rsidRDefault="00C53262" w:rsidP="00A018CE">
      <w:pPr>
        <w:pStyle w:val="NoSpacing"/>
        <w:jc w:val="both"/>
      </w:pPr>
    </w:p>
    <w:p w14:paraId="31074EAF" w14:textId="1C8632C2" w:rsidR="004D492C" w:rsidRDefault="00C53262" w:rsidP="00A018CE">
      <w:pPr>
        <w:pStyle w:val="NoSpacing"/>
        <w:jc w:val="both"/>
      </w:pPr>
      <w:r>
        <w:t xml:space="preserve">Google and </w:t>
      </w:r>
      <w:r w:rsidR="004D492C">
        <w:t xml:space="preserve">the search engines that use algorithms to provide us with the most relevant results from billions of web pages in less than a second have transformed the research process and inadvertently turned the user from an active participant in their research to a passive one by making them over reliant on a system that relies on their perception that they have the ability to organise the infinite amount of data on the internet into neat, organised aesthetically pleasing lists, and research also shows that when websites make themselves more visually appealing and user friendly that the end user has more trust in the system and the results they are getting and that the highest results are based upon </w:t>
      </w:r>
      <w:r w:rsidR="00FE6B2B">
        <w:t>relevancy, but that is not always the case.</w:t>
      </w:r>
    </w:p>
    <w:p w14:paraId="75E2B2C8" w14:textId="77777777" w:rsidR="00FE6B2B" w:rsidRDefault="00FE6B2B" w:rsidP="00A018CE">
      <w:pPr>
        <w:pStyle w:val="NoSpacing"/>
        <w:jc w:val="both"/>
      </w:pPr>
    </w:p>
    <w:p w14:paraId="11053182" w14:textId="4EDEEED8" w:rsidR="00FE6B2B" w:rsidRDefault="00FE6B2B" w:rsidP="00A018CE">
      <w:pPr>
        <w:pStyle w:val="NoSpacing"/>
        <w:jc w:val="both"/>
      </w:pPr>
      <w:r>
        <w:t>The truth is that nobody has any idea on what information the algorithm uses to base their results in the order they present them, and that the results given for one search could change the next day or within a few hours and we have no idea if any sources have been added or removed from the information or why and when the algorithm changed the data presentation, Chapman, (2024).</w:t>
      </w:r>
    </w:p>
    <w:p w14:paraId="46CB5067" w14:textId="77777777" w:rsidR="00AF0B9E" w:rsidRDefault="00AF0B9E" w:rsidP="00A018CE">
      <w:pPr>
        <w:pStyle w:val="NoSpacing"/>
        <w:jc w:val="both"/>
      </w:pPr>
    </w:p>
    <w:p w14:paraId="0B3AC160" w14:textId="77777777" w:rsidR="00073449" w:rsidRDefault="00AF0B9E" w:rsidP="00A018CE">
      <w:pPr>
        <w:pStyle w:val="NoSpacing"/>
        <w:jc w:val="both"/>
      </w:pPr>
      <w:r>
        <w:t>There are many challenges posed by online libraries, databases and search engines</w:t>
      </w:r>
      <w:r w:rsidR="00C81BBC">
        <w:t xml:space="preserve"> and the long-term effects or consequences of the rapid technological expansion are not yet known. There is so much information out there to access at the touch of a button but the majority has no context or explanation so that the reader is only able to regurgitate the information and not understand it, and this not only raises issues in an educational context, but also shows how important it is that was always question the authenticity, reliability, and accuracy of the information we are being taught to research. When it comes to the field of law as a whole it is imperative that we understand that having the skills to conduct effective online research is not only a matter of digital competence but also potential legal consequence. There has also been a recent development in the US that they American Bar Association have discussed </w:t>
      </w:r>
      <w:r w:rsidR="00073449">
        <w:t xml:space="preserve">the potential addition of a legal research section to the Bar Exam, which could end up having an effect on legal education and scholars all around the globe and also demonstrates how much weight is given to legal research and how necessary it is for legal professionals to have their skillset at the </w:t>
      </w:r>
      <w:r w:rsidR="00073449">
        <w:lastRenderedPageBreak/>
        <w:t>appropriate standard, and it is also testament to the fact that sound legal research education has a direct correlation with the competent practice of law, Germain, (2007).</w:t>
      </w:r>
    </w:p>
    <w:p w14:paraId="27C5CD09" w14:textId="77777777" w:rsidR="00073449" w:rsidRDefault="00073449" w:rsidP="00A018CE">
      <w:pPr>
        <w:pStyle w:val="NoSpacing"/>
        <w:jc w:val="both"/>
      </w:pPr>
    </w:p>
    <w:p w14:paraId="12B599B0" w14:textId="6ABF0EBF" w:rsidR="00FE6B2B" w:rsidRDefault="00073449" w:rsidP="00A018CE">
      <w:pPr>
        <w:pStyle w:val="NoSpacing"/>
        <w:jc w:val="both"/>
      </w:pPr>
      <w:r>
        <w:t>Legal practitioners</w:t>
      </w:r>
      <w:r w:rsidR="00B066BF">
        <w:t xml:space="preserve"> have also highlighted the challenges to non-electronic methods of research with Giles, (2018) saying that he finds legal textbooks useless to him as a lawyer, citing that he wanted to specialise in data protection law and despite the high cost of the textbooks he purchased were of little value. They also need to be updated continuously and in some cases are out of date before they are even printed due to the review process of publication and ensuring the accuracy of the information. The information in them is often just a summary of the source law or the author or editors of the legal textbooks are just paraphrasing the source law. Digital sources and </w:t>
      </w:r>
      <w:proofErr w:type="spellStart"/>
      <w:r w:rsidR="00B066BF">
        <w:t>ebook</w:t>
      </w:r>
      <w:proofErr w:type="spellEnd"/>
      <w:r w:rsidR="00B066BF">
        <w:t xml:space="preserve"> versions can contain hyperlinks so that you are able to explore and expand upon your research more efficiently. Also, legal textbooks very rarely have practical examples of how to apply the law in a </w:t>
      </w:r>
      <w:r w:rsidR="00812614">
        <w:t xml:space="preserve">real-world practice situations and they do not help you solve problems in practice. </w:t>
      </w:r>
    </w:p>
    <w:p w14:paraId="47421D6D" w14:textId="77777777" w:rsidR="00812614" w:rsidRDefault="00812614" w:rsidP="00A018CE">
      <w:pPr>
        <w:pStyle w:val="NoSpacing"/>
        <w:jc w:val="both"/>
      </w:pPr>
    </w:p>
    <w:p w14:paraId="30EC1C60" w14:textId="2D38E008" w:rsidR="00812614" w:rsidRDefault="00812614" w:rsidP="00A018CE">
      <w:pPr>
        <w:pStyle w:val="NoSpacing"/>
        <w:jc w:val="both"/>
      </w:pPr>
      <w:r>
        <w:t xml:space="preserve">It is evident that both methods of research have their share of positives and negatives, such as non-electronic sources being inefficient and outdated to the internet having such an abundance of information that you must ensure that it is accurate and from a reliable source, but in the long-term it is also evident that electronic methods of research have the edge and will continue to provide the more effective option for scholars and practitioners to conduct their research, so it is just as important that we must ensure the quality of the research material that is available to us, especially when the consequences of giving the wrong information could be detrimental or even negligent. </w:t>
      </w:r>
    </w:p>
    <w:p w14:paraId="21A6C8FF" w14:textId="77777777" w:rsidR="00812614" w:rsidRDefault="00812614" w:rsidP="00A018CE">
      <w:pPr>
        <w:pStyle w:val="NoSpacing"/>
        <w:jc w:val="both"/>
      </w:pPr>
    </w:p>
    <w:p w14:paraId="5206A746" w14:textId="77777777" w:rsidR="00812614" w:rsidRDefault="00812614" w:rsidP="00A018CE">
      <w:pPr>
        <w:pStyle w:val="NoSpacing"/>
        <w:jc w:val="both"/>
      </w:pPr>
    </w:p>
    <w:p w14:paraId="546A1271" w14:textId="77777777" w:rsidR="00812614" w:rsidRDefault="00812614" w:rsidP="00A018CE">
      <w:pPr>
        <w:pStyle w:val="NoSpacing"/>
        <w:jc w:val="both"/>
      </w:pPr>
    </w:p>
    <w:p w14:paraId="67DDA87F" w14:textId="77777777" w:rsidR="00812614" w:rsidRDefault="00812614" w:rsidP="00A018CE">
      <w:pPr>
        <w:pStyle w:val="NoSpacing"/>
        <w:jc w:val="both"/>
      </w:pPr>
    </w:p>
    <w:p w14:paraId="3B9FA918" w14:textId="77777777" w:rsidR="00812614" w:rsidRDefault="00812614" w:rsidP="00A018CE">
      <w:pPr>
        <w:pStyle w:val="NoSpacing"/>
        <w:jc w:val="both"/>
      </w:pPr>
    </w:p>
    <w:p w14:paraId="2A16C461" w14:textId="77777777" w:rsidR="00812614" w:rsidRDefault="00812614" w:rsidP="00A018CE">
      <w:pPr>
        <w:pStyle w:val="NoSpacing"/>
        <w:jc w:val="both"/>
      </w:pPr>
    </w:p>
    <w:p w14:paraId="187FCC03" w14:textId="77777777" w:rsidR="00812614" w:rsidRDefault="00812614" w:rsidP="00A018CE">
      <w:pPr>
        <w:pStyle w:val="NoSpacing"/>
        <w:jc w:val="both"/>
      </w:pPr>
    </w:p>
    <w:p w14:paraId="301E1CB5" w14:textId="77777777" w:rsidR="00812614" w:rsidRDefault="00812614" w:rsidP="00A018CE">
      <w:pPr>
        <w:pStyle w:val="NoSpacing"/>
        <w:jc w:val="both"/>
      </w:pPr>
    </w:p>
    <w:p w14:paraId="4A79B1B9" w14:textId="77777777" w:rsidR="00812614" w:rsidRDefault="00812614" w:rsidP="00A018CE">
      <w:pPr>
        <w:pStyle w:val="NoSpacing"/>
        <w:jc w:val="both"/>
      </w:pPr>
    </w:p>
    <w:p w14:paraId="5F44391E" w14:textId="77777777" w:rsidR="00812614" w:rsidRDefault="00812614" w:rsidP="00A018CE">
      <w:pPr>
        <w:pStyle w:val="NoSpacing"/>
        <w:jc w:val="both"/>
      </w:pPr>
    </w:p>
    <w:p w14:paraId="34A1E38A" w14:textId="77777777" w:rsidR="00812614" w:rsidRDefault="00812614" w:rsidP="00A018CE">
      <w:pPr>
        <w:pStyle w:val="NoSpacing"/>
        <w:jc w:val="both"/>
      </w:pPr>
    </w:p>
    <w:p w14:paraId="25F11E90" w14:textId="77777777" w:rsidR="00812614" w:rsidRDefault="00812614" w:rsidP="00A018CE">
      <w:pPr>
        <w:pStyle w:val="NoSpacing"/>
        <w:jc w:val="both"/>
      </w:pPr>
    </w:p>
    <w:p w14:paraId="3CD8ED78" w14:textId="77777777" w:rsidR="00812614" w:rsidRDefault="00812614" w:rsidP="00A018CE">
      <w:pPr>
        <w:pStyle w:val="NoSpacing"/>
        <w:jc w:val="both"/>
      </w:pPr>
    </w:p>
    <w:p w14:paraId="484E349A" w14:textId="77777777" w:rsidR="00812614" w:rsidRDefault="00812614" w:rsidP="00A018CE">
      <w:pPr>
        <w:pStyle w:val="NoSpacing"/>
        <w:jc w:val="both"/>
      </w:pPr>
    </w:p>
    <w:p w14:paraId="1905EB25" w14:textId="77777777" w:rsidR="00812614" w:rsidRDefault="00812614" w:rsidP="00A018CE">
      <w:pPr>
        <w:pStyle w:val="NoSpacing"/>
        <w:jc w:val="both"/>
      </w:pPr>
    </w:p>
    <w:p w14:paraId="001A872F" w14:textId="77777777" w:rsidR="00812614" w:rsidRDefault="00812614" w:rsidP="00A018CE">
      <w:pPr>
        <w:pStyle w:val="NoSpacing"/>
        <w:jc w:val="both"/>
      </w:pPr>
    </w:p>
    <w:p w14:paraId="42CD3A39" w14:textId="77777777" w:rsidR="00812614" w:rsidRDefault="00812614" w:rsidP="00A018CE">
      <w:pPr>
        <w:pStyle w:val="NoSpacing"/>
        <w:jc w:val="both"/>
      </w:pPr>
    </w:p>
    <w:p w14:paraId="5D67DEEC" w14:textId="77777777" w:rsidR="00812614" w:rsidRDefault="00812614" w:rsidP="00A018CE">
      <w:pPr>
        <w:pStyle w:val="NoSpacing"/>
        <w:jc w:val="both"/>
      </w:pPr>
    </w:p>
    <w:p w14:paraId="4F7A1194" w14:textId="77777777" w:rsidR="00812614" w:rsidRDefault="00812614" w:rsidP="00A018CE">
      <w:pPr>
        <w:pStyle w:val="NoSpacing"/>
        <w:jc w:val="both"/>
      </w:pPr>
    </w:p>
    <w:p w14:paraId="5C9CC361" w14:textId="77777777" w:rsidR="00812614" w:rsidRDefault="00812614" w:rsidP="00A018CE">
      <w:pPr>
        <w:pStyle w:val="NoSpacing"/>
        <w:jc w:val="both"/>
      </w:pPr>
    </w:p>
    <w:p w14:paraId="75565C36" w14:textId="77777777" w:rsidR="00812614" w:rsidRDefault="00812614" w:rsidP="00A018CE">
      <w:pPr>
        <w:pStyle w:val="NoSpacing"/>
        <w:jc w:val="both"/>
      </w:pPr>
    </w:p>
    <w:p w14:paraId="59DC6A8B" w14:textId="77777777" w:rsidR="00812614" w:rsidRDefault="00812614" w:rsidP="00A018CE">
      <w:pPr>
        <w:pStyle w:val="NoSpacing"/>
        <w:jc w:val="both"/>
      </w:pPr>
    </w:p>
    <w:p w14:paraId="67F118DA" w14:textId="5190C4BF" w:rsidR="00C40041" w:rsidRDefault="00C40041" w:rsidP="00C40041">
      <w:pPr>
        <w:pStyle w:val="NoSpacing"/>
        <w:jc w:val="center"/>
      </w:pPr>
      <w:r>
        <w:rPr>
          <w:b/>
          <w:bCs/>
          <w:u w:val="single"/>
        </w:rPr>
        <w:t>Reference List</w:t>
      </w:r>
    </w:p>
    <w:p w14:paraId="4A5D4604" w14:textId="77777777" w:rsidR="00C40041" w:rsidRDefault="00C40041" w:rsidP="00C40041">
      <w:pPr>
        <w:pStyle w:val="NoSpacing"/>
        <w:jc w:val="center"/>
      </w:pPr>
    </w:p>
    <w:p w14:paraId="3F68C680" w14:textId="78448734" w:rsidR="00C40041" w:rsidRDefault="00C40041" w:rsidP="00C40041">
      <w:pPr>
        <w:pStyle w:val="NoSpacing"/>
        <w:jc w:val="both"/>
      </w:pPr>
      <w:r>
        <w:t xml:space="preserve">Chapman. J, (2024), </w:t>
      </w:r>
      <w:r>
        <w:rPr>
          <w:i/>
          <w:iCs/>
        </w:rPr>
        <w:t>Teaching Critical Use of Legal Research Technology</w:t>
      </w:r>
      <w:r>
        <w:t xml:space="preserve">, Legal Writing Vol.28, Available at: </w:t>
      </w:r>
      <w:hyperlink r:id="rId6" w:history="1">
        <w:r w:rsidRPr="00253A4A">
          <w:rPr>
            <w:rStyle w:val="Hyperlink"/>
          </w:rPr>
          <w:t>https://www.legalwritingjournal.org/article/92118-teaching-critical-use-of-legal-research-technology</w:t>
        </w:r>
      </w:hyperlink>
      <w:r>
        <w:t xml:space="preserve"> - Accessed: 15-April-2024</w:t>
      </w:r>
    </w:p>
    <w:p w14:paraId="422AE61A" w14:textId="77777777" w:rsidR="00C40041" w:rsidRDefault="00C40041" w:rsidP="00C40041">
      <w:pPr>
        <w:pStyle w:val="NoSpacing"/>
        <w:jc w:val="both"/>
      </w:pPr>
    </w:p>
    <w:p w14:paraId="2700AFD0" w14:textId="50A5D6FF" w:rsidR="00C40041" w:rsidRDefault="00C40041" w:rsidP="00C40041">
      <w:pPr>
        <w:pStyle w:val="NoSpacing"/>
        <w:jc w:val="both"/>
      </w:pPr>
      <w:r>
        <w:t xml:space="preserve">Germain. C, (2007), </w:t>
      </w:r>
      <w:r>
        <w:rPr>
          <w:i/>
          <w:iCs/>
        </w:rPr>
        <w:t>Legal Information Management in a Global and Digital Age: Revolution and Tradition</w:t>
      </w:r>
      <w:r>
        <w:t xml:space="preserve">, International Journal of Legal Information Vol. 35, Available at: </w:t>
      </w:r>
      <w:hyperlink r:id="rId7" w:history="1">
        <w:r w:rsidRPr="00253A4A">
          <w:rPr>
            <w:rStyle w:val="Hyperlink"/>
          </w:rPr>
          <w:t>https://scholarship.law.cornell.edu/cgi/viewcontent.cgi?article=1087&amp;context=ijli</w:t>
        </w:r>
      </w:hyperlink>
      <w:r>
        <w:t xml:space="preserve"> – Accessed 15-April-2024</w:t>
      </w:r>
    </w:p>
    <w:p w14:paraId="7A8443E8" w14:textId="77777777" w:rsidR="00C40041" w:rsidRDefault="00C40041" w:rsidP="00C40041">
      <w:pPr>
        <w:pStyle w:val="NoSpacing"/>
        <w:jc w:val="both"/>
      </w:pPr>
    </w:p>
    <w:p w14:paraId="642F54D4" w14:textId="1C975845" w:rsidR="00C40041" w:rsidRDefault="00C40041" w:rsidP="00C40041">
      <w:pPr>
        <w:pStyle w:val="NoSpacing"/>
        <w:jc w:val="both"/>
      </w:pPr>
      <w:r>
        <w:t xml:space="preserve">Giles. J, (2018), </w:t>
      </w:r>
      <w:r>
        <w:rPr>
          <w:i/>
          <w:iCs/>
        </w:rPr>
        <w:t>The Problem with Textbooks or Law Books</w:t>
      </w:r>
      <w:r>
        <w:t xml:space="preserve">, </w:t>
      </w:r>
      <w:proofErr w:type="spellStart"/>
      <w:r>
        <w:t>Michalson’s</w:t>
      </w:r>
      <w:proofErr w:type="spellEnd"/>
      <w:r>
        <w:t xml:space="preserve">, Available at: </w:t>
      </w:r>
      <w:hyperlink r:id="rId8" w:history="1">
        <w:r w:rsidR="00702683" w:rsidRPr="00253A4A">
          <w:rPr>
            <w:rStyle w:val="Hyperlink"/>
          </w:rPr>
          <w:t>https://www.michalsons.com/blog/the-problem-with-legal-textbooks-law-books/35071</w:t>
        </w:r>
      </w:hyperlink>
      <w:r w:rsidR="00702683">
        <w:t xml:space="preserve"> </w:t>
      </w:r>
      <w:r w:rsidRPr="00702683">
        <w:t xml:space="preserve">- </w:t>
      </w:r>
      <w:r w:rsidRPr="00702683">
        <w:t>A</w:t>
      </w:r>
      <w:r w:rsidRPr="00702683">
        <w:t>ccessed 17-April-2021</w:t>
      </w:r>
    </w:p>
    <w:p w14:paraId="01F05792" w14:textId="77777777" w:rsidR="00702683" w:rsidRDefault="00702683" w:rsidP="00C40041">
      <w:pPr>
        <w:pStyle w:val="NoSpacing"/>
        <w:jc w:val="both"/>
      </w:pPr>
    </w:p>
    <w:p w14:paraId="77610F15" w14:textId="59C43B71" w:rsidR="00702683" w:rsidRPr="00702683" w:rsidRDefault="00702683" w:rsidP="00C40041">
      <w:pPr>
        <w:pStyle w:val="NoSpacing"/>
        <w:jc w:val="both"/>
      </w:pPr>
      <w:proofErr w:type="spellStart"/>
      <w:r>
        <w:t>Ihugba</w:t>
      </w:r>
      <w:proofErr w:type="spellEnd"/>
      <w:r>
        <w:t xml:space="preserve">. B, (2020), </w:t>
      </w:r>
      <w:r>
        <w:rPr>
          <w:i/>
          <w:iCs/>
        </w:rPr>
        <w:t>Introduction to Legal Research Methods and Legal Writing</w:t>
      </w:r>
      <w:r>
        <w:t>, Malthouse Press Limited: Lagos</w:t>
      </w:r>
    </w:p>
    <w:p w14:paraId="060F8E18" w14:textId="77777777" w:rsidR="00C40041" w:rsidRDefault="00C40041" w:rsidP="00C40041">
      <w:pPr>
        <w:pStyle w:val="NoSpacing"/>
        <w:jc w:val="both"/>
      </w:pPr>
    </w:p>
    <w:p w14:paraId="7FEDF644" w14:textId="484097DD" w:rsidR="00C40041" w:rsidRDefault="00C40041" w:rsidP="00C40041">
      <w:pPr>
        <w:pStyle w:val="NoSpacing"/>
        <w:jc w:val="both"/>
      </w:pPr>
      <w:r>
        <w:t>McConville. M, Hong Chui. W, (</w:t>
      </w:r>
      <w:r w:rsidR="00702683">
        <w:t xml:space="preserve">2017), </w:t>
      </w:r>
      <w:r w:rsidR="00702683">
        <w:rPr>
          <w:i/>
          <w:iCs/>
        </w:rPr>
        <w:t>Research Methods for Law: Second Edition</w:t>
      </w:r>
      <w:r w:rsidR="00702683">
        <w:t xml:space="preserve">, Edinburgh University Press: Edinburgh. </w:t>
      </w:r>
    </w:p>
    <w:p w14:paraId="44DE231F" w14:textId="77777777" w:rsidR="00702683" w:rsidRDefault="00702683" w:rsidP="00C40041">
      <w:pPr>
        <w:pStyle w:val="NoSpacing"/>
        <w:jc w:val="both"/>
      </w:pPr>
    </w:p>
    <w:p w14:paraId="3AC10D1B" w14:textId="0A4E9A20" w:rsidR="00702683" w:rsidRDefault="00702683" w:rsidP="00C40041">
      <w:pPr>
        <w:pStyle w:val="NoSpacing"/>
        <w:jc w:val="both"/>
      </w:pPr>
      <w:proofErr w:type="spellStart"/>
      <w:r>
        <w:t>Simion</w:t>
      </w:r>
      <w:proofErr w:type="spellEnd"/>
      <w:r>
        <w:t xml:space="preserve">. K, (2016), </w:t>
      </w:r>
      <w:r>
        <w:rPr>
          <w:i/>
          <w:iCs/>
        </w:rPr>
        <w:t>Practitioner’s Guide: Qualitative and Quantitative Approaches to Rule of Law Research</w:t>
      </w:r>
      <w:r>
        <w:t xml:space="preserve">, International Network to Promote the Rule of Law, Available at: </w:t>
      </w:r>
      <w:hyperlink r:id="rId9" w:history="1">
        <w:r w:rsidRPr="00702683">
          <w:rPr>
            <w:rStyle w:val="Hyperlink"/>
          </w:rPr>
          <w:t>https://deliverypdf.ssrn.com/delivery.php?ID=246119020070001010091123125018081246119020070001010091123125018081064002078032078006078100073084091106024611902007000101009112312501808106400207803207800607810007308409110602461190200700010100911231250180810640</w:t>
        </w:r>
      </w:hyperlink>
      <w:r>
        <w:t xml:space="preserve"> – Accessed 16-April-2024</w:t>
      </w:r>
    </w:p>
    <w:p w14:paraId="1177A40C" w14:textId="77777777" w:rsidR="00702683" w:rsidRDefault="00702683" w:rsidP="00C40041">
      <w:pPr>
        <w:pStyle w:val="NoSpacing"/>
        <w:jc w:val="both"/>
      </w:pPr>
    </w:p>
    <w:p w14:paraId="5F767929" w14:textId="76C4BA36" w:rsidR="0096767C" w:rsidRPr="0096767C" w:rsidRDefault="00702683" w:rsidP="00C40041">
      <w:pPr>
        <w:pStyle w:val="NoSpacing"/>
        <w:jc w:val="both"/>
      </w:pPr>
      <w:r>
        <w:t xml:space="preserve">Singh. R, Deva Rao. </w:t>
      </w:r>
      <w:r w:rsidR="0096767C">
        <w:t xml:space="preserve">S, Rai. P, Singh. A, (2012), </w:t>
      </w:r>
      <w:r w:rsidR="0096767C">
        <w:rPr>
          <w:i/>
          <w:iCs/>
        </w:rPr>
        <w:t>Access to Legal Information and Research in the Digital Age</w:t>
      </w:r>
      <w:r w:rsidR="0096767C">
        <w:t xml:space="preserve">, National Law University Press, Available at: </w:t>
      </w:r>
      <w:hyperlink r:id="rId10" w:history="1">
        <w:r w:rsidR="0096767C" w:rsidRPr="00253A4A">
          <w:rPr>
            <w:rStyle w:val="Hyperlink"/>
          </w:rPr>
          <w:t>https://nludelhi.ac.in/download/publication/2015/august/Accessto%20Legal%20nformation%20and%20Research%20in%20Digital%20Age.pdf</w:t>
        </w:r>
      </w:hyperlink>
      <w:r w:rsidR="0096767C">
        <w:t xml:space="preserve"> – Accessed 15-April-2024</w:t>
      </w:r>
    </w:p>
    <w:p w14:paraId="63ABE2EE" w14:textId="77777777" w:rsidR="00702683" w:rsidRDefault="00702683" w:rsidP="00C40041">
      <w:pPr>
        <w:pStyle w:val="NoSpacing"/>
        <w:jc w:val="both"/>
      </w:pPr>
    </w:p>
    <w:p w14:paraId="76B12F89" w14:textId="77777777" w:rsidR="00702683" w:rsidRPr="00702683" w:rsidRDefault="00702683" w:rsidP="00C40041">
      <w:pPr>
        <w:pStyle w:val="NoSpacing"/>
        <w:jc w:val="both"/>
      </w:pPr>
    </w:p>
    <w:p w14:paraId="4239D681" w14:textId="77777777" w:rsidR="00C40041" w:rsidRDefault="00C40041" w:rsidP="00C40041">
      <w:pPr>
        <w:pStyle w:val="NoSpacing"/>
        <w:jc w:val="both"/>
      </w:pPr>
    </w:p>
    <w:p w14:paraId="1B74EBA6" w14:textId="77777777" w:rsidR="00C40041" w:rsidRPr="00C40041" w:rsidRDefault="00C40041" w:rsidP="00C40041">
      <w:pPr>
        <w:pStyle w:val="NoSpacing"/>
        <w:jc w:val="both"/>
      </w:pPr>
    </w:p>
    <w:p w14:paraId="7B7F5575" w14:textId="77777777" w:rsidR="00812614" w:rsidRDefault="00812614" w:rsidP="00A018CE">
      <w:pPr>
        <w:pStyle w:val="NoSpacing"/>
        <w:jc w:val="both"/>
      </w:pPr>
    </w:p>
    <w:p w14:paraId="5FC2C6BD" w14:textId="77777777" w:rsidR="00812614" w:rsidRPr="00702B56" w:rsidRDefault="00812614" w:rsidP="00A018CE">
      <w:pPr>
        <w:pStyle w:val="NoSpacing"/>
        <w:jc w:val="both"/>
      </w:pPr>
    </w:p>
    <w:sectPr w:rsidR="00812614" w:rsidRPr="00702B56" w:rsidSect="007A17B0">
      <w:headerReference w:type="default" r:id="rId11"/>
      <w:footerReference w:type="even" r:id="rId12"/>
      <w:footerReference w:type="default" r:id="rId13"/>
      <w:pgSz w:w="11906" w:h="16838"/>
      <w:pgMar w:top="1440" w:right="1440" w:bottom="1440" w:left="1440" w:header="708" w:footer="708" w:gutter="0"/>
      <w:pgNumType w:fmt="upperRoma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8BD3D" w14:textId="77777777" w:rsidR="007A17B0" w:rsidRDefault="007A17B0" w:rsidP="00A018CE">
      <w:r>
        <w:separator/>
      </w:r>
    </w:p>
  </w:endnote>
  <w:endnote w:type="continuationSeparator" w:id="0">
    <w:p w14:paraId="06CE49DE" w14:textId="77777777" w:rsidR="007A17B0" w:rsidRDefault="007A17B0" w:rsidP="00A0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7638762"/>
      <w:docPartObj>
        <w:docPartGallery w:val="Page Numbers (Bottom of Page)"/>
        <w:docPartUnique/>
      </w:docPartObj>
    </w:sdtPr>
    <w:sdtContent>
      <w:p w14:paraId="7A92FAC6" w14:textId="129A4C8E" w:rsidR="00235C1D" w:rsidRDefault="00235C1D" w:rsidP="00253A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28015642"/>
      <w:docPartObj>
        <w:docPartGallery w:val="Page Numbers (Bottom of Page)"/>
        <w:docPartUnique/>
      </w:docPartObj>
    </w:sdtPr>
    <w:sdtContent>
      <w:p w14:paraId="10D53788" w14:textId="09EEBA1D" w:rsidR="00235C1D" w:rsidRDefault="00235C1D" w:rsidP="00253A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88FD2D" w14:textId="77777777" w:rsidR="00235C1D" w:rsidRDefault="00235C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056C2" w14:textId="77777777" w:rsidR="00235C1D" w:rsidRDefault="00235C1D" w:rsidP="00253A4A">
    <w:pPr>
      <w:pStyle w:val="Footer"/>
      <w:framePr w:wrap="none" w:vAnchor="text" w:hAnchor="margin" w:xAlign="center" w:y="1"/>
      <w:rPr>
        <w:rStyle w:val="PageNumber"/>
      </w:rPr>
    </w:pPr>
  </w:p>
  <w:sdt>
    <w:sdtPr>
      <w:rPr>
        <w:rStyle w:val="PageNumber"/>
      </w:rPr>
      <w:id w:val="266361573"/>
      <w:docPartObj>
        <w:docPartGallery w:val="Page Numbers (Bottom of Page)"/>
        <w:docPartUnique/>
      </w:docPartObj>
    </w:sdtPr>
    <w:sdtContent>
      <w:p w14:paraId="53AF9B5E" w14:textId="1D1D3688" w:rsidR="00235C1D" w:rsidRDefault="00235C1D" w:rsidP="00235C1D">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7C5081E5" w14:textId="2A60ABAE" w:rsidR="00235C1D" w:rsidRDefault="00235C1D" w:rsidP="00235C1D">
    <w:pPr>
      <w:pStyle w:val="Header"/>
      <w:pBdr>
        <w:top w:val="single" w:sz="6" w:space="0" w:color="156082" w:themeColor="accent1"/>
      </w:pBdr>
      <w:spacing w:before="240"/>
      <w:jc w:val="center"/>
      <w:rPr>
        <w:color w:val="156082" w:themeColor="accent1"/>
      </w:rPr>
    </w:pPr>
  </w:p>
  <w:p w14:paraId="4511EE8A" w14:textId="59A6FB1D" w:rsidR="00235C1D" w:rsidRDefault="00235C1D">
    <w:pPr>
      <w:pStyle w:val="Footer"/>
    </w:pPr>
    <w:r>
      <w:rPr>
        <w:noProof/>
        <w:color w:val="156082" w:themeColor="accent1"/>
        <w:lang w:eastAsia="zh-CN"/>
      </w:rPr>
      <w:drawing>
        <wp:anchor distT="0" distB="0" distL="114300" distR="114300" simplePos="0" relativeHeight="251660288" behindDoc="0" locked="0" layoutInCell="1" allowOverlap="1" wp14:anchorId="7568D0C7" wp14:editId="525035FC">
          <wp:simplePos x="0" y="0"/>
          <wp:positionH relativeFrom="column">
            <wp:posOffset>2644770</wp:posOffset>
          </wp:positionH>
          <wp:positionV relativeFrom="paragraph">
            <wp:posOffset>27305</wp:posOffset>
          </wp:positionV>
          <wp:extent cx="438912" cy="276973"/>
          <wp:effectExtent l="0" t="0" r="5715" b="2540"/>
          <wp:wrapNone/>
          <wp:docPr id="145" name="Picture 1"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 descr="A grey logo on a black background&#10;&#10;Description automatically generated"/>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8374A" w14:textId="77777777" w:rsidR="007A17B0" w:rsidRDefault="007A17B0" w:rsidP="00A018CE">
      <w:r>
        <w:separator/>
      </w:r>
    </w:p>
  </w:footnote>
  <w:footnote w:type="continuationSeparator" w:id="0">
    <w:p w14:paraId="5C1EE16F" w14:textId="77777777" w:rsidR="007A17B0" w:rsidRDefault="007A17B0" w:rsidP="00A01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85D50" w14:textId="34BC7E8B" w:rsidR="00A018CE" w:rsidRDefault="00A018CE" w:rsidP="00A018CE">
    <w:pPr>
      <w:pStyle w:val="Header"/>
      <w:jc w:val="center"/>
      <w:rPr>
        <w:b/>
      </w:rPr>
    </w:pPr>
    <w:r>
      <w:rPr>
        <w:b/>
      </w:rPr>
      <w:t>UNIVERSITY OF WALES TRINITY SAINT DAVID</w:t>
    </w:r>
  </w:p>
  <w:p w14:paraId="0926394E" w14:textId="25AD06A6" w:rsidR="00A018CE" w:rsidRDefault="00A018CE" w:rsidP="00A018CE">
    <w:pPr>
      <w:pStyle w:val="Header"/>
      <w:jc w:val="center"/>
      <w:rPr>
        <w:bCs/>
      </w:rPr>
    </w:pPr>
    <w:r>
      <w:rPr>
        <w:bCs/>
      </w:rPr>
      <w:t>Swansea Business Campus | High Street | Swansea</w:t>
    </w:r>
  </w:p>
  <w:p w14:paraId="5A99E86B" w14:textId="0A8E2A1D" w:rsidR="00A018CE" w:rsidRDefault="00A018CE" w:rsidP="00A018CE">
    <w:pPr>
      <w:pStyle w:val="Header"/>
      <w:jc w:val="center"/>
      <w:rPr>
        <w:bCs/>
      </w:rPr>
    </w:pPr>
    <w:r>
      <w:rPr>
        <w:bCs/>
      </w:rPr>
      <w:t xml:space="preserve">LLB Law and Legal Practice | Level 5 | Legal Research </w:t>
    </w:r>
  </w:p>
  <w:p w14:paraId="0E7F058E" w14:textId="0B4241EA" w:rsidR="00A018CE" w:rsidRDefault="00A018CE" w:rsidP="00A018CE">
    <w:pPr>
      <w:pStyle w:val="Header"/>
      <w:jc w:val="center"/>
      <w:rPr>
        <w:bCs/>
      </w:rPr>
    </w:pPr>
    <w:r>
      <w:rPr>
        <w:bCs/>
        <w:noProof/>
      </w:rPr>
      <mc:AlternateContent>
        <mc:Choice Requires="wps">
          <w:drawing>
            <wp:anchor distT="0" distB="0" distL="114300" distR="114300" simplePos="0" relativeHeight="251659264" behindDoc="0" locked="0" layoutInCell="1" allowOverlap="1" wp14:anchorId="07E75640" wp14:editId="47E6960F">
              <wp:simplePos x="0" y="0"/>
              <wp:positionH relativeFrom="column">
                <wp:posOffset>-718956</wp:posOffset>
              </wp:positionH>
              <wp:positionV relativeFrom="paragraph">
                <wp:posOffset>241702</wp:posOffset>
              </wp:positionV>
              <wp:extent cx="7217478" cy="0"/>
              <wp:effectExtent l="0" t="12700" r="21590" b="12700"/>
              <wp:wrapNone/>
              <wp:docPr id="332952245" name="Straight Connector 1"/>
              <wp:cNvGraphicFramePr/>
              <a:graphic xmlns:a="http://schemas.openxmlformats.org/drawingml/2006/main">
                <a:graphicData uri="http://schemas.microsoft.com/office/word/2010/wordprocessingShape">
                  <wps:wsp>
                    <wps:cNvCnPr/>
                    <wps:spPr>
                      <a:xfrm>
                        <a:off x="0" y="0"/>
                        <a:ext cx="7217478"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anchor>
          </w:drawing>
        </mc:Choice>
        <mc:Fallback>
          <w:pict>
            <v:line w14:anchorId="2943357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6.6pt,19.05pt" to="511.7pt,19.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" strokecolor="#196b24 [3206]" strokeweight="1.5pt">
              <v:stroke joinstyle="miter"/>
            </v:line>
          </w:pict>
        </mc:Fallback>
      </mc:AlternateContent>
    </w:r>
    <w:r>
      <w:rPr>
        <w:bCs/>
      </w:rPr>
      <w:t>Ryan Green | Student ID: 2017590</w:t>
    </w:r>
  </w:p>
  <w:p w14:paraId="3F9AA090" w14:textId="77777777" w:rsidR="00A018CE" w:rsidRPr="00A018CE" w:rsidRDefault="00A018CE" w:rsidP="00A018CE">
    <w:pPr>
      <w:pStyle w:val="Header"/>
      <w:jc w:val="center"/>
      <w:rPr>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8CE"/>
    <w:rsid w:val="00073449"/>
    <w:rsid w:val="00084F27"/>
    <w:rsid w:val="00171ED0"/>
    <w:rsid w:val="00235C1D"/>
    <w:rsid w:val="00324EF9"/>
    <w:rsid w:val="0044389D"/>
    <w:rsid w:val="004D492C"/>
    <w:rsid w:val="0067219C"/>
    <w:rsid w:val="0069242D"/>
    <w:rsid w:val="00702683"/>
    <w:rsid w:val="00702B56"/>
    <w:rsid w:val="00757F56"/>
    <w:rsid w:val="007A17B0"/>
    <w:rsid w:val="00812614"/>
    <w:rsid w:val="00902580"/>
    <w:rsid w:val="00905097"/>
    <w:rsid w:val="0096767C"/>
    <w:rsid w:val="0098686D"/>
    <w:rsid w:val="009B275F"/>
    <w:rsid w:val="00A018CE"/>
    <w:rsid w:val="00A333C6"/>
    <w:rsid w:val="00AF0B9E"/>
    <w:rsid w:val="00B066BF"/>
    <w:rsid w:val="00BB7BD7"/>
    <w:rsid w:val="00C40041"/>
    <w:rsid w:val="00C53262"/>
    <w:rsid w:val="00C728B9"/>
    <w:rsid w:val="00C81BBC"/>
    <w:rsid w:val="00C84F6A"/>
    <w:rsid w:val="00CF6832"/>
    <w:rsid w:val="00E70138"/>
    <w:rsid w:val="00E86034"/>
    <w:rsid w:val="00EC3B99"/>
    <w:rsid w:val="00FE6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A1FEF0"/>
  <w15:chartTrackingRefBased/>
  <w15:docId w15:val="{D4D8252A-0AFF-2942-BFF7-2D1D7219B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8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8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8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8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8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8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8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8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8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8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8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8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8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8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8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8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8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8CE"/>
    <w:rPr>
      <w:rFonts w:eastAsiaTheme="majorEastAsia" w:cstheme="majorBidi"/>
      <w:color w:val="272727" w:themeColor="text1" w:themeTint="D8"/>
    </w:rPr>
  </w:style>
  <w:style w:type="paragraph" w:styleId="Title">
    <w:name w:val="Title"/>
    <w:basedOn w:val="Normal"/>
    <w:next w:val="Normal"/>
    <w:link w:val="TitleChar"/>
    <w:uiPriority w:val="10"/>
    <w:qFormat/>
    <w:rsid w:val="00A018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8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8C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8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8C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18CE"/>
    <w:rPr>
      <w:i/>
      <w:iCs/>
      <w:color w:val="404040" w:themeColor="text1" w:themeTint="BF"/>
    </w:rPr>
  </w:style>
  <w:style w:type="paragraph" w:styleId="ListParagraph">
    <w:name w:val="List Paragraph"/>
    <w:basedOn w:val="Normal"/>
    <w:uiPriority w:val="34"/>
    <w:qFormat/>
    <w:rsid w:val="00A018CE"/>
    <w:pPr>
      <w:ind w:left="720"/>
      <w:contextualSpacing/>
    </w:pPr>
  </w:style>
  <w:style w:type="character" w:styleId="IntenseEmphasis">
    <w:name w:val="Intense Emphasis"/>
    <w:basedOn w:val="DefaultParagraphFont"/>
    <w:uiPriority w:val="21"/>
    <w:qFormat/>
    <w:rsid w:val="00A018CE"/>
    <w:rPr>
      <w:i/>
      <w:iCs/>
      <w:color w:val="0F4761" w:themeColor="accent1" w:themeShade="BF"/>
    </w:rPr>
  </w:style>
  <w:style w:type="paragraph" w:styleId="IntenseQuote">
    <w:name w:val="Intense Quote"/>
    <w:basedOn w:val="Normal"/>
    <w:next w:val="Normal"/>
    <w:link w:val="IntenseQuoteChar"/>
    <w:uiPriority w:val="30"/>
    <w:qFormat/>
    <w:rsid w:val="00A018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8CE"/>
    <w:rPr>
      <w:i/>
      <w:iCs/>
      <w:color w:val="0F4761" w:themeColor="accent1" w:themeShade="BF"/>
    </w:rPr>
  </w:style>
  <w:style w:type="character" w:styleId="IntenseReference">
    <w:name w:val="Intense Reference"/>
    <w:basedOn w:val="DefaultParagraphFont"/>
    <w:uiPriority w:val="32"/>
    <w:qFormat/>
    <w:rsid w:val="00A018CE"/>
    <w:rPr>
      <w:b/>
      <w:bCs/>
      <w:smallCaps/>
      <w:color w:val="0F4761" w:themeColor="accent1" w:themeShade="BF"/>
      <w:spacing w:val="5"/>
    </w:rPr>
  </w:style>
  <w:style w:type="paragraph" w:styleId="Header">
    <w:name w:val="header"/>
    <w:basedOn w:val="Normal"/>
    <w:link w:val="HeaderChar"/>
    <w:uiPriority w:val="99"/>
    <w:unhideWhenUsed/>
    <w:rsid w:val="00A018CE"/>
    <w:pPr>
      <w:tabs>
        <w:tab w:val="center" w:pos="4513"/>
        <w:tab w:val="right" w:pos="9026"/>
      </w:tabs>
    </w:pPr>
  </w:style>
  <w:style w:type="character" w:customStyle="1" w:styleId="HeaderChar">
    <w:name w:val="Header Char"/>
    <w:basedOn w:val="DefaultParagraphFont"/>
    <w:link w:val="Header"/>
    <w:uiPriority w:val="99"/>
    <w:rsid w:val="00A018CE"/>
  </w:style>
  <w:style w:type="paragraph" w:styleId="Footer">
    <w:name w:val="footer"/>
    <w:basedOn w:val="Normal"/>
    <w:link w:val="FooterChar"/>
    <w:uiPriority w:val="99"/>
    <w:unhideWhenUsed/>
    <w:rsid w:val="00A018CE"/>
    <w:pPr>
      <w:tabs>
        <w:tab w:val="center" w:pos="4513"/>
        <w:tab w:val="right" w:pos="9026"/>
      </w:tabs>
    </w:pPr>
  </w:style>
  <w:style w:type="character" w:customStyle="1" w:styleId="FooterChar">
    <w:name w:val="Footer Char"/>
    <w:basedOn w:val="DefaultParagraphFont"/>
    <w:link w:val="Footer"/>
    <w:uiPriority w:val="99"/>
    <w:rsid w:val="00A018CE"/>
  </w:style>
  <w:style w:type="paragraph" w:styleId="NoSpacing">
    <w:name w:val="No Spacing"/>
    <w:uiPriority w:val="1"/>
    <w:qFormat/>
    <w:rsid w:val="00A018CE"/>
  </w:style>
  <w:style w:type="character" w:styleId="PageNumber">
    <w:name w:val="page number"/>
    <w:basedOn w:val="DefaultParagraphFont"/>
    <w:uiPriority w:val="99"/>
    <w:semiHidden/>
    <w:unhideWhenUsed/>
    <w:rsid w:val="00235C1D"/>
  </w:style>
  <w:style w:type="character" w:styleId="Hyperlink">
    <w:name w:val="Hyperlink"/>
    <w:basedOn w:val="DefaultParagraphFont"/>
    <w:uiPriority w:val="99"/>
    <w:unhideWhenUsed/>
    <w:rsid w:val="00C40041"/>
    <w:rPr>
      <w:color w:val="467886" w:themeColor="hyperlink"/>
      <w:u w:val="single"/>
    </w:rPr>
  </w:style>
  <w:style w:type="character" w:styleId="UnresolvedMention">
    <w:name w:val="Unresolved Mention"/>
    <w:basedOn w:val="DefaultParagraphFont"/>
    <w:uiPriority w:val="99"/>
    <w:semiHidden/>
    <w:unhideWhenUsed/>
    <w:rsid w:val="00C40041"/>
    <w:rPr>
      <w:color w:val="605E5C"/>
      <w:shd w:val="clear" w:color="auto" w:fill="E1DFDD"/>
    </w:rPr>
  </w:style>
  <w:style w:type="character" w:styleId="FollowedHyperlink">
    <w:name w:val="FollowedHyperlink"/>
    <w:basedOn w:val="DefaultParagraphFont"/>
    <w:uiPriority w:val="99"/>
    <w:semiHidden/>
    <w:unhideWhenUsed/>
    <w:rsid w:val="007026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halsons.com/blog/the-problem-with-legal-textbooks-law-books/35071"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scholarship.law.cornell.edu/cgi/viewcontent.cgi?article=1087&amp;context=ijli"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alwritingjournal.org/article/92118-teaching-critical-use-of-legal-research-technology"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nludelhi.ac.in/download/publication/2015/august/Accessto%20Legal%20nformation%20and%20Research%20in%20Digital%20Age.pdf" TargetMode="External"/><Relationship Id="rId4" Type="http://schemas.openxmlformats.org/officeDocument/2006/relationships/footnotes" Target="footnotes.xml"/><Relationship Id="rId9" Type="http://schemas.openxmlformats.org/officeDocument/2006/relationships/hyperlink" Target="https://deliverypdf.ssrn.com/delivery.php?ID=246119020070001010091123125018081064002078032078006078100073084091106074085008086117032056001043039056032019125025123091092124047037047078014090010110124114123022076008082077123029069099087006000073065009026095101120097001067120125120004118090106003096&amp;EXT=pdf&amp;INDEX=TRUE"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5</Pages>
  <Words>2084</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UWTSD - University of Wales Trinity Saint David</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Green (2017590)</dc:creator>
  <cp:keywords/>
  <dc:description/>
  <cp:lastModifiedBy>Ryan Green (2017590)</cp:lastModifiedBy>
  <cp:revision>1</cp:revision>
  <dcterms:created xsi:type="dcterms:W3CDTF">2024-04-19T13:51:00Z</dcterms:created>
  <dcterms:modified xsi:type="dcterms:W3CDTF">2024-04-19T19:50:00Z</dcterms:modified>
</cp:coreProperties>
</file>