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E05606" w14:textId="52F68E93" w:rsidR="00EE6DD1" w:rsidRPr="0019056F" w:rsidRDefault="00E6766E" w:rsidP="0019056F">
      <w:pPr>
        <w:jc w:val="center"/>
        <w:rPr>
          <w:rFonts w:ascii="Georgia" w:hAnsi="Georgia"/>
          <w:sz w:val="28"/>
          <w:szCs w:val="28"/>
          <w:u w:val="single"/>
        </w:rPr>
      </w:pPr>
      <w:r w:rsidRPr="0019056F">
        <w:rPr>
          <w:rFonts w:ascii="Georgia" w:hAnsi="Georgia"/>
          <w:sz w:val="28"/>
          <w:szCs w:val="28"/>
          <w:u w:val="single"/>
        </w:rPr>
        <w:t xml:space="preserve">Myths As A Product of Time and Place: </w:t>
      </w:r>
      <w:r w:rsidR="00AD1432">
        <w:rPr>
          <w:rFonts w:ascii="Georgia" w:hAnsi="Georgia"/>
          <w:sz w:val="28"/>
          <w:szCs w:val="28"/>
          <w:u w:val="single"/>
        </w:rPr>
        <w:t>Gods, Politics and Relationships</w:t>
      </w:r>
    </w:p>
    <w:p w14:paraId="31517477" w14:textId="77777777" w:rsidR="00AD1432" w:rsidRDefault="00AD1432">
      <w:pPr>
        <w:rPr>
          <w:rFonts w:ascii="Georgia" w:hAnsi="Georgia"/>
          <w:sz w:val="20"/>
          <w:szCs w:val="20"/>
        </w:rPr>
      </w:pPr>
    </w:p>
    <w:p w14:paraId="2BA69E5D" w14:textId="5DAF836A" w:rsidR="00665FBB" w:rsidRDefault="00BF117C">
      <w:pPr>
        <w:rPr>
          <w:rFonts w:ascii="Georgia" w:hAnsi="Georgia"/>
          <w:sz w:val="20"/>
          <w:szCs w:val="20"/>
        </w:rPr>
      </w:pPr>
      <w:r>
        <w:rPr>
          <w:rFonts w:ascii="Georgia" w:hAnsi="Georgia"/>
          <w:sz w:val="20"/>
          <w:szCs w:val="20"/>
        </w:rPr>
        <w:t>When evaluating a myth as a product of time and place, it is key to have a contextual understanding of the society it is being influenced by</w:t>
      </w:r>
      <w:r w:rsidR="00D603B7">
        <w:rPr>
          <w:rFonts w:ascii="Georgia" w:hAnsi="Georgia"/>
          <w:sz w:val="20"/>
          <w:szCs w:val="20"/>
        </w:rPr>
        <w:t>, so that we might understand what is out of place</w:t>
      </w:r>
      <w:r w:rsidR="00F65051">
        <w:rPr>
          <w:rFonts w:ascii="Georgia" w:hAnsi="Georgia"/>
          <w:sz w:val="20"/>
          <w:szCs w:val="20"/>
        </w:rPr>
        <w:t xml:space="preserve">. But also, </w:t>
      </w:r>
      <w:r w:rsidR="008932C0">
        <w:rPr>
          <w:rFonts w:ascii="Georgia" w:hAnsi="Georgia"/>
          <w:sz w:val="20"/>
          <w:szCs w:val="20"/>
        </w:rPr>
        <w:t xml:space="preserve">Myths can provide some of this contextual knowledge themselves: they can help a reader to </w:t>
      </w:r>
      <w:r w:rsidR="00F818B4">
        <w:rPr>
          <w:rFonts w:ascii="Georgia" w:hAnsi="Georgia"/>
          <w:sz w:val="20"/>
          <w:szCs w:val="20"/>
        </w:rPr>
        <w:t xml:space="preserve">divine what is </w:t>
      </w:r>
      <w:r w:rsidR="004E1AFA">
        <w:rPr>
          <w:rFonts w:ascii="Georgia" w:hAnsi="Georgia"/>
          <w:sz w:val="20"/>
          <w:szCs w:val="20"/>
        </w:rPr>
        <w:t xml:space="preserve">important to the society they belong to; what they value, </w:t>
      </w:r>
      <w:r w:rsidR="00501C99">
        <w:rPr>
          <w:rFonts w:ascii="Georgia" w:hAnsi="Georgia"/>
          <w:sz w:val="20"/>
          <w:szCs w:val="20"/>
        </w:rPr>
        <w:t>what they might believe and how they view the world around them.</w:t>
      </w:r>
      <w:r w:rsidR="00676F40">
        <w:rPr>
          <w:rFonts w:ascii="Georgia" w:hAnsi="Georgia"/>
          <w:sz w:val="20"/>
          <w:szCs w:val="20"/>
        </w:rPr>
        <w:t xml:space="preserve"> </w:t>
      </w:r>
      <w:r w:rsidR="00665FBB">
        <w:rPr>
          <w:rFonts w:ascii="Georgia" w:hAnsi="Georgia"/>
          <w:sz w:val="20"/>
          <w:szCs w:val="20"/>
        </w:rPr>
        <w:t xml:space="preserve">In this essay, I will </w:t>
      </w:r>
      <w:r w:rsidR="00E876D2">
        <w:rPr>
          <w:rFonts w:ascii="Georgia" w:hAnsi="Georgia"/>
          <w:sz w:val="20"/>
          <w:szCs w:val="20"/>
        </w:rPr>
        <w:t>evaluate how the Aeneid</w:t>
      </w:r>
      <w:r w:rsidR="00677ED1">
        <w:rPr>
          <w:rFonts w:ascii="Georgia" w:hAnsi="Georgia"/>
          <w:sz w:val="20"/>
          <w:szCs w:val="20"/>
        </w:rPr>
        <w:t xml:space="preserve">: </w:t>
      </w:r>
      <w:r w:rsidR="00AD1432">
        <w:rPr>
          <w:rFonts w:ascii="Georgia" w:hAnsi="Georgia"/>
          <w:sz w:val="20"/>
          <w:szCs w:val="20"/>
        </w:rPr>
        <w:t xml:space="preserve">presents </w:t>
      </w:r>
      <w:r w:rsidR="00677ED1">
        <w:rPr>
          <w:rFonts w:ascii="Georgia" w:hAnsi="Georgia"/>
          <w:sz w:val="20"/>
          <w:szCs w:val="20"/>
        </w:rPr>
        <w:t xml:space="preserve">ideas of relationship and kinship, </w:t>
      </w:r>
      <w:r w:rsidR="00AD1432">
        <w:rPr>
          <w:rFonts w:ascii="Georgia" w:hAnsi="Georgia"/>
          <w:sz w:val="20"/>
          <w:szCs w:val="20"/>
        </w:rPr>
        <w:t>shows</w:t>
      </w:r>
      <w:r w:rsidR="00AA149B">
        <w:rPr>
          <w:rFonts w:ascii="Georgia" w:hAnsi="Georgia"/>
          <w:sz w:val="20"/>
          <w:szCs w:val="20"/>
        </w:rPr>
        <w:t xml:space="preserve"> how romans viewed the gods</w:t>
      </w:r>
      <w:r w:rsidR="009D7E95">
        <w:rPr>
          <w:rFonts w:ascii="Georgia" w:hAnsi="Georgia"/>
          <w:sz w:val="20"/>
          <w:szCs w:val="20"/>
        </w:rPr>
        <w:t>’</w:t>
      </w:r>
      <w:r w:rsidR="00AA149B">
        <w:rPr>
          <w:rFonts w:ascii="Georgia" w:hAnsi="Georgia"/>
          <w:sz w:val="20"/>
          <w:szCs w:val="20"/>
        </w:rPr>
        <w:t xml:space="preserve"> involvement with earth</w:t>
      </w:r>
      <w:r w:rsidR="00102D5B">
        <w:rPr>
          <w:rFonts w:ascii="Georgia" w:hAnsi="Georgia"/>
          <w:sz w:val="20"/>
          <w:szCs w:val="20"/>
        </w:rPr>
        <w:t>, and acts as a platform for political propaganda</w:t>
      </w:r>
      <w:r w:rsidR="00AD1432">
        <w:rPr>
          <w:rFonts w:ascii="Georgia" w:hAnsi="Georgia"/>
          <w:sz w:val="20"/>
          <w:szCs w:val="20"/>
        </w:rPr>
        <w:t xml:space="preserve">. </w:t>
      </w:r>
    </w:p>
    <w:p w14:paraId="3C52D661" w14:textId="761C50B3" w:rsidR="00C63F00" w:rsidRDefault="003923BF">
      <w:pPr>
        <w:rPr>
          <w:rFonts w:ascii="Georgia" w:hAnsi="Georgia"/>
          <w:sz w:val="20"/>
          <w:szCs w:val="20"/>
        </w:rPr>
      </w:pPr>
      <w:r w:rsidRPr="0019056F">
        <w:rPr>
          <w:rFonts w:ascii="Georgia" w:hAnsi="Georgia"/>
          <w:sz w:val="20"/>
          <w:szCs w:val="20"/>
        </w:rPr>
        <w:t xml:space="preserve">In his article, </w:t>
      </w:r>
      <w:r w:rsidR="007A379A" w:rsidRPr="0019056F">
        <w:rPr>
          <w:rFonts w:ascii="Georgia" w:hAnsi="Georgia"/>
          <w:sz w:val="20"/>
          <w:szCs w:val="20"/>
        </w:rPr>
        <w:t>‘</w:t>
      </w:r>
      <w:r w:rsidR="00F91B5B" w:rsidRPr="0019056F">
        <w:rPr>
          <w:rFonts w:ascii="Georgia" w:hAnsi="Georgia"/>
          <w:sz w:val="20"/>
          <w:szCs w:val="20"/>
        </w:rPr>
        <w:t>The Evander-Anchises Connection: Fathers, Sons, and Homoerotic Desire in Vergil's "Aeneid"</w:t>
      </w:r>
      <w:r w:rsidR="007A379A" w:rsidRPr="0019056F">
        <w:rPr>
          <w:rFonts w:ascii="Georgia" w:hAnsi="Georgia"/>
          <w:sz w:val="20"/>
          <w:szCs w:val="20"/>
        </w:rPr>
        <w:t>’</w:t>
      </w:r>
      <w:r w:rsidR="00F91B5B" w:rsidRPr="0019056F">
        <w:rPr>
          <w:rFonts w:ascii="Georgia" w:hAnsi="Georgia"/>
          <w:sz w:val="20"/>
          <w:szCs w:val="20"/>
        </w:rPr>
        <w:t xml:space="preserve">, </w:t>
      </w:r>
      <w:r w:rsidR="00035273" w:rsidRPr="0019056F">
        <w:rPr>
          <w:rFonts w:ascii="Georgia" w:hAnsi="Georgia"/>
          <w:sz w:val="20"/>
          <w:szCs w:val="20"/>
        </w:rPr>
        <w:t>Charles Lloyd evaluate</w:t>
      </w:r>
      <w:r w:rsidR="00F91B5B" w:rsidRPr="0019056F">
        <w:rPr>
          <w:rFonts w:ascii="Georgia" w:hAnsi="Georgia"/>
          <w:sz w:val="20"/>
          <w:szCs w:val="20"/>
        </w:rPr>
        <w:t>s</w:t>
      </w:r>
      <w:r w:rsidR="00035273" w:rsidRPr="0019056F">
        <w:rPr>
          <w:rFonts w:ascii="Georgia" w:hAnsi="Georgia"/>
          <w:sz w:val="20"/>
          <w:szCs w:val="20"/>
        </w:rPr>
        <w:t xml:space="preserve"> Virgil’s use of Homoeroticism in The Aeneid</w:t>
      </w:r>
      <w:r w:rsidR="00F91B5B" w:rsidRPr="0019056F">
        <w:rPr>
          <w:rFonts w:ascii="Georgia" w:hAnsi="Georgia"/>
          <w:sz w:val="20"/>
          <w:szCs w:val="20"/>
        </w:rPr>
        <w:t>,</w:t>
      </w:r>
      <w:r w:rsidR="000B0F26">
        <w:rPr>
          <w:rFonts w:ascii="Georgia" w:hAnsi="Georgia"/>
          <w:sz w:val="20"/>
          <w:szCs w:val="20"/>
        </w:rPr>
        <w:t xml:space="preserve"> elaborating on an essential </w:t>
      </w:r>
      <w:r w:rsidR="004D4C25">
        <w:rPr>
          <w:rFonts w:ascii="Georgia" w:hAnsi="Georgia"/>
          <w:sz w:val="20"/>
          <w:szCs w:val="20"/>
        </w:rPr>
        <w:t>part</w:t>
      </w:r>
      <w:r w:rsidR="000B0F26">
        <w:rPr>
          <w:rFonts w:ascii="Georgia" w:hAnsi="Georgia"/>
          <w:sz w:val="20"/>
          <w:szCs w:val="20"/>
        </w:rPr>
        <w:t xml:space="preserve"> of Roman life</w:t>
      </w:r>
      <w:r w:rsidR="004D4C25">
        <w:rPr>
          <w:rFonts w:ascii="Georgia" w:hAnsi="Georgia"/>
          <w:sz w:val="20"/>
          <w:szCs w:val="20"/>
        </w:rPr>
        <w:t>; relationships</w:t>
      </w:r>
      <w:r w:rsidR="005E7080">
        <w:rPr>
          <w:rFonts w:ascii="Georgia" w:hAnsi="Georgia"/>
          <w:sz w:val="20"/>
          <w:szCs w:val="20"/>
        </w:rPr>
        <w:t xml:space="preserve">. </w:t>
      </w:r>
      <w:r w:rsidR="000968E7" w:rsidRPr="0019056F">
        <w:rPr>
          <w:rFonts w:ascii="Georgia" w:hAnsi="Georgia"/>
          <w:sz w:val="20"/>
          <w:szCs w:val="20"/>
        </w:rPr>
        <w:t xml:space="preserve">According to Lloyd, </w:t>
      </w:r>
      <w:r w:rsidR="00554D59" w:rsidRPr="0019056F">
        <w:rPr>
          <w:rFonts w:ascii="Georgia" w:hAnsi="Georgia"/>
          <w:sz w:val="20"/>
          <w:szCs w:val="20"/>
        </w:rPr>
        <w:t>“</w:t>
      </w:r>
      <w:r w:rsidR="005D68FB" w:rsidRPr="0019056F">
        <w:rPr>
          <w:rFonts w:ascii="Georgia" w:hAnsi="Georgia"/>
          <w:sz w:val="20"/>
          <w:szCs w:val="20"/>
        </w:rPr>
        <w:t xml:space="preserve">The Aeneid contains at least two important instances </w:t>
      </w:r>
      <w:r w:rsidR="00206359" w:rsidRPr="0019056F">
        <w:rPr>
          <w:rFonts w:ascii="Georgia" w:hAnsi="Georgia"/>
          <w:sz w:val="20"/>
          <w:szCs w:val="20"/>
        </w:rPr>
        <w:t xml:space="preserve">in which the poet represents homoeroticism as an </w:t>
      </w:r>
      <w:r w:rsidR="00554D59" w:rsidRPr="0019056F">
        <w:rPr>
          <w:rFonts w:ascii="Georgia" w:hAnsi="Georgia"/>
          <w:sz w:val="20"/>
          <w:szCs w:val="20"/>
        </w:rPr>
        <w:t>ordinary phenomenon</w:t>
      </w:r>
      <w:r w:rsidR="00206359" w:rsidRPr="0019056F">
        <w:rPr>
          <w:rFonts w:ascii="Georgia" w:hAnsi="Georgia"/>
          <w:sz w:val="20"/>
          <w:szCs w:val="20"/>
        </w:rPr>
        <w:t xml:space="preserve"> and </w:t>
      </w:r>
      <w:r w:rsidR="00554D59" w:rsidRPr="0019056F">
        <w:rPr>
          <w:rFonts w:ascii="Georgia" w:hAnsi="Georgia"/>
          <w:sz w:val="20"/>
          <w:szCs w:val="20"/>
        </w:rPr>
        <w:t xml:space="preserve">posits it as </w:t>
      </w:r>
      <w:r w:rsidR="00353F67" w:rsidRPr="0019056F">
        <w:rPr>
          <w:rFonts w:ascii="Georgia" w:hAnsi="Georgia"/>
          <w:sz w:val="20"/>
          <w:szCs w:val="20"/>
        </w:rPr>
        <w:t>a given in the male culture of his literary genre”</w:t>
      </w:r>
      <w:r w:rsidR="00E032E0" w:rsidRPr="0019056F">
        <w:rPr>
          <w:rFonts w:ascii="Georgia" w:hAnsi="Georgia"/>
          <w:sz w:val="20"/>
          <w:szCs w:val="20"/>
        </w:rPr>
        <w:t xml:space="preserve"> </w:t>
      </w:r>
      <w:sdt>
        <w:sdtPr>
          <w:rPr>
            <w:rFonts w:ascii="Georgia" w:hAnsi="Georgia"/>
            <w:sz w:val="20"/>
            <w:szCs w:val="20"/>
          </w:rPr>
          <w:id w:val="-1524549491"/>
          <w:citation/>
        </w:sdtPr>
        <w:sdtEndPr/>
        <w:sdtContent>
          <w:r w:rsidR="00E032E0" w:rsidRPr="0019056F">
            <w:rPr>
              <w:rFonts w:ascii="Georgia" w:hAnsi="Georgia"/>
              <w:sz w:val="20"/>
              <w:szCs w:val="20"/>
            </w:rPr>
            <w:fldChar w:fldCharType="begin"/>
          </w:r>
          <w:r w:rsidR="00E032E0" w:rsidRPr="0019056F">
            <w:rPr>
              <w:rFonts w:ascii="Georgia" w:hAnsi="Georgia"/>
              <w:sz w:val="20"/>
              <w:szCs w:val="20"/>
            </w:rPr>
            <w:instrText xml:space="preserve"> CITATION Llo99 \l 2057 </w:instrText>
          </w:r>
          <w:r w:rsidR="00E032E0" w:rsidRPr="0019056F">
            <w:rPr>
              <w:rFonts w:ascii="Georgia" w:hAnsi="Georgia"/>
              <w:sz w:val="20"/>
              <w:szCs w:val="20"/>
            </w:rPr>
            <w:fldChar w:fldCharType="separate"/>
          </w:r>
          <w:r w:rsidR="00617774" w:rsidRPr="00617774">
            <w:rPr>
              <w:rFonts w:ascii="Georgia" w:hAnsi="Georgia"/>
              <w:noProof/>
              <w:sz w:val="20"/>
              <w:szCs w:val="20"/>
            </w:rPr>
            <w:t>(Lloyd, 1999)</w:t>
          </w:r>
          <w:r w:rsidR="00E032E0" w:rsidRPr="0019056F">
            <w:rPr>
              <w:rFonts w:ascii="Georgia" w:hAnsi="Georgia"/>
              <w:sz w:val="20"/>
              <w:szCs w:val="20"/>
            </w:rPr>
            <w:fldChar w:fldCharType="end"/>
          </w:r>
        </w:sdtContent>
      </w:sdt>
      <w:r w:rsidR="00426206" w:rsidRPr="0019056F">
        <w:rPr>
          <w:rFonts w:ascii="Georgia" w:hAnsi="Georgia"/>
          <w:sz w:val="20"/>
          <w:szCs w:val="20"/>
        </w:rPr>
        <w:t xml:space="preserve">. </w:t>
      </w:r>
      <w:r w:rsidR="00375737" w:rsidRPr="0019056F">
        <w:rPr>
          <w:rFonts w:ascii="Georgia" w:hAnsi="Georgia"/>
          <w:sz w:val="20"/>
          <w:szCs w:val="20"/>
        </w:rPr>
        <w:t xml:space="preserve">He </w:t>
      </w:r>
      <w:r w:rsidR="00F03F6F" w:rsidRPr="0019056F">
        <w:rPr>
          <w:rFonts w:ascii="Georgia" w:hAnsi="Georgia"/>
          <w:sz w:val="20"/>
          <w:szCs w:val="20"/>
        </w:rPr>
        <w:t xml:space="preserve">expatiates </w:t>
      </w:r>
      <w:r w:rsidR="00380C46" w:rsidRPr="0019056F">
        <w:rPr>
          <w:rFonts w:ascii="Georgia" w:hAnsi="Georgia"/>
          <w:sz w:val="20"/>
          <w:szCs w:val="20"/>
        </w:rPr>
        <w:t xml:space="preserve">upon </w:t>
      </w:r>
      <w:r w:rsidR="003B32C8" w:rsidRPr="0019056F">
        <w:rPr>
          <w:rFonts w:ascii="Georgia" w:hAnsi="Georgia"/>
          <w:sz w:val="20"/>
          <w:szCs w:val="20"/>
        </w:rPr>
        <w:t>t</w:t>
      </w:r>
      <w:r w:rsidR="00380C46" w:rsidRPr="0019056F">
        <w:rPr>
          <w:rFonts w:ascii="Georgia" w:hAnsi="Georgia"/>
          <w:sz w:val="20"/>
          <w:szCs w:val="20"/>
        </w:rPr>
        <w:t xml:space="preserve">he theme by drawing upon specific examples of what he believes to be </w:t>
      </w:r>
      <w:r w:rsidR="007203BE" w:rsidRPr="0019056F">
        <w:rPr>
          <w:rFonts w:ascii="Georgia" w:hAnsi="Georgia"/>
          <w:sz w:val="20"/>
          <w:szCs w:val="20"/>
        </w:rPr>
        <w:t xml:space="preserve">an “understated narrative” </w:t>
      </w:r>
      <w:r w:rsidR="00716971" w:rsidRPr="0019056F">
        <w:rPr>
          <w:rFonts w:ascii="Georgia" w:hAnsi="Georgia"/>
          <w:sz w:val="20"/>
          <w:szCs w:val="20"/>
        </w:rPr>
        <w:t>within the myth: Evander’s relationship with Anchises</w:t>
      </w:r>
      <w:r w:rsidR="00F55C0D" w:rsidRPr="0019056F">
        <w:rPr>
          <w:rFonts w:ascii="Georgia" w:hAnsi="Georgia"/>
          <w:sz w:val="20"/>
          <w:szCs w:val="20"/>
        </w:rPr>
        <w:t xml:space="preserve"> – Aeneas’ father</w:t>
      </w:r>
      <w:r w:rsidR="00525A64">
        <w:rPr>
          <w:rFonts w:ascii="Georgia" w:hAnsi="Georgia"/>
          <w:sz w:val="20"/>
          <w:szCs w:val="20"/>
        </w:rPr>
        <w:t>:</w:t>
      </w:r>
      <w:r w:rsidR="00F55C0D" w:rsidRPr="0019056F">
        <w:rPr>
          <w:rFonts w:ascii="Georgia" w:hAnsi="Georgia"/>
          <w:sz w:val="20"/>
          <w:szCs w:val="20"/>
        </w:rPr>
        <w:t xml:space="preserve"> </w:t>
      </w:r>
    </w:p>
    <w:p w14:paraId="77A550DD" w14:textId="0178F3BA" w:rsidR="007831C2" w:rsidRPr="001E093C" w:rsidRDefault="00384A5F" w:rsidP="005C45E8">
      <w:pPr>
        <w:ind w:left="720"/>
        <w:rPr>
          <w:rFonts w:ascii="Georgia" w:hAnsi="Georgia"/>
          <w:sz w:val="16"/>
          <w:szCs w:val="16"/>
        </w:rPr>
      </w:pPr>
      <w:r w:rsidRPr="001E093C">
        <w:rPr>
          <w:rFonts w:ascii="Georgia" w:hAnsi="Georgia"/>
          <w:sz w:val="16"/>
          <w:szCs w:val="16"/>
        </w:rPr>
        <w:t>“</w:t>
      </w:r>
      <w:r w:rsidR="006D394A" w:rsidRPr="001E093C">
        <w:rPr>
          <w:rFonts w:ascii="Georgia" w:hAnsi="Georgia"/>
          <w:sz w:val="16"/>
          <w:szCs w:val="16"/>
        </w:rPr>
        <w:t>So spoke A</w:t>
      </w:r>
      <w:r w:rsidR="00DA1070" w:rsidRPr="001E093C">
        <w:rPr>
          <w:rFonts w:ascii="Georgia" w:hAnsi="Georgia"/>
          <w:sz w:val="16"/>
          <w:szCs w:val="16"/>
        </w:rPr>
        <w:t>eneas. All the time he was speaking</w:t>
      </w:r>
      <w:r w:rsidR="00CF7D33" w:rsidRPr="001E093C">
        <w:rPr>
          <w:rFonts w:ascii="Georgia" w:hAnsi="Georgia"/>
          <w:sz w:val="16"/>
          <w:szCs w:val="16"/>
        </w:rPr>
        <w:t>, Evander had been gazing at his face and his eyes and his whole body. He then replied in these few words</w:t>
      </w:r>
      <w:r w:rsidR="00E05727" w:rsidRPr="001E093C">
        <w:rPr>
          <w:rFonts w:ascii="Georgia" w:hAnsi="Georgia"/>
          <w:sz w:val="16"/>
          <w:szCs w:val="16"/>
        </w:rPr>
        <w:t>: ‘Bravest of the Trojans, I welcome you with great joy, and with great joy I recognise who you are. Oh how well do I recall the words of your father, the very voice and features of the great Anchises</w:t>
      </w:r>
      <w:r w:rsidR="00A82DBB" w:rsidRPr="001E093C">
        <w:rPr>
          <w:rFonts w:ascii="Georgia" w:hAnsi="Georgia"/>
          <w:sz w:val="16"/>
          <w:szCs w:val="16"/>
        </w:rPr>
        <w:t>!’”</w:t>
      </w:r>
      <w:r w:rsidR="007017A8">
        <w:rPr>
          <w:rFonts w:ascii="Georgia" w:hAnsi="Georgia"/>
          <w:sz w:val="16"/>
          <w:szCs w:val="16"/>
        </w:rPr>
        <w:t xml:space="preserve"> </w:t>
      </w:r>
      <w:sdt>
        <w:sdtPr>
          <w:rPr>
            <w:rFonts w:ascii="Georgia" w:hAnsi="Georgia"/>
            <w:sz w:val="16"/>
            <w:szCs w:val="16"/>
          </w:rPr>
          <w:id w:val="211625092"/>
          <w:citation/>
        </w:sdtPr>
        <w:sdtEndPr/>
        <w:sdtContent>
          <w:r w:rsidR="007017A8">
            <w:rPr>
              <w:rFonts w:ascii="Georgia" w:hAnsi="Georgia"/>
              <w:sz w:val="16"/>
              <w:szCs w:val="16"/>
            </w:rPr>
            <w:fldChar w:fldCharType="begin"/>
          </w:r>
          <w:r w:rsidR="007017A8">
            <w:rPr>
              <w:rFonts w:ascii="Georgia" w:hAnsi="Georgia"/>
              <w:sz w:val="16"/>
              <w:szCs w:val="16"/>
            </w:rPr>
            <w:instrText xml:space="preserve"> CITATION Ver \l 2057 </w:instrText>
          </w:r>
          <w:r w:rsidR="007017A8">
            <w:rPr>
              <w:rFonts w:ascii="Georgia" w:hAnsi="Georgia"/>
              <w:sz w:val="16"/>
              <w:szCs w:val="16"/>
            </w:rPr>
            <w:fldChar w:fldCharType="separate"/>
          </w:r>
          <w:r w:rsidR="00617774" w:rsidRPr="00617774">
            <w:rPr>
              <w:rFonts w:ascii="Georgia" w:hAnsi="Georgia"/>
              <w:noProof/>
              <w:sz w:val="16"/>
              <w:szCs w:val="16"/>
            </w:rPr>
            <w:t>(Vergil)</w:t>
          </w:r>
          <w:r w:rsidR="007017A8">
            <w:rPr>
              <w:rFonts w:ascii="Georgia" w:hAnsi="Georgia"/>
              <w:sz w:val="16"/>
              <w:szCs w:val="16"/>
            </w:rPr>
            <w:fldChar w:fldCharType="end"/>
          </w:r>
        </w:sdtContent>
      </w:sdt>
    </w:p>
    <w:p w14:paraId="28B607EE" w14:textId="6A5B495F" w:rsidR="009566E3" w:rsidRDefault="00BE26E7">
      <w:pPr>
        <w:rPr>
          <w:rFonts w:ascii="Georgia" w:hAnsi="Georgia"/>
          <w:sz w:val="20"/>
          <w:szCs w:val="20"/>
        </w:rPr>
      </w:pPr>
      <w:r w:rsidRPr="009566E3">
        <w:rPr>
          <w:rFonts w:ascii="Georgia" w:hAnsi="Georgia"/>
          <w:sz w:val="20"/>
          <w:szCs w:val="20"/>
        </w:rPr>
        <w:t xml:space="preserve">According to Lloyd’s analysis of this </w:t>
      </w:r>
      <w:r w:rsidR="00384A5F" w:rsidRPr="009566E3">
        <w:rPr>
          <w:rFonts w:ascii="Georgia" w:hAnsi="Georgia"/>
          <w:sz w:val="20"/>
          <w:szCs w:val="20"/>
        </w:rPr>
        <w:t>passage</w:t>
      </w:r>
      <w:r w:rsidR="00C63F00" w:rsidRPr="009566E3">
        <w:rPr>
          <w:rFonts w:ascii="Georgia" w:hAnsi="Georgia"/>
          <w:sz w:val="20"/>
          <w:szCs w:val="20"/>
        </w:rPr>
        <w:t xml:space="preserve">, </w:t>
      </w:r>
      <w:r w:rsidR="003B3EFB" w:rsidRPr="009566E3">
        <w:rPr>
          <w:rFonts w:ascii="Georgia" w:hAnsi="Georgia"/>
          <w:sz w:val="20"/>
          <w:szCs w:val="20"/>
        </w:rPr>
        <w:t xml:space="preserve">it is </w:t>
      </w:r>
      <w:r w:rsidR="00043FA0" w:rsidRPr="009566E3">
        <w:rPr>
          <w:rFonts w:ascii="Georgia" w:hAnsi="Georgia"/>
          <w:sz w:val="20"/>
          <w:szCs w:val="20"/>
        </w:rPr>
        <w:t xml:space="preserve">in </w:t>
      </w:r>
      <w:r w:rsidR="003B3EFB" w:rsidRPr="009566E3">
        <w:rPr>
          <w:rFonts w:ascii="Georgia" w:hAnsi="Georgia"/>
          <w:sz w:val="20"/>
          <w:szCs w:val="20"/>
        </w:rPr>
        <w:t>Evander’s</w:t>
      </w:r>
      <w:r w:rsidR="00043FA0" w:rsidRPr="009566E3">
        <w:rPr>
          <w:rFonts w:ascii="Georgia" w:hAnsi="Georgia"/>
          <w:sz w:val="20"/>
          <w:szCs w:val="20"/>
        </w:rPr>
        <w:t xml:space="preserve"> recognition of Aen</w:t>
      </w:r>
      <w:r w:rsidR="00764310" w:rsidRPr="009566E3">
        <w:rPr>
          <w:rFonts w:ascii="Georgia" w:hAnsi="Georgia"/>
          <w:sz w:val="20"/>
          <w:szCs w:val="20"/>
        </w:rPr>
        <w:t>eas’ shared similarities with his father that we see a hint of his relationship with Anchises. H</w:t>
      </w:r>
      <w:r w:rsidR="007B3EEF" w:rsidRPr="009566E3">
        <w:rPr>
          <w:rFonts w:ascii="Georgia" w:hAnsi="Georgia"/>
          <w:sz w:val="20"/>
          <w:szCs w:val="20"/>
        </w:rPr>
        <w:t xml:space="preserve">is joy at meeting the hero is supposedly due to </w:t>
      </w:r>
      <w:r w:rsidR="000E1CEF" w:rsidRPr="009566E3">
        <w:rPr>
          <w:rFonts w:ascii="Georgia" w:hAnsi="Georgia"/>
          <w:sz w:val="20"/>
          <w:szCs w:val="20"/>
        </w:rPr>
        <w:t xml:space="preserve">how much he resembles his father, and </w:t>
      </w:r>
      <w:r w:rsidR="000E39E5" w:rsidRPr="009566E3">
        <w:rPr>
          <w:rFonts w:ascii="Georgia" w:hAnsi="Georgia"/>
          <w:sz w:val="20"/>
          <w:szCs w:val="20"/>
        </w:rPr>
        <w:t xml:space="preserve">how that </w:t>
      </w:r>
      <w:r w:rsidR="000E1CEF" w:rsidRPr="009566E3">
        <w:rPr>
          <w:rFonts w:ascii="Georgia" w:hAnsi="Georgia"/>
          <w:sz w:val="20"/>
          <w:szCs w:val="20"/>
        </w:rPr>
        <w:t xml:space="preserve">stimulates a </w:t>
      </w:r>
      <w:r w:rsidR="004E79D5" w:rsidRPr="009566E3">
        <w:rPr>
          <w:rFonts w:ascii="Georgia" w:hAnsi="Georgia"/>
          <w:sz w:val="20"/>
          <w:szCs w:val="20"/>
        </w:rPr>
        <w:t xml:space="preserve">fond </w:t>
      </w:r>
      <w:r w:rsidR="000E1CEF" w:rsidRPr="009566E3">
        <w:rPr>
          <w:rFonts w:ascii="Georgia" w:hAnsi="Georgia"/>
          <w:sz w:val="20"/>
          <w:szCs w:val="20"/>
        </w:rPr>
        <w:t>memory for Evander</w:t>
      </w:r>
      <w:r w:rsidR="004E79D5" w:rsidRPr="009566E3">
        <w:rPr>
          <w:rFonts w:ascii="Georgia" w:hAnsi="Georgia"/>
          <w:sz w:val="20"/>
          <w:szCs w:val="20"/>
        </w:rPr>
        <w:t xml:space="preserve"> who had met Anchises prior</w:t>
      </w:r>
      <w:r w:rsidR="000332D0" w:rsidRPr="009566E3">
        <w:rPr>
          <w:rFonts w:ascii="Georgia" w:hAnsi="Georgia"/>
          <w:sz w:val="20"/>
          <w:szCs w:val="20"/>
        </w:rPr>
        <w:t>, and who, it</w:t>
      </w:r>
      <w:r w:rsidR="000E39E5" w:rsidRPr="009566E3">
        <w:rPr>
          <w:rFonts w:ascii="Georgia" w:hAnsi="Georgia"/>
          <w:sz w:val="20"/>
          <w:szCs w:val="20"/>
        </w:rPr>
        <w:t xml:space="preserve"> is</w:t>
      </w:r>
      <w:r w:rsidR="000332D0" w:rsidRPr="009566E3">
        <w:rPr>
          <w:rFonts w:ascii="Georgia" w:hAnsi="Georgia"/>
          <w:sz w:val="20"/>
          <w:szCs w:val="20"/>
        </w:rPr>
        <w:t xml:space="preserve"> implied, he had a relationship with. </w:t>
      </w:r>
      <w:r w:rsidR="00255FB4" w:rsidRPr="009566E3">
        <w:rPr>
          <w:rFonts w:ascii="Georgia" w:hAnsi="Georgia"/>
          <w:sz w:val="20"/>
          <w:szCs w:val="20"/>
        </w:rPr>
        <w:t xml:space="preserve">Lloyd draws on a </w:t>
      </w:r>
      <w:r w:rsidR="004610D7" w:rsidRPr="009566E3">
        <w:rPr>
          <w:rFonts w:ascii="Georgia" w:hAnsi="Georgia"/>
          <w:sz w:val="20"/>
          <w:szCs w:val="20"/>
        </w:rPr>
        <w:t>similarity</w:t>
      </w:r>
      <w:r w:rsidR="00255FB4" w:rsidRPr="009566E3">
        <w:rPr>
          <w:rFonts w:ascii="Georgia" w:hAnsi="Georgia"/>
          <w:sz w:val="20"/>
          <w:szCs w:val="20"/>
        </w:rPr>
        <w:t xml:space="preserve"> between </w:t>
      </w:r>
      <w:r w:rsidR="008877FA" w:rsidRPr="009566E3">
        <w:rPr>
          <w:rFonts w:ascii="Georgia" w:hAnsi="Georgia"/>
          <w:sz w:val="20"/>
          <w:szCs w:val="20"/>
        </w:rPr>
        <w:t xml:space="preserve">Evander and </w:t>
      </w:r>
      <w:r w:rsidR="00B974BD" w:rsidRPr="009566E3">
        <w:rPr>
          <w:rFonts w:ascii="Georgia" w:hAnsi="Georgia"/>
          <w:sz w:val="20"/>
          <w:szCs w:val="20"/>
        </w:rPr>
        <w:t xml:space="preserve">Queen </w:t>
      </w:r>
      <w:r w:rsidR="008877FA" w:rsidRPr="009566E3">
        <w:rPr>
          <w:rFonts w:ascii="Georgia" w:hAnsi="Georgia"/>
          <w:sz w:val="20"/>
          <w:szCs w:val="20"/>
        </w:rPr>
        <w:t>Dido – who is explicitly</w:t>
      </w:r>
      <w:r w:rsidR="00B974BD" w:rsidRPr="009566E3">
        <w:rPr>
          <w:rFonts w:ascii="Georgia" w:hAnsi="Georgia"/>
          <w:sz w:val="20"/>
          <w:szCs w:val="20"/>
        </w:rPr>
        <w:t xml:space="preserve"> </w:t>
      </w:r>
      <w:r w:rsidR="00C8548C" w:rsidRPr="009566E3">
        <w:rPr>
          <w:rFonts w:ascii="Georgia" w:hAnsi="Georgia"/>
          <w:sz w:val="20"/>
          <w:szCs w:val="20"/>
        </w:rPr>
        <w:t xml:space="preserve">Aeneas’ love interest in the epic </w:t>
      </w:r>
      <w:r w:rsidR="00F53C52" w:rsidRPr="009566E3">
        <w:rPr>
          <w:rFonts w:ascii="Georgia" w:hAnsi="Georgia"/>
          <w:sz w:val="20"/>
          <w:szCs w:val="20"/>
        </w:rPr>
        <w:t>–</w:t>
      </w:r>
      <w:r w:rsidR="00C8548C" w:rsidRPr="009566E3">
        <w:rPr>
          <w:rFonts w:ascii="Georgia" w:hAnsi="Georgia"/>
          <w:sz w:val="20"/>
          <w:szCs w:val="20"/>
        </w:rPr>
        <w:t xml:space="preserve"> </w:t>
      </w:r>
      <w:r w:rsidR="00F53C52" w:rsidRPr="009566E3">
        <w:rPr>
          <w:rFonts w:ascii="Georgia" w:hAnsi="Georgia"/>
          <w:sz w:val="20"/>
          <w:szCs w:val="20"/>
        </w:rPr>
        <w:t xml:space="preserve">in their </w:t>
      </w:r>
      <w:r w:rsidR="004610D7" w:rsidRPr="009566E3">
        <w:rPr>
          <w:rFonts w:ascii="Georgia" w:hAnsi="Georgia"/>
          <w:sz w:val="20"/>
          <w:szCs w:val="20"/>
        </w:rPr>
        <w:t>interactions</w:t>
      </w:r>
      <w:r w:rsidR="00F53C52" w:rsidRPr="009566E3">
        <w:rPr>
          <w:rFonts w:ascii="Georgia" w:hAnsi="Georgia"/>
          <w:sz w:val="20"/>
          <w:szCs w:val="20"/>
        </w:rPr>
        <w:t xml:space="preserve"> with the hero; </w:t>
      </w:r>
      <w:r w:rsidR="004610D7" w:rsidRPr="009566E3">
        <w:rPr>
          <w:rFonts w:ascii="Georgia" w:hAnsi="Georgia"/>
          <w:sz w:val="20"/>
          <w:szCs w:val="20"/>
        </w:rPr>
        <w:t xml:space="preserve">direct comparisons can be made in the language used in the original </w:t>
      </w:r>
      <w:r w:rsidR="00D8479A" w:rsidRPr="009566E3">
        <w:rPr>
          <w:rFonts w:ascii="Georgia" w:hAnsi="Georgia"/>
          <w:sz w:val="20"/>
          <w:szCs w:val="20"/>
        </w:rPr>
        <w:t>Latin</w:t>
      </w:r>
      <w:r w:rsidR="004D41E7" w:rsidRPr="009566E3">
        <w:rPr>
          <w:rFonts w:ascii="Georgia" w:hAnsi="Georgia"/>
          <w:sz w:val="20"/>
          <w:szCs w:val="20"/>
        </w:rPr>
        <w:t xml:space="preserve">, and even translated, it is clear that there is a purposeful </w:t>
      </w:r>
      <w:r w:rsidR="00C343EF" w:rsidRPr="009566E3">
        <w:rPr>
          <w:rFonts w:ascii="Georgia" w:hAnsi="Georgia"/>
          <w:sz w:val="20"/>
          <w:szCs w:val="20"/>
        </w:rPr>
        <w:t>likeness between the two scenes</w:t>
      </w:r>
      <w:r w:rsidR="00525A64">
        <w:rPr>
          <w:rFonts w:ascii="Georgia" w:hAnsi="Georgia"/>
          <w:sz w:val="20"/>
          <w:szCs w:val="20"/>
        </w:rPr>
        <w:t>:</w:t>
      </w:r>
    </w:p>
    <w:p w14:paraId="4BC8A84A" w14:textId="36E94426" w:rsidR="00C343EF" w:rsidRPr="009566E3" w:rsidRDefault="00C343EF" w:rsidP="005C45E8">
      <w:pPr>
        <w:ind w:left="720"/>
        <w:rPr>
          <w:rFonts w:ascii="Georgia" w:hAnsi="Georgia"/>
          <w:sz w:val="20"/>
          <w:szCs w:val="20"/>
        </w:rPr>
      </w:pPr>
      <w:r w:rsidRPr="00C343EF">
        <w:rPr>
          <w:rFonts w:ascii="Georgia" w:hAnsi="Georgia" w:cs="Arial"/>
          <w:sz w:val="16"/>
          <w:szCs w:val="16"/>
        </w:rPr>
        <w:t>“</w:t>
      </w:r>
      <w:r w:rsidR="00232EA0">
        <w:rPr>
          <w:rFonts w:ascii="Georgia" w:hAnsi="Georgia" w:cs="Arial"/>
          <w:sz w:val="16"/>
          <w:szCs w:val="16"/>
        </w:rPr>
        <w:t>Turning aside she watched him for some time as he spoke, running her eyes this way and that, and with silent vision she wandered over him entirely</w:t>
      </w:r>
      <w:r w:rsidR="005F1387">
        <w:rPr>
          <w:rFonts w:ascii="Georgia" w:hAnsi="Georgia" w:cs="Arial"/>
          <w:sz w:val="16"/>
          <w:szCs w:val="16"/>
        </w:rPr>
        <w:t>…”</w:t>
      </w:r>
      <w:r w:rsidR="007017A8">
        <w:rPr>
          <w:rFonts w:ascii="Georgia" w:hAnsi="Georgia" w:cs="Arial"/>
          <w:sz w:val="16"/>
          <w:szCs w:val="16"/>
        </w:rPr>
        <w:t xml:space="preserve"> </w:t>
      </w:r>
      <w:sdt>
        <w:sdtPr>
          <w:rPr>
            <w:rFonts w:ascii="Georgia" w:hAnsi="Georgia" w:cs="Arial"/>
            <w:sz w:val="16"/>
            <w:szCs w:val="16"/>
          </w:rPr>
          <w:id w:val="1446887558"/>
          <w:citation/>
        </w:sdtPr>
        <w:sdtEndPr/>
        <w:sdtContent>
          <w:r w:rsidR="007017A8">
            <w:rPr>
              <w:rFonts w:ascii="Georgia" w:hAnsi="Georgia" w:cs="Arial"/>
              <w:sz w:val="16"/>
              <w:szCs w:val="16"/>
            </w:rPr>
            <w:fldChar w:fldCharType="begin"/>
          </w:r>
          <w:r w:rsidR="007017A8">
            <w:rPr>
              <w:rFonts w:ascii="Georgia" w:hAnsi="Georgia" w:cs="Arial"/>
              <w:sz w:val="16"/>
              <w:szCs w:val="16"/>
            </w:rPr>
            <w:instrText xml:space="preserve"> CITATION Ver \l 2057 </w:instrText>
          </w:r>
          <w:r w:rsidR="007017A8">
            <w:rPr>
              <w:rFonts w:ascii="Georgia" w:hAnsi="Georgia" w:cs="Arial"/>
              <w:sz w:val="16"/>
              <w:szCs w:val="16"/>
            </w:rPr>
            <w:fldChar w:fldCharType="separate"/>
          </w:r>
          <w:r w:rsidR="00617774" w:rsidRPr="00617774">
            <w:rPr>
              <w:rFonts w:ascii="Georgia" w:hAnsi="Georgia" w:cs="Arial"/>
              <w:noProof/>
              <w:sz w:val="16"/>
              <w:szCs w:val="16"/>
            </w:rPr>
            <w:t>(Vergil)</w:t>
          </w:r>
          <w:r w:rsidR="007017A8">
            <w:rPr>
              <w:rFonts w:ascii="Georgia" w:hAnsi="Georgia" w:cs="Arial"/>
              <w:sz w:val="16"/>
              <w:szCs w:val="16"/>
            </w:rPr>
            <w:fldChar w:fldCharType="end"/>
          </w:r>
        </w:sdtContent>
      </w:sdt>
    </w:p>
    <w:p w14:paraId="7850A097" w14:textId="3D0EDC0B" w:rsidR="00F92C69" w:rsidRDefault="004C41C4">
      <w:pPr>
        <w:rPr>
          <w:rFonts w:ascii="Georgia" w:hAnsi="Georgia"/>
          <w:sz w:val="20"/>
          <w:szCs w:val="20"/>
        </w:rPr>
      </w:pPr>
      <w:r>
        <w:rPr>
          <w:rFonts w:ascii="Georgia" w:hAnsi="Georgia"/>
          <w:sz w:val="20"/>
          <w:szCs w:val="20"/>
        </w:rPr>
        <w:t>This suggestion of homosexuality being present</w:t>
      </w:r>
      <w:r w:rsidR="00E2371B">
        <w:rPr>
          <w:rFonts w:ascii="Georgia" w:hAnsi="Georgia"/>
          <w:sz w:val="20"/>
          <w:szCs w:val="20"/>
        </w:rPr>
        <w:t xml:space="preserve"> </w:t>
      </w:r>
      <w:r w:rsidR="0022347E">
        <w:rPr>
          <w:rFonts w:ascii="Georgia" w:hAnsi="Georgia"/>
          <w:sz w:val="20"/>
          <w:szCs w:val="20"/>
        </w:rPr>
        <w:t xml:space="preserve">and </w:t>
      </w:r>
      <w:r w:rsidR="00525A64">
        <w:rPr>
          <w:rFonts w:ascii="Georgia" w:hAnsi="Georgia"/>
          <w:sz w:val="20"/>
          <w:szCs w:val="20"/>
        </w:rPr>
        <w:t xml:space="preserve">unopposed </w:t>
      </w:r>
      <w:r w:rsidR="00E2371B">
        <w:rPr>
          <w:rFonts w:ascii="Georgia" w:hAnsi="Georgia"/>
          <w:sz w:val="20"/>
          <w:szCs w:val="20"/>
        </w:rPr>
        <w:t xml:space="preserve">in the ancient world </w:t>
      </w:r>
      <w:r w:rsidR="00C6312C">
        <w:rPr>
          <w:rFonts w:ascii="Georgia" w:hAnsi="Georgia"/>
          <w:sz w:val="20"/>
          <w:szCs w:val="20"/>
        </w:rPr>
        <w:t xml:space="preserve">shows it to be a product of it’s time and place, as </w:t>
      </w:r>
      <w:r w:rsidR="0022654D">
        <w:rPr>
          <w:rFonts w:ascii="Georgia" w:hAnsi="Georgia"/>
          <w:sz w:val="20"/>
          <w:szCs w:val="20"/>
        </w:rPr>
        <w:t xml:space="preserve">this is a theme that has been controversial </w:t>
      </w:r>
      <w:r w:rsidR="00193A47">
        <w:rPr>
          <w:rFonts w:ascii="Georgia" w:hAnsi="Georgia"/>
          <w:sz w:val="20"/>
          <w:szCs w:val="20"/>
        </w:rPr>
        <w:t xml:space="preserve">throughout history. </w:t>
      </w:r>
      <w:r w:rsidR="00C55AB8">
        <w:rPr>
          <w:rFonts w:ascii="Georgia" w:hAnsi="Georgia"/>
          <w:sz w:val="20"/>
          <w:szCs w:val="20"/>
        </w:rPr>
        <w:t xml:space="preserve">We would not, for example, see this theme present in any popular work </w:t>
      </w:r>
      <w:r w:rsidR="0049040E">
        <w:rPr>
          <w:rFonts w:ascii="Georgia" w:hAnsi="Georgia"/>
          <w:sz w:val="20"/>
          <w:szCs w:val="20"/>
        </w:rPr>
        <w:t>fro</w:t>
      </w:r>
      <w:r w:rsidR="00570571">
        <w:rPr>
          <w:rFonts w:ascii="Georgia" w:hAnsi="Georgia"/>
          <w:sz w:val="20"/>
          <w:szCs w:val="20"/>
        </w:rPr>
        <w:t xml:space="preserve">m an era that posed strong opposition to </w:t>
      </w:r>
      <w:r w:rsidR="008F2DF4">
        <w:rPr>
          <w:rFonts w:ascii="Georgia" w:hAnsi="Georgia"/>
          <w:sz w:val="20"/>
          <w:szCs w:val="20"/>
        </w:rPr>
        <w:t>sexual minorities</w:t>
      </w:r>
      <w:r w:rsidR="009329B9">
        <w:rPr>
          <w:rFonts w:ascii="Georgia" w:hAnsi="Georgia"/>
          <w:sz w:val="20"/>
          <w:szCs w:val="20"/>
        </w:rPr>
        <w:t xml:space="preserve">. Even in published retellings of Greek and Roman works, this theme is often censored. </w:t>
      </w:r>
      <w:r w:rsidR="00C26748">
        <w:rPr>
          <w:rFonts w:ascii="Georgia" w:hAnsi="Georgia"/>
          <w:sz w:val="20"/>
          <w:szCs w:val="20"/>
        </w:rPr>
        <w:t>One example of this</w:t>
      </w:r>
      <w:r w:rsidR="00442205">
        <w:rPr>
          <w:rFonts w:ascii="Georgia" w:hAnsi="Georgia"/>
          <w:sz w:val="20"/>
          <w:szCs w:val="20"/>
        </w:rPr>
        <w:t xml:space="preserve"> is from the myth of Hyacinth</w:t>
      </w:r>
      <w:r w:rsidR="00F92C69">
        <w:rPr>
          <w:rFonts w:ascii="Georgia" w:hAnsi="Georgia"/>
          <w:sz w:val="20"/>
          <w:szCs w:val="20"/>
        </w:rPr>
        <w:t>us</w:t>
      </w:r>
      <w:r w:rsidR="00442205">
        <w:rPr>
          <w:rFonts w:ascii="Georgia" w:hAnsi="Georgia"/>
          <w:sz w:val="20"/>
          <w:szCs w:val="20"/>
        </w:rPr>
        <w:t xml:space="preserve"> and Apollo, written in Bullfinch’s </w:t>
      </w:r>
      <w:r w:rsidR="00FC4D85">
        <w:rPr>
          <w:rFonts w:ascii="Georgia" w:hAnsi="Georgia"/>
          <w:sz w:val="20"/>
          <w:szCs w:val="20"/>
        </w:rPr>
        <w:t>Mythology</w:t>
      </w:r>
      <w:r w:rsidR="00AB6DFF">
        <w:rPr>
          <w:rFonts w:ascii="Georgia" w:hAnsi="Georgia"/>
          <w:sz w:val="20"/>
          <w:szCs w:val="20"/>
        </w:rPr>
        <w:t xml:space="preserve">, which describes Apollo as being </w:t>
      </w:r>
      <w:r w:rsidR="00F92C69">
        <w:rPr>
          <w:rFonts w:ascii="Georgia" w:hAnsi="Georgia"/>
          <w:sz w:val="20"/>
          <w:szCs w:val="20"/>
        </w:rPr>
        <w:t>“</w:t>
      </w:r>
      <w:r w:rsidR="008F0AA6">
        <w:rPr>
          <w:rFonts w:ascii="Georgia" w:hAnsi="Georgia"/>
          <w:sz w:val="20"/>
          <w:szCs w:val="20"/>
        </w:rPr>
        <w:t>passionately fond of a youth”</w:t>
      </w:r>
      <w:sdt>
        <w:sdtPr>
          <w:rPr>
            <w:rFonts w:ascii="Georgia" w:hAnsi="Georgia"/>
            <w:sz w:val="20"/>
            <w:szCs w:val="20"/>
          </w:rPr>
          <w:id w:val="-2066097436"/>
          <w:citation/>
        </w:sdtPr>
        <w:sdtEndPr/>
        <w:sdtContent>
          <w:r w:rsidR="00E0653B">
            <w:rPr>
              <w:rFonts w:ascii="Georgia" w:hAnsi="Georgia"/>
              <w:sz w:val="20"/>
              <w:szCs w:val="20"/>
            </w:rPr>
            <w:fldChar w:fldCharType="begin"/>
          </w:r>
          <w:r w:rsidR="00E0653B">
            <w:rPr>
              <w:rFonts w:ascii="Georgia" w:hAnsi="Georgia"/>
              <w:sz w:val="20"/>
              <w:szCs w:val="20"/>
            </w:rPr>
            <w:instrText xml:space="preserve"> CITATION Bul67 \l 2057 </w:instrText>
          </w:r>
          <w:r w:rsidR="00E0653B">
            <w:rPr>
              <w:rFonts w:ascii="Georgia" w:hAnsi="Georgia"/>
              <w:sz w:val="20"/>
              <w:szCs w:val="20"/>
            </w:rPr>
            <w:fldChar w:fldCharType="separate"/>
          </w:r>
          <w:r w:rsidR="00617774">
            <w:rPr>
              <w:rFonts w:ascii="Georgia" w:hAnsi="Georgia"/>
              <w:noProof/>
              <w:sz w:val="20"/>
              <w:szCs w:val="20"/>
            </w:rPr>
            <w:t xml:space="preserve"> </w:t>
          </w:r>
          <w:r w:rsidR="00617774" w:rsidRPr="00617774">
            <w:rPr>
              <w:rFonts w:ascii="Georgia" w:hAnsi="Georgia"/>
              <w:noProof/>
              <w:sz w:val="20"/>
              <w:szCs w:val="20"/>
            </w:rPr>
            <w:t>(Bulfinch, 1867)</w:t>
          </w:r>
          <w:r w:rsidR="00E0653B">
            <w:rPr>
              <w:rFonts w:ascii="Georgia" w:hAnsi="Georgia"/>
              <w:sz w:val="20"/>
              <w:szCs w:val="20"/>
            </w:rPr>
            <w:fldChar w:fldCharType="end"/>
          </w:r>
        </w:sdtContent>
      </w:sdt>
      <w:r w:rsidR="00947325">
        <w:rPr>
          <w:rFonts w:ascii="Georgia" w:hAnsi="Georgia"/>
          <w:sz w:val="20"/>
          <w:szCs w:val="20"/>
        </w:rPr>
        <w:t xml:space="preserve"> </w:t>
      </w:r>
      <w:r w:rsidR="00AB6DFF">
        <w:rPr>
          <w:rFonts w:ascii="Georgia" w:hAnsi="Georgia"/>
          <w:sz w:val="20"/>
          <w:szCs w:val="20"/>
        </w:rPr>
        <w:t xml:space="preserve">called Hyacinthus, when it is widely accepted that they were lovers. This </w:t>
      </w:r>
      <w:r w:rsidR="00E54646">
        <w:rPr>
          <w:rFonts w:ascii="Georgia" w:hAnsi="Georgia"/>
          <w:sz w:val="20"/>
          <w:szCs w:val="20"/>
        </w:rPr>
        <w:t xml:space="preserve">small change is enough to </w:t>
      </w:r>
      <w:r w:rsidR="005322B7">
        <w:rPr>
          <w:rFonts w:ascii="Georgia" w:hAnsi="Georgia"/>
          <w:sz w:val="20"/>
          <w:szCs w:val="20"/>
        </w:rPr>
        <w:t xml:space="preserve">show the difference between </w:t>
      </w:r>
      <w:r w:rsidR="001D0669">
        <w:rPr>
          <w:rFonts w:ascii="Georgia" w:hAnsi="Georgia"/>
          <w:sz w:val="20"/>
          <w:szCs w:val="20"/>
        </w:rPr>
        <w:t xml:space="preserve">the </w:t>
      </w:r>
      <w:r w:rsidR="009226FD">
        <w:rPr>
          <w:rFonts w:ascii="Georgia" w:hAnsi="Georgia"/>
          <w:sz w:val="20"/>
          <w:szCs w:val="20"/>
        </w:rPr>
        <w:t>soci</w:t>
      </w:r>
      <w:r w:rsidR="001936A9">
        <w:rPr>
          <w:rFonts w:ascii="Georgia" w:hAnsi="Georgia"/>
          <w:sz w:val="20"/>
          <w:szCs w:val="20"/>
        </w:rPr>
        <w:t>etal norms surrounding the original in comparison to the revision, and just highlights how a myth can be a product of its time.</w:t>
      </w:r>
    </w:p>
    <w:p w14:paraId="56337B38" w14:textId="39FAF29E" w:rsidR="008E5E83" w:rsidRDefault="005C1DED">
      <w:pPr>
        <w:rPr>
          <w:rFonts w:ascii="Georgia" w:hAnsi="Georgia"/>
          <w:sz w:val="20"/>
          <w:szCs w:val="20"/>
        </w:rPr>
      </w:pPr>
      <w:r>
        <w:rPr>
          <w:rFonts w:ascii="Georgia" w:hAnsi="Georgia"/>
          <w:sz w:val="20"/>
          <w:szCs w:val="20"/>
        </w:rPr>
        <w:t xml:space="preserve">When discussing myths as a product of time and place, </w:t>
      </w:r>
      <w:r w:rsidR="00B574F3">
        <w:rPr>
          <w:rFonts w:ascii="Georgia" w:hAnsi="Georgia"/>
          <w:sz w:val="20"/>
          <w:szCs w:val="20"/>
        </w:rPr>
        <w:t>the Aeneid is a perfect example</w:t>
      </w:r>
      <w:r w:rsidR="00B21CDD">
        <w:rPr>
          <w:rFonts w:ascii="Georgia" w:hAnsi="Georgia"/>
          <w:sz w:val="20"/>
          <w:szCs w:val="20"/>
        </w:rPr>
        <w:t xml:space="preserve">, as </w:t>
      </w:r>
      <w:r w:rsidR="00D140D9">
        <w:rPr>
          <w:rFonts w:ascii="Georgia" w:hAnsi="Georgia"/>
          <w:sz w:val="20"/>
          <w:szCs w:val="20"/>
        </w:rPr>
        <w:t xml:space="preserve">the very basis of the epic relies upon the </w:t>
      </w:r>
      <w:r w:rsidR="00CC5A36">
        <w:rPr>
          <w:rFonts w:ascii="Georgia" w:hAnsi="Georgia"/>
          <w:sz w:val="20"/>
          <w:szCs w:val="20"/>
        </w:rPr>
        <w:t xml:space="preserve">ancient </w:t>
      </w:r>
      <w:r w:rsidR="000F10A6">
        <w:rPr>
          <w:rFonts w:ascii="Georgia" w:hAnsi="Georgia"/>
          <w:sz w:val="20"/>
          <w:szCs w:val="20"/>
        </w:rPr>
        <w:t>R</w:t>
      </w:r>
      <w:r w:rsidR="00CC5A36">
        <w:rPr>
          <w:rFonts w:ascii="Georgia" w:hAnsi="Georgia"/>
          <w:sz w:val="20"/>
          <w:szCs w:val="20"/>
        </w:rPr>
        <w:t>oman (and Greek) idea that the gods were ever-present, and ever-involved with the lives of m</w:t>
      </w:r>
      <w:r w:rsidR="000F10A6">
        <w:rPr>
          <w:rFonts w:ascii="Georgia" w:hAnsi="Georgia"/>
          <w:sz w:val="20"/>
          <w:szCs w:val="20"/>
        </w:rPr>
        <w:t>e</w:t>
      </w:r>
      <w:r w:rsidR="00CC5A36">
        <w:rPr>
          <w:rFonts w:ascii="Georgia" w:hAnsi="Georgia"/>
          <w:sz w:val="20"/>
          <w:szCs w:val="20"/>
        </w:rPr>
        <w:t xml:space="preserve">n. </w:t>
      </w:r>
      <w:r w:rsidR="00A419CD">
        <w:rPr>
          <w:rFonts w:ascii="Georgia" w:hAnsi="Georgia"/>
          <w:sz w:val="20"/>
          <w:szCs w:val="20"/>
        </w:rPr>
        <w:t xml:space="preserve">Not only gods, but prophecy too, is explored as a theme in the Aeneid. The epic was written somewhere between </w:t>
      </w:r>
      <w:r w:rsidR="00032244">
        <w:rPr>
          <w:rFonts w:ascii="Georgia" w:hAnsi="Georgia"/>
          <w:sz w:val="20"/>
          <w:szCs w:val="20"/>
        </w:rPr>
        <w:t xml:space="preserve">29 and 19 BC </w:t>
      </w:r>
      <w:r w:rsidR="007A491F">
        <w:rPr>
          <w:rFonts w:ascii="Georgia" w:hAnsi="Georgia"/>
          <w:sz w:val="20"/>
          <w:szCs w:val="20"/>
        </w:rPr>
        <w:t xml:space="preserve">but set as an origin story for Rome, and as such Vergil </w:t>
      </w:r>
      <w:r w:rsidR="00161A79">
        <w:rPr>
          <w:rFonts w:ascii="Georgia" w:hAnsi="Georgia"/>
          <w:sz w:val="20"/>
          <w:szCs w:val="20"/>
        </w:rPr>
        <w:t>was able to use</w:t>
      </w:r>
      <w:r w:rsidR="007A491F">
        <w:rPr>
          <w:rFonts w:ascii="Georgia" w:hAnsi="Georgia"/>
          <w:sz w:val="20"/>
          <w:szCs w:val="20"/>
        </w:rPr>
        <w:t xml:space="preserve"> his knowledge of </w:t>
      </w:r>
      <w:r w:rsidR="00161A79">
        <w:rPr>
          <w:rFonts w:ascii="Georgia" w:hAnsi="Georgia"/>
          <w:sz w:val="20"/>
          <w:szCs w:val="20"/>
        </w:rPr>
        <w:t xml:space="preserve">Roman history to create </w:t>
      </w:r>
      <w:r w:rsidR="00DB6216">
        <w:rPr>
          <w:rFonts w:ascii="Georgia" w:hAnsi="Georgia"/>
          <w:sz w:val="20"/>
          <w:szCs w:val="20"/>
        </w:rPr>
        <w:t xml:space="preserve">accurate prophecy within the tale that seem to validate </w:t>
      </w:r>
      <w:r w:rsidR="001877D1">
        <w:rPr>
          <w:rFonts w:ascii="Georgia" w:hAnsi="Georgia"/>
          <w:sz w:val="20"/>
          <w:szCs w:val="20"/>
        </w:rPr>
        <w:t>it’s claims. Queen Dido’s dying curse upon her lover, Aeneas, is a prime example of this:</w:t>
      </w:r>
    </w:p>
    <w:p w14:paraId="186C19F4" w14:textId="4CD04C88" w:rsidR="00556271" w:rsidRPr="00556271" w:rsidRDefault="00556271" w:rsidP="00556271">
      <w:pPr>
        <w:ind w:left="720"/>
        <w:rPr>
          <w:rFonts w:ascii="Georgia" w:hAnsi="Georgia"/>
          <w:sz w:val="16"/>
          <w:szCs w:val="16"/>
        </w:rPr>
      </w:pPr>
      <w:r w:rsidRPr="00556271">
        <w:rPr>
          <w:rFonts w:ascii="Georgia" w:hAnsi="Georgia"/>
          <w:sz w:val="16"/>
          <w:szCs w:val="16"/>
        </w:rPr>
        <w:t>“As for you, my Tyrians, you must pursue with hatred the whole line of his descendants in time to come. Make that your offering to my shade. Let there be no love between our peoples and no treaties. Arise from my dead bones, O my unknown avenger, and harry the race of Dardanus with fire and sword wherever they may settle, now and in the future, whenever our strength allows it. I pray that we may stand opposed, shore against shore, sea against sea and sword against sword. Let there be war between the nations and between their sons forever.”</w:t>
      </w:r>
      <w:r w:rsidR="007017A8">
        <w:rPr>
          <w:rFonts w:ascii="Georgia" w:hAnsi="Georgia"/>
          <w:sz w:val="16"/>
          <w:szCs w:val="16"/>
        </w:rPr>
        <w:t xml:space="preserve"> </w:t>
      </w:r>
      <w:sdt>
        <w:sdtPr>
          <w:rPr>
            <w:rFonts w:ascii="Georgia" w:hAnsi="Georgia"/>
            <w:sz w:val="16"/>
            <w:szCs w:val="16"/>
          </w:rPr>
          <w:id w:val="1520271351"/>
          <w:citation/>
        </w:sdtPr>
        <w:sdtEndPr/>
        <w:sdtContent>
          <w:r w:rsidR="007017A8">
            <w:rPr>
              <w:rFonts w:ascii="Georgia" w:hAnsi="Georgia"/>
              <w:sz w:val="16"/>
              <w:szCs w:val="16"/>
            </w:rPr>
            <w:fldChar w:fldCharType="begin"/>
          </w:r>
          <w:r w:rsidR="007017A8">
            <w:rPr>
              <w:rFonts w:ascii="Georgia" w:hAnsi="Georgia"/>
              <w:sz w:val="16"/>
              <w:szCs w:val="16"/>
            </w:rPr>
            <w:instrText xml:space="preserve"> CITATION Ver \l 2057 </w:instrText>
          </w:r>
          <w:r w:rsidR="007017A8">
            <w:rPr>
              <w:rFonts w:ascii="Georgia" w:hAnsi="Georgia"/>
              <w:sz w:val="16"/>
              <w:szCs w:val="16"/>
            </w:rPr>
            <w:fldChar w:fldCharType="separate"/>
          </w:r>
          <w:r w:rsidR="00617774" w:rsidRPr="00617774">
            <w:rPr>
              <w:rFonts w:ascii="Georgia" w:hAnsi="Georgia"/>
              <w:noProof/>
              <w:sz w:val="16"/>
              <w:szCs w:val="16"/>
            </w:rPr>
            <w:t>(Vergil)</w:t>
          </w:r>
          <w:r w:rsidR="007017A8">
            <w:rPr>
              <w:rFonts w:ascii="Georgia" w:hAnsi="Georgia"/>
              <w:sz w:val="16"/>
              <w:szCs w:val="16"/>
            </w:rPr>
            <w:fldChar w:fldCharType="end"/>
          </w:r>
        </w:sdtContent>
      </w:sdt>
    </w:p>
    <w:p w14:paraId="7E803B33" w14:textId="32562184" w:rsidR="00556271" w:rsidRDefault="001877D1">
      <w:pPr>
        <w:rPr>
          <w:rFonts w:ascii="Georgia" w:hAnsi="Georgia"/>
          <w:sz w:val="20"/>
          <w:szCs w:val="20"/>
        </w:rPr>
      </w:pPr>
      <w:r>
        <w:rPr>
          <w:rFonts w:ascii="Georgia" w:hAnsi="Georgia"/>
          <w:sz w:val="20"/>
          <w:szCs w:val="20"/>
        </w:rPr>
        <w:lastRenderedPageBreak/>
        <w:t xml:space="preserve">Being that </w:t>
      </w:r>
      <w:r w:rsidR="00CB5F45">
        <w:rPr>
          <w:rFonts w:ascii="Georgia" w:hAnsi="Georgia"/>
          <w:sz w:val="20"/>
          <w:szCs w:val="20"/>
        </w:rPr>
        <w:t>“</w:t>
      </w:r>
      <w:r>
        <w:rPr>
          <w:rFonts w:ascii="Georgia" w:hAnsi="Georgia"/>
          <w:sz w:val="20"/>
          <w:szCs w:val="20"/>
        </w:rPr>
        <w:t>Tyrians</w:t>
      </w:r>
      <w:r w:rsidR="00CB5F45">
        <w:rPr>
          <w:rFonts w:ascii="Georgia" w:hAnsi="Georgia"/>
          <w:sz w:val="20"/>
          <w:szCs w:val="20"/>
        </w:rPr>
        <w:t>”</w:t>
      </w:r>
      <w:r>
        <w:rPr>
          <w:rFonts w:ascii="Georgia" w:hAnsi="Georgia"/>
          <w:sz w:val="20"/>
          <w:szCs w:val="20"/>
        </w:rPr>
        <w:t xml:space="preserve"> is used here to describe the people of early Carthage, and </w:t>
      </w:r>
      <w:r w:rsidR="00CB5F45">
        <w:rPr>
          <w:rFonts w:ascii="Georgia" w:hAnsi="Georgia"/>
          <w:sz w:val="20"/>
          <w:szCs w:val="20"/>
        </w:rPr>
        <w:t xml:space="preserve">“race of Dardanus” </w:t>
      </w:r>
      <w:r w:rsidR="00DC3C36">
        <w:rPr>
          <w:rFonts w:ascii="Georgia" w:hAnsi="Georgia"/>
          <w:sz w:val="20"/>
          <w:szCs w:val="20"/>
        </w:rPr>
        <w:t xml:space="preserve">refers to Aeneas’ people (Dardanus being the first king of Troy, and Aeneas himself being </w:t>
      </w:r>
      <w:r w:rsidR="00C959FB">
        <w:rPr>
          <w:rFonts w:ascii="Georgia" w:hAnsi="Georgia"/>
          <w:sz w:val="20"/>
          <w:szCs w:val="20"/>
        </w:rPr>
        <w:t>a rare survivor from the Trojan war), this prophetic declaration from Dido is confirmed to be true when</w:t>
      </w:r>
      <w:r w:rsidR="0086390C">
        <w:rPr>
          <w:rFonts w:ascii="Georgia" w:hAnsi="Georgia"/>
          <w:sz w:val="20"/>
          <w:szCs w:val="20"/>
        </w:rPr>
        <w:t>, in 264 BC</w:t>
      </w:r>
      <w:r w:rsidR="00E138C3">
        <w:rPr>
          <w:rFonts w:ascii="Georgia" w:hAnsi="Georgia"/>
          <w:sz w:val="20"/>
          <w:szCs w:val="20"/>
        </w:rPr>
        <w:t xml:space="preserve"> the first Punic war breaks out. There would be </w:t>
      </w:r>
      <w:r w:rsidR="00000FE2">
        <w:rPr>
          <w:rFonts w:ascii="Georgia" w:hAnsi="Georgia"/>
          <w:sz w:val="20"/>
          <w:szCs w:val="20"/>
        </w:rPr>
        <w:t xml:space="preserve">2 </w:t>
      </w:r>
      <w:r w:rsidR="00F411DB">
        <w:rPr>
          <w:rFonts w:ascii="Georgia" w:hAnsi="Georgia"/>
          <w:sz w:val="20"/>
          <w:szCs w:val="20"/>
        </w:rPr>
        <w:t xml:space="preserve">more such wars to come between Carthage and Rome, </w:t>
      </w:r>
      <w:r w:rsidR="00A04289">
        <w:rPr>
          <w:rFonts w:ascii="Georgia" w:hAnsi="Georgia"/>
          <w:sz w:val="20"/>
          <w:szCs w:val="20"/>
        </w:rPr>
        <w:t xml:space="preserve">and by Vergil using this truth to his advantage, he creates an origin story for the enmity between the states. </w:t>
      </w:r>
      <w:r w:rsidR="00513D39">
        <w:rPr>
          <w:rFonts w:ascii="Georgia" w:hAnsi="Georgia"/>
          <w:sz w:val="20"/>
          <w:szCs w:val="20"/>
        </w:rPr>
        <w:t xml:space="preserve"> </w:t>
      </w:r>
    </w:p>
    <w:p w14:paraId="00F3C71F" w14:textId="194DA006" w:rsidR="00C118CF" w:rsidRDefault="00C118CF">
      <w:pPr>
        <w:rPr>
          <w:rFonts w:ascii="Georgia" w:hAnsi="Georgia"/>
          <w:sz w:val="20"/>
          <w:szCs w:val="20"/>
        </w:rPr>
      </w:pPr>
      <w:r>
        <w:rPr>
          <w:rFonts w:ascii="Georgia" w:hAnsi="Georgia"/>
          <w:sz w:val="20"/>
          <w:szCs w:val="20"/>
        </w:rPr>
        <w:t xml:space="preserve">Throughout the story, Aeneas is seen to receive help from </w:t>
      </w:r>
      <w:r w:rsidR="005946D6">
        <w:rPr>
          <w:rFonts w:ascii="Georgia" w:hAnsi="Georgia"/>
          <w:sz w:val="20"/>
          <w:szCs w:val="20"/>
        </w:rPr>
        <w:t xml:space="preserve">Juno, Jove, Neptune, Hermes and Vulcan, creating this perception that a hero with a good cause will always be aided by the gods, or by </w:t>
      </w:r>
      <w:r w:rsidR="00DC30FF">
        <w:rPr>
          <w:rFonts w:ascii="Georgia" w:hAnsi="Georgia"/>
          <w:sz w:val="20"/>
          <w:szCs w:val="20"/>
        </w:rPr>
        <w:t xml:space="preserve">powers out of their control. </w:t>
      </w:r>
      <w:r w:rsidR="00424D48">
        <w:rPr>
          <w:rFonts w:ascii="Georgia" w:hAnsi="Georgia"/>
          <w:sz w:val="20"/>
          <w:szCs w:val="20"/>
        </w:rPr>
        <w:t xml:space="preserve">Vulcan’s gift to Aeneas act as more than a sign he is favoured by the gods, but also as a chance for </w:t>
      </w:r>
      <w:r w:rsidR="00746530">
        <w:rPr>
          <w:rFonts w:ascii="Georgia" w:hAnsi="Georgia"/>
          <w:sz w:val="20"/>
          <w:szCs w:val="20"/>
        </w:rPr>
        <w:t>Vergil to glorify some of Rome’s history:</w:t>
      </w:r>
      <w:r w:rsidR="00DC30FF">
        <w:rPr>
          <w:rFonts w:ascii="Georgia" w:hAnsi="Georgia"/>
          <w:sz w:val="20"/>
          <w:szCs w:val="20"/>
        </w:rPr>
        <w:t xml:space="preserve"> </w:t>
      </w:r>
    </w:p>
    <w:p w14:paraId="03497BA2" w14:textId="3AD5774E" w:rsidR="00C118CF" w:rsidRPr="00C118CF" w:rsidRDefault="00C118CF" w:rsidP="00C118CF">
      <w:pPr>
        <w:ind w:left="720"/>
        <w:rPr>
          <w:rFonts w:ascii="Georgia" w:hAnsi="Georgia"/>
          <w:sz w:val="16"/>
          <w:szCs w:val="16"/>
        </w:rPr>
      </w:pPr>
      <w:r w:rsidRPr="00D7677F">
        <w:rPr>
          <w:rFonts w:ascii="Georgia" w:hAnsi="Georgia"/>
          <w:sz w:val="16"/>
          <w:szCs w:val="16"/>
        </w:rPr>
        <w:t xml:space="preserve">“…the shield beyond all words to describe. There the God of Fire, with his knowledge of the prophets and of the time that was to be, had laid out the story of Italy and the triumphs of the Romans, and there in the order were all the generations that would spring from Ascanius and all the wars they would fight.” </w:t>
      </w:r>
      <w:sdt>
        <w:sdtPr>
          <w:rPr>
            <w:rFonts w:ascii="Georgia" w:hAnsi="Georgia"/>
            <w:sz w:val="16"/>
            <w:szCs w:val="16"/>
          </w:rPr>
          <w:id w:val="460010302"/>
          <w:citation/>
        </w:sdtPr>
        <w:sdtEndPr/>
        <w:sdtContent>
          <w:r w:rsidR="007017A8">
            <w:rPr>
              <w:rFonts w:ascii="Georgia" w:hAnsi="Georgia"/>
              <w:sz w:val="16"/>
              <w:szCs w:val="16"/>
            </w:rPr>
            <w:fldChar w:fldCharType="begin"/>
          </w:r>
          <w:r w:rsidR="007017A8">
            <w:rPr>
              <w:rFonts w:ascii="Georgia" w:hAnsi="Georgia"/>
              <w:sz w:val="16"/>
              <w:szCs w:val="16"/>
            </w:rPr>
            <w:instrText xml:space="preserve"> CITATION Ver \l 2057 </w:instrText>
          </w:r>
          <w:r w:rsidR="007017A8">
            <w:rPr>
              <w:rFonts w:ascii="Georgia" w:hAnsi="Georgia"/>
              <w:sz w:val="16"/>
              <w:szCs w:val="16"/>
            </w:rPr>
            <w:fldChar w:fldCharType="separate"/>
          </w:r>
          <w:r w:rsidR="00617774" w:rsidRPr="00617774">
            <w:rPr>
              <w:rFonts w:ascii="Georgia" w:hAnsi="Georgia"/>
              <w:noProof/>
              <w:sz w:val="16"/>
              <w:szCs w:val="16"/>
            </w:rPr>
            <w:t>(Vergil)</w:t>
          </w:r>
          <w:r w:rsidR="007017A8">
            <w:rPr>
              <w:rFonts w:ascii="Georgia" w:hAnsi="Georgia"/>
              <w:sz w:val="16"/>
              <w:szCs w:val="16"/>
            </w:rPr>
            <w:fldChar w:fldCharType="end"/>
          </w:r>
        </w:sdtContent>
      </w:sdt>
    </w:p>
    <w:p w14:paraId="2F0749C2" w14:textId="17EC701F" w:rsidR="005C1DED" w:rsidRDefault="00513D39">
      <w:pPr>
        <w:rPr>
          <w:rFonts w:ascii="Georgia" w:hAnsi="Georgia"/>
          <w:sz w:val="20"/>
          <w:szCs w:val="20"/>
        </w:rPr>
      </w:pPr>
      <w:r>
        <w:rPr>
          <w:rFonts w:ascii="Georgia" w:hAnsi="Georgia"/>
          <w:sz w:val="20"/>
          <w:szCs w:val="20"/>
        </w:rPr>
        <w:t xml:space="preserve">Homer employed this tactic </w:t>
      </w:r>
      <w:r w:rsidR="003F451E">
        <w:rPr>
          <w:rFonts w:ascii="Georgia" w:hAnsi="Georgia"/>
          <w:sz w:val="20"/>
          <w:szCs w:val="20"/>
        </w:rPr>
        <w:t xml:space="preserve">much before Vergil, in both the Iliad and Odyssey, which take place around the same time as the </w:t>
      </w:r>
      <w:r w:rsidR="00AE6C97">
        <w:rPr>
          <w:rFonts w:ascii="Georgia" w:hAnsi="Georgia"/>
          <w:sz w:val="20"/>
          <w:szCs w:val="20"/>
        </w:rPr>
        <w:t xml:space="preserve">Aeneid, and the use of gods as active characters in these myths is not </w:t>
      </w:r>
      <w:r w:rsidR="009F0A71">
        <w:rPr>
          <w:rFonts w:ascii="Georgia" w:hAnsi="Georgia"/>
          <w:sz w:val="20"/>
          <w:szCs w:val="20"/>
        </w:rPr>
        <w:t xml:space="preserve">uncommon. </w:t>
      </w:r>
      <w:r w:rsidR="00CB6894">
        <w:rPr>
          <w:rFonts w:ascii="Georgia" w:hAnsi="Georgia"/>
          <w:sz w:val="20"/>
          <w:szCs w:val="20"/>
        </w:rPr>
        <w:t>“</w:t>
      </w:r>
      <w:r w:rsidR="00CB6894" w:rsidRPr="00CB6894">
        <w:rPr>
          <w:rFonts w:ascii="Georgia" w:hAnsi="Georgia"/>
          <w:sz w:val="20"/>
          <w:szCs w:val="20"/>
        </w:rPr>
        <w:t>Divine interventions were a traditional staple of epic, conferring status upon the human events portrayed and evoking a world where gods and men were closer to one anot</w:t>
      </w:r>
      <w:r w:rsidR="00CB6894">
        <w:rPr>
          <w:rFonts w:ascii="Georgia" w:hAnsi="Georgia"/>
          <w:sz w:val="20"/>
          <w:szCs w:val="20"/>
        </w:rPr>
        <w:t>her.”</w:t>
      </w:r>
      <w:r w:rsidR="00C3197E">
        <w:rPr>
          <w:rFonts w:ascii="Georgia" w:hAnsi="Georgia"/>
          <w:sz w:val="20"/>
          <w:szCs w:val="20"/>
        </w:rPr>
        <w:t xml:space="preserve"> </w:t>
      </w:r>
      <w:sdt>
        <w:sdtPr>
          <w:rPr>
            <w:rFonts w:ascii="Georgia" w:hAnsi="Georgia"/>
            <w:sz w:val="20"/>
            <w:szCs w:val="20"/>
          </w:rPr>
          <w:id w:val="1862463423"/>
          <w:citation/>
        </w:sdtPr>
        <w:sdtEndPr/>
        <w:sdtContent>
          <w:r w:rsidR="00C3197E">
            <w:rPr>
              <w:rFonts w:ascii="Georgia" w:hAnsi="Georgia"/>
              <w:sz w:val="20"/>
              <w:szCs w:val="20"/>
            </w:rPr>
            <w:fldChar w:fldCharType="begin"/>
          </w:r>
          <w:r w:rsidR="00C3197E">
            <w:rPr>
              <w:rFonts w:ascii="Georgia" w:hAnsi="Georgia"/>
              <w:sz w:val="20"/>
              <w:szCs w:val="20"/>
            </w:rPr>
            <w:instrText xml:space="preserve"> CITATION Col82 \l 2057 </w:instrText>
          </w:r>
          <w:r w:rsidR="00C3197E">
            <w:rPr>
              <w:rFonts w:ascii="Georgia" w:hAnsi="Georgia"/>
              <w:sz w:val="20"/>
              <w:szCs w:val="20"/>
            </w:rPr>
            <w:fldChar w:fldCharType="separate"/>
          </w:r>
          <w:r w:rsidR="00617774" w:rsidRPr="00617774">
            <w:rPr>
              <w:rFonts w:ascii="Georgia" w:hAnsi="Georgia"/>
              <w:noProof/>
              <w:sz w:val="20"/>
              <w:szCs w:val="20"/>
            </w:rPr>
            <w:t>(Coleman, 1982)</w:t>
          </w:r>
          <w:r w:rsidR="00C3197E">
            <w:rPr>
              <w:rFonts w:ascii="Georgia" w:hAnsi="Georgia"/>
              <w:sz w:val="20"/>
              <w:szCs w:val="20"/>
            </w:rPr>
            <w:fldChar w:fldCharType="end"/>
          </w:r>
        </w:sdtContent>
      </w:sdt>
      <w:r w:rsidR="009F0A71">
        <w:rPr>
          <w:rFonts w:ascii="Georgia" w:hAnsi="Georgia"/>
          <w:sz w:val="20"/>
          <w:szCs w:val="20"/>
        </w:rPr>
        <w:t xml:space="preserve"> This </w:t>
      </w:r>
      <w:r w:rsidR="00D35662">
        <w:rPr>
          <w:rFonts w:ascii="Georgia" w:hAnsi="Georgia"/>
          <w:sz w:val="20"/>
          <w:szCs w:val="20"/>
        </w:rPr>
        <w:t xml:space="preserve">shows the myth to be a product of the Ancient world, where Gods were </w:t>
      </w:r>
      <w:r w:rsidR="00A527FD">
        <w:rPr>
          <w:rFonts w:ascii="Georgia" w:hAnsi="Georgia"/>
          <w:sz w:val="20"/>
          <w:szCs w:val="20"/>
        </w:rPr>
        <w:t>understood to play a huge role in any persons daily life</w:t>
      </w:r>
      <w:r w:rsidR="0058548C">
        <w:rPr>
          <w:rFonts w:ascii="Georgia" w:hAnsi="Georgia"/>
          <w:sz w:val="20"/>
          <w:szCs w:val="20"/>
        </w:rPr>
        <w:t xml:space="preserve"> rather than distant and omn</w:t>
      </w:r>
      <w:r w:rsidR="001569C6">
        <w:rPr>
          <w:rFonts w:ascii="Georgia" w:hAnsi="Georgia"/>
          <w:sz w:val="20"/>
          <w:szCs w:val="20"/>
        </w:rPr>
        <w:t xml:space="preserve">iscient </w:t>
      </w:r>
      <w:r w:rsidR="00A364D4">
        <w:rPr>
          <w:rFonts w:ascii="Georgia" w:hAnsi="Georgia"/>
          <w:sz w:val="20"/>
          <w:szCs w:val="20"/>
        </w:rPr>
        <w:t xml:space="preserve">as the later Christian god would appear to be. </w:t>
      </w:r>
    </w:p>
    <w:p w14:paraId="2204DE3A" w14:textId="3A027C2C" w:rsidR="00D021F5" w:rsidRDefault="00D021F5">
      <w:pPr>
        <w:rPr>
          <w:rFonts w:ascii="Georgia" w:hAnsi="Georgia"/>
          <w:sz w:val="20"/>
          <w:szCs w:val="20"/>
        </w:rPr>
      </w:pPr>
      <w:r>
        <w:rPr>
          <w:rFonts w:ascii="Georgia" w:hAnsi="Georgia"/>
          <w:sz w:val="20"/>
          <w:szCs w:val="20"/>
        </w:rPr>
        <w:t xml:space="preserve">The Aeneid plays a vital role in </w:t>
      </w:r>
      <w:r w:rsidR="008A5A0E">
        <w:rPr>
          <w:rFonts w:ascii="Georgia" w:hAnsi="Georgia"/>
          <w:sz w:val="20"/>
          <w:szCs w:val="20"/>
        </w:rPr>
        <w:t>politics of it’s day too, acting as propaganda for the Emperor Augustus, who commissioned the epic from Vergil</w:t>
      </w:r>
      <w:r w:rsidR="008E5E83">
        <w:rPr>
          <w:rFonts w:ascii="Georgia" w:hAnsi="Georgia"/>
          <w:sz w:val="20"/>
          <w:szCs w:val="20"/>
        </w:rPr>
        <w:t xml:space="preserve">. </w:t>
      </w:r>
      <w:r w:rsidR="00BA4060">
        <w:rPr>
          <w:rFonts w:ascii="Georgia" w:hAnsi="Georgia"/>
          <w:sz w:val="20"/>
          <w:szCs w:val="20"/>
        </w:rPr>
        <w:t xml:space="preserve">The myth </w:t>
      </w:r>
      <w:r w:rsidR="00E335A2">
        <w:rPr>
          <w:rFonts w:ascii="Georgia" w:hAnsi="Georgia"/>
          <w:sz w:val="20"/>
          <w:szCs w:val="20"/>
        </w:rPr>
        <w:t xml:space="preserve">not-so-subtly </w:t>
      </w:r>
      <w:r w:rsidR="00501253">
        <w:rPr>
          <w:rFonts w:ascii="Georgia" w:hAnsi="Georgia"/>
          <w:sz w:val="20"/>
          <w:szCs w:val="20"/>
        </w:rPr>
        <w:t xml:space="preserve">pushes Augustus’ godly attributes, </w:t>
      </w:r>
      <w:r w:rsidR="00786EAF">
        <w:rPr>
          <w:rFonts w:ascii="Georgia" w:hAnsi="Georgia"/>
          <w:sz w:val="20"/>
          <w:szCs w:val="20"/>
        </w:rPr>
        <w:t>writing prophecy about how great a leader he will be, and how his rule will bring about with it a ‘golden age’:</w:t>
      </w:r>
    </w:p>
    <w:p w14:paraId="1CEDD5D8" w14:textId="24097C7B" w:rsidR="00AD1432" w:rsidRDefault="00AD1432" w:rsidP="000801FD">
      <w:pPr>
        <w:ind w:left="720"/>
        <w:rPr>
          <w:rFonts w:ascii="Georgia" w:hAnsi="Georgia"/>
          <w:sz w:val="16"/>
          <w:szCs w:val="16"/>
        </w:rPr>
      </w:pPr>
      <w:r w:rsidRPr="00D7677F">
        <w:rPr>
          <w:rFonts w:ascii="Georgia" w:hAnsi="Georgia"/>
          <w:sz w:val="16"/>
          <w:szCs w:val="16"/>
        </w:rPr>
        <w:t>“Here is the man whose coming you so often hear prophesised, here he is, Augustus Caesar, son of a god, the man who will bring back the golden years to the fields of Latium once ruled over by Saturn, and extended Rome’s empire beyond the Indians and the Garamantes to a land beyond the stars, beyond the yearly path of the sun, where Atlas holds on his shoulder the sky all studded with burning stars and turns it on its axis.”</w:t>
      </w:r>
      <w:sdt>
        <w:sdtPr>
          <w:rPr>
            <w:rFonts w:ascii="Georgia" w:hAnsi="Georgia"/>
            <w:sz w:val="16"/>
            <w:szCs w:val="16"/>
          </w:rPr>
          <w:id w:val="-505903427"/>
          <w:citation/>
        </w:sdtPr>
        <w:sdtEndPr/>
        <w:sdtContent>
          <w:r w:rsidR="00B75339">
            <w:rPr>
              <w:rFonts w:ascii="Georgia" w:hAnsi="Georgia"/>
              <w:sz w:val="16"/>
              <w:szCs w:val="16"/>
            </w:rPr>
            <w:fldChar w:fldCharType="begin"/>
          </w:r>
          <w:r w:rsidR="00B75339">
            <w:rPr>
              <w:rFonts w:ascii="Georgia" w:hAnsi="Georgia"/>
              <w:sz w:val="16"/>
              <w:szCs w:val="16"/>
            </w:rPr>
            <w:instrText xml:space="preserve"> CITATION Ver \l 2057 </w:instrText>
          </w:r>
          <w:r w:rsidR="00B75339">
            <w:rPr>
              <w:rFonts w:ascii="Georgia" w:hAnsi="Georgia"/>
              <w:sz w:val="16"/>
              <w:szCs w:val="16"/>
            </w:rPr>
            <w:fldChar w:fldCharType="separate"/>
          </w:r>
          <w:r w:rsidR="00617774">
            <w:rPr>
              <w:rFonts w:ascii="Georgia" w:hAnsi="Georgia"/>
              <w:noProof/>
              <w:sz w:val="16"/>
              <w:szCs w:val="16"/>
            </w:rPr>
            <w:t xml:space="preserve"> </w:t>
          </w:r>
          <w:r w:rsidR="00617774" w:rsidRPr="00617774">
            <w:rPr>
              <w:rFonts w:ascii="Georgia" w:hAnsi="Georgia"/>
              <w:noProof/>
              <w:sz w:val="16"/>
              <w:szCs w:val="16"/>
            </w:rPr>
            <w:t>(Vergil)</w:t>
          </w:r>
          <w:r w:rsidR="00B75339">
            <w:rPr>
              <w:rFonts w:ascii="Georgia" w:hAnsi="Georgia"/>
              <w:sz w:val="16"/>
              <w:szCs w:val="16"/>
            </w:rPr>
            <w:fldChar w:fldCharType="end"/>
          </w:r>
        </w:sdtContent>
      </w:sdt>
    </w:p>
    <w:p w14:paraId="6F83C388" w14:textId="696193FD" w:rsidR="0038536E" w:rsidRPr="00617774" w:rsidRDefault="00786EAF" w:rsidP="00AD1432">
      <w:r>
        <w:rPr>
          <w:rFonts w:ascii="Georgia" w:hAnsi="Georgia"/>
          <w:sz w:val="20"/>
          <w:szCs w:val="20"/>
        </w:rPr>
        <w:t>Whether or not readers</w:t>
      </w:r>
      <w:r w:rsidR="002706C9">
        <w:rPr>
          <w:rFonts w:ascii="Georgia" w:hAnsi="Georgia"/>
          <w:sz w:val="20"/>
          <w:szCs w:val="20"/>
        </w:rPr>
        <w:t xml:space="preserve"> or </w:t>
      </w:r>
      <w:r w:rsidR="00D17D7A">
        <w:rPr>
          <w:rFonts w:ascii="Georgia" w:hAnsi="Georgia"/>
          <w:sz w:val="20"/>
          <w:szCs w:val="20"/>
        </w:rPr>
        <w:t xml:space="preserve">audiences (being that most stories were </w:t>
      </w:r>
      <w:r w:rsidR="001319B5">
        <w:rPr>
          <w:rFonts w:ascii="Georgia" w:hAnsi="Georgia"/>
          <w:sz w:val="20"/>
          <w:szCs w:val="20"/>
        </w:rPr>
        <w:t xml:space="preserve">shared </w:t>
      </w:r>
      <w:r w:rsidR="00D17D7A">
        <w:rPr>
          <w:rFonts w:ascii="Georgia" w:hAnsi="Georgia"/>
          <w:sz w:val="20"/>
          <w:szCs w:val="20"/>
        </w:rPr>
        <w:t>orally</w:t>
      </w:r>
      <w:r w:rsidR="001319B5">
        <w:rPr>
          <w:rFonts w:ascii="Georgia" w:hAnsi="Georgia"/>
          <w:sz w:val="20"/>
          <w:szCs w:val="20"/>
        </w:rPr>
        <w:t>)</w:t>
      </w:r>
      <w:r>
        <w:rPr>
          <w:rFonts w:ascii="Georgia" w:hAnsi="Georgia"/>
          <w:sz w:val="20"/>
          <w:szCs w:val="20"/>
        </w:rPr>
        <w:t xml:space="preserve"> </w:t>
      </w:r>
      <w:r w:rsidR="00D17D7A">
        <w:rPr>
          <w:rFonts w:ascii="Georgia" w:hAnsi="Georgia"/>
          <w:sz w:val="20"/>
          <w:szCs w:val="20"/>
        </w:rPr>
        <w:t xml:space="preserve">believed this prophecy to hold any truth is </w:t>
      </w:r>
      <w:r w:rsidR="001319B5">
        <w:rPr>
          <w:rFonts w:ascii="Georgia" w:hAnsi="Georgia"/>
          <w:sz w:val="20"/>
          <w:szCs w:val="20"/>
        </w:rPr>
        <w:t xml:space="preserve">somewhat </w:t>
      </w:r>
      <w:r w:rsidR="00D17D7A">
        <w:rPr>
          <w:rFonts w:ascii="Georgia" w:hAnsi="Georgia"/>
          <w:sz w:val="20"/>
          <w:szCs w:val="20"/>
        </w:rPr>
        <w:t>irrelevant</w:t>
      </w:r>
      <w:r w:rsidR="001319B5">
        <w:rPr>
          <w:rFonts w:ascii="Georgia" w:hAnsi="Georgia"/>
          <w:sz w:val="20"/>
          <w:szCs w:val="20"/>
        </w:rPr>
        <w:t xml:space="preserve"> as the fact that</w:t>
      </w:r>
      <w:r w:rsidR="002A2264">
        <w:rPr>
          <w:rFonts w:ascii="Georgia" w:hAnsi="Georgia"/>
          <w:sz w:val="20"/>
          <w:szCs w:val="20"/>
        </w:rPr>
        <w:t xml:space="preserve"> it has been written into their stories shows that </w:t>
      </w:r>
      <w:r w:rsidR="002706C9">
        <w:rPr>
          <w:rFonts w:ascii="Georgia" w:hAnsi="Georgia"/>
          <w:sz w:val="20"/>
          <w:szCs w:val="20"/>
        </w:rPr>
        <w:t>the Emperor</w:t>
      </w:r>
      <w:r w:rsidR="002A2264">
        <w:rPr>
          <w:rFonts w:ascii="Georgia" w:hAnsi="Georgia"/>
          <w:sz w:val="20"/>
          <w:szCs w:val="20"/>
        </w:rPr>
        <w:t xml:space="preserve"> believed this to be his best source of propaganda; this gives us an idea as to how popular </w:t>
      </w:r>
      <w:r w:rsidR="009C4FD1">
        <w:rPr>
          <w:rFonts w:ascii="Georgia" w:hAnsi="Georgia"/>
          <w:sz w:val="20"/>
          <w:szCs w:val="20"/>
        </w:rPr>
        <w:t>epics such as the Aeneid were, and how influential they were believed to be.</w:t>
      </w:r>
      <w:r w:rsidR="006D6CCB">
        <w:rPr>
          <w:rFonts w:ascii="Georgia" w:hAnsi="Georgia"/>
          <w:sz w:val="20"/>
          <w:szCs w:val="20"/>
        </w:rPr>
        <w:t xml:space="preserve"> </w:t>
      </w:r>
      <w:r w:rsidR="001A732A">
        <w:rPr>
          <w:rFonts w:ascii="Georgia" w:hAnsi="Georgia"/>
          <w:sz w:val="20"/>
          <w:szCs w:val="20"/>
        </w:rPr>
        <w:t>It is not only Augustus’ supposed connection with the gods that is</w:t>
      </w:r>
      <w:r w:rsidR="00D307AD">
        <w:rPr>
          <w:rFonts w:ascii="Georgia" w:hAnsi="Georgia"/>
          <w:sz w:val="20"/>
          <w:szCs w:val="20"/>
        </w:rPr>
        <w:t xml:space="preserve"> used </w:t>
      </w:r>
      <w:r w:rsidR="003271C8">
        <w:rPr>
          <w:rFonts w:ascii="Georgia" w:hAnsi="Georgia"/>
          <w:sz w:val="20"/>
          <w:szCs w:val="20"/>
        </w:rPr>
        <w:t>in the epic, but also his real history</w:t>
      </w:r>
      <w:r w:rsidR="00F618DE">
        <w:rPr>
          <w:rFonts w:ascii="Georgia" w:hAnsi="Georgia"/>
          <w:sz w:val="20"/>
          <w:szCs w:val="20"/>
        </w:rPr>
        <w:t xml:space="preserve">: the shield gifted to him by Vulcan bore engravings of Rome’s future, and </w:t>
      </w:r>
      <w:r w:rsidR="00AD1432" w:rsidRPr="009D7E95">
        <w:rPr>
          <w:rFonts w:ascii="Georgia" w:hAnsi="Georgia"/>
          <w:sz w:val="20"/>
          <w:szCs w:val="20"/>
        </w:rPr>
        <w:t>“In the middle were the bronze-armoured fleets at the battle of Actium”</w:t>
      </w:r>
      <w:r w:rsidR="007017A8">
        <w:rPr>
          <w:rFonts w:ascii="Georgia" w:hAnsi="Georgia"/>
          <w:sz w:val="20"/>
          <w:szCs w:val="20"/>
        </w:rPr>
        <w:t xml:space="preserve"> </w:t>
      </w:r>
      <w:sdt>
        <w:sdtPr>
          <w:rPr>
            <w:rFonts w:ascii="Georgia" w:hAnsi="Georgia"/>
            <w:sz w:val="20"/>
            <w:szCs w:val="20"/>
          </w:rPr>
          <w:id w:val="1497299629"/>
          <w:citation/>
        </w:sdtPr>
        <w:sdtEndPr/>
        <w:sdtContent>
          <w:r w:rsidR="007017A8">
            <w:rPr>
              <w:rFonts w:ascii="Georgia" w:hAnsi="Georgia"/>
              <w:sz w:val="20"/>
              <w:szCs w:val="20"/>
            </w:rPr>
            <w:fldChar w:fldCharType="begin"/>
          </w:r>
          <w:r w:rsidR="007017A8">
            <w:rPr>
              <w:rFonts w:ascii="Georgia" w:hAnsi="Georgia"/>
              <w:sz w:val="20"/>
              <w:szCs w:val="20"/>
            </w:rPr>
            <w:instrText xml:space="preserve"> CITATION Ver \l 2057 </w:instrText>
          </w:r>
          <w:r w:rsidR="007017A8">
            <w:rPr>
              <w:rFonts w:ascii="Georgia" w:hAnsi="Georgia"/>
              <w:sz w:val="20"/>
              <w:szCs w:val="20"/>
            </w:rPr>
            <w:fldChar w:fldCharType="separate"/>
          </w:r>
          <w:r w:rsidR="00617774" w:rsidRPr="00617774">
            <w:rPr>
              <w:rFonts w:ascii="Georgia" w:hAnsi="Georgia"/>
              <w:noProof/>
              <w:sz w:val="20"/>
              <w:szCs w:val="20"/>
            </w:rPr>
            <w:t>(Vergil)</w:t>
          </w:r>
          <w:r w:rsidR="007017A8">
            <w:rPr>
              <w:rFonts w:ascii="Georgia" w:hAnsi="Georgia"/>
              <w:sz w:val="20"/>
              <w:szCs w:val="20"/>
            </w:rPr>
            <w:fldChar w:fldCharType="end"/>
          </w:r>
        </w:sdtContent>
      </w:sdt>
      <w:r w:rsidR="00F618DE">
        <w:rPr>
          <w:rFonts w:ascii="Georgia" w:hAnsi="Georgia"/>
          <w:sz w:val="20"/>
          <w:szCs w:val="20"/>
        </w:rPr>
        <w:t xml:space="preserve"> signifying a </w:t>
      </w:r>
      <w:r w:rsidR="00EB4D1E">
        <w:rPr>
          <w:rFonts w:ascii="Georgia" w:hAnsi="Georgia"/>
          <w:sz w:val="20"/>
          <w:szCs w:val="20"/>
        </w:rPr>
        <w:t xml:space="preserve">heightened importance of this event. The event in question, the battle of Actium, was Augustus’ </w:t>
      </w:r>
      <w:r w:rsidR="007875FA">
        <w:rPr>
          <w:rFonts w:ascii="Georgia" w:hAnsi="Georgia"/>
          <w:sz w:val="20"/>
          <w:szCs w:val="20"/>
        </w:rPr>
        <w:t xml:space="preserve">most famous success; in the civil war against Anthony for control of Rome, this was the turning point in his favour, allowing him to take </w:t>
      </w:r>
      <w:r w:rsidR="004C13CA">
        <w:rPr>
          <w:rFonts w:ascii="Georgia" w:hAnsi="Georgia"/>
          <w:sz w:val="20"/>
          <w:szCs w:val="20"/>
        </w:rPr>
        <w:t xml:space="preserve">singular command as </w:t>
      </w:r>
      <w:r w:rsidR="00921AB4">
        <w:rPr>
          <w:rFonts w:ascii="Georgia" w:hAnsi="Georgia"/>
          <w:sz w:val="20"/>
          <w:szCs w:val="20"/>
        </w:rPr>
        <w:t xml:space="preserve">the </w:t>
      </w:r>
      <w:r w:rsidR="004C13CA">
        <w:rPr>
          <w:rFonts w:ascii="Georgia" w:hAnsi="Georgia"/>
          <w:sz w:val="20"/>
          <w:szCs w:val="20"/>
        </w:rPr>
        <w:t xml:space="preserve">Emperor </w:t>
      </w:r>
      <w:r w:rsidR="0038536E">
        <w:rPr>
          <w:rFonts w:ascii="Georgia" w:hAnsi="Georgia"/>
          <w:sz w:val="20"/>
          <w:szCs w:val="20"/>
        </w:rPr>
        <w:t xml:space="preserve">4 </w:t>
      </w:r>
      <w:r w:rsidR="004C13CA">
        <w:rPr>
          <w:rFonts w:ascii="Georgia" w:hAnsi="Georgia"/>
          <w:sz w:val="20"/>
          <w:szCs w:val="20"/>
        </w:rPr>
        <w:t>year</w:t>
      </w:r>
      <w:r w:rsidR="0038536E">
        <w:rPr>
          <w:rFonts w:ascii="Georgia" w:hAnsi="Georgia"/>
          <w:sz w:val="20"/>
          <w:szCs w:val="20"/>
        </w:rPr>
        <w:t>s</w:t>
      </w:r>
      <w:r w:rsidR="004C13CA">
        <w:rPr>
          <w:rFonts w:ascii="Georgia" w:hAnsi="Georgia"/>
          <w:sz w:val="20"/>
          <w:szCs w:val="20"/>
        </w:rPr>
        <w:t xml:space="preserve"> later</w:t>
      </w:r>
      <w:r w:rsidR="00617774">
        <w:rPr>
          <w:rFonts w:ascii="Georgia" w:hAnsi="Georgia"/>
          <w:sz w:val="20"/>
          <w:szCs w:val="20"/>
        </w:rPr>
        <w:t xml:space="preserve">: </w:t>
      </w:r>
      <w:r w:rsidR="00617774">
        <w:t xml:space="preserve">“the second </w:t>
      </w:r>
      <w:proofErr w:type="spellStart"/>
      <w:r w:rsidR="00617774">
        <w:t>Triumverate’s</w:t>
      </w:r>
      <w:proofErr w:type="spellEnd"/>
      <w:r w:rsidR="00617774">
        <w:t xml:space="preserve"> proscriptions were responsible for one of the most brutal periods in the entire history of Rome. More than 3000 members of the upper class were summarily executed.”</w:t>
      </w:r>
      <w:sdt>
        <w:sdtPr>
          <w:id w:val="1824547932"/>
          <w:citation/>
        </w:sdtPr>
        <w:sdtContent>
          <w:r w:rsidR="00617774">
            <w:fldChar w:fldCharType="begin"/>
          </w:r>
          <w:r w:rsidR="00617774">
            <w:instrText xml:space="preserve"> CITATION Dav13 \l 2057 </w:instrText>
          </w:r>
          <w:r w:rsidR="00617774">
            <w:fldChar w:fldCharType="separate"/>
          </w:r>
          <w:r w:rsidR="00617774">
            <w:rPr>
              <w:noProof/>
            </w:rPr>
            <w:t xml:space="preserve"> (Potter, 2013)</w:t>
          </w:r>
          <w:r w:rsidR="00617774">
            <w:fldChar w:fldCharType="end"/>
          </w:r>
        </w:sdtContent>
      </w:sdt>
    </w:p>
    <w:p w14:paraId="7590FDCD" w14:textId="7A6683F7" w:rsidR="003D7FF2" w:rsidRPr="009D7E95" w:rsidRDefault="00965456" w:rsidP="00AD1432">
      <w:pPr>
        <w:rPr>
          <w:rFonts w:ascii="Georgia" w:hAnsi="Georgia"/>
          <w:sz w:val="20"/>
          <w:szCs w:val="20"/>
        </w:rPr>
      </w:pPr>
      <w:r>
        <w:rPr>
          <w:rFonts w:ascii="Georgia" w:hAnsi="Georgia"/>
          <w:sz w:val="20"/>
          <w:szCs w:val="20"/>
        </w:rPr>
        <w:t>T</w:t>
      </w:r>
      <w:r w:rsidR="003D7FF2">
        <w:rPr>
          <w:rFonts w:ascii="Georgia" w:hAnsi="Georgia"/>
          <w:sz w:val="20"/>
          <w:szCs w:val="20"/>
        </w:rPr>
        <w:t xml:space="preserve">he Aeneid is a perfect </w:t>
      </w:r>
      <w:r>
        <w:rPr>
          <w:rFonts w:ascii="Georgia" w:hAnsi="Georgia"/>
          <w:sz w:val="20"/>
          <w:szCs w:val="20"/>
        </w:rPr>
        <w:t xml:space="preserve">example to draw upon when discussing the matter of Myths as a product of a time and place; it </w:t>
      </w:r>
      <w:r w:rsidR="00DE1B38">
        <w:rPr>
          <w:rFonts w:ascii="Georgia" w:hAnsi="Georgia"/>
          <w:sz w:val="20"/>
          <w:szCs w:val="20"/>
        </w:rPr>
        <w:t xml:space="preserve">is clear </w:t>
      </w:r>
      <w:r w:rsidR="007A4D49">
        <w:rPr>
          <w:rFonts w:ascii="Georgia" w:hAnsi="Georgia"/>
          <w:sz w:val="20"/>
          <w:szCs w:val="20"/>
        </w:rPr>
        <w:t xml:space="preserve">from </w:t>
      </w:r>
      <w:r w:rsidR="003D69EF">
        <w:rPr>
          <w:rFonts w:ascii="Georgia" w:hAnsi="Georgia"/>
          <w:sz w:val="20"/>
          <w:szCs w:val="20"/>
        </w:rPr>
        <w:t xml:space="preserve">Vergil’s writing, what </w:t>
      </w:r>
      <w:r w:rsidR="001403A0">
        <w:rPr>
          <w:rFonts w:ascii="Georgia" w:hAnsi="Georgia"/>
          <w:sz w:val="20"/>
          <w:szCs w:val="20"/>
        </w:rPr>
        <w:t xml:space="preserve">was valued by the society he was writing for – glory in war, respect and favour of the gods, </w:t>
      </w:r>
      <w:r w:rsidR="005D5D56">
        <w:rPr>
          <w:rFonts w:ascii="Georgia" w:hAnsi="Georgia"/>
          <w:sz w:val="20"/>
          <w:szCs w:val="20"/>
        </w:rPr>
        <w:t xml:space="preserve">forging alliances – and also what was accepted at the time that might have changed throughout history, such as </w:t>
      </w:r>
      <w:r w:rsidR="009C1E4F">
        <w:rPr>
          <w:rFonts w:ascii="Georgia" w:hAnsi="Georgia"/>
          <w:sz w:val="20"/>
          <w:szCs w:val="20"/>
        </w:rPr>
        <w:t>an outlook on homosexuality, a belief in gods that took an interest in the affairs of mankind</w:t>
      </w:r>
      <w:r w:rsidR="00E8573F">
        <w:rPr>
          <w:rFonts w:ascii="Georgia" w:hAnsi="Georgia"/>
          <w:sz w:val="20"/>
          <w:szCs w:val="20"/>
        </w:rPr>
        <w:t xml:space="preserve">. </w:t>
      </w:r>
    </w:p>
    <w:p w14:paraId="408371E7" w14:textId="77777777" w:rsidR="00C246C7" w:rsidRDefault="00C246C7"/>
    <w:p w14:paraId="09B840E0" w14:textId="77777777" w:rsidR="00C246C7" w:rsidRDefault="00C246C7"/>
    <w:p w14:paraId="37662791" w14:textId="77777777" w:rsidR="00D60793" w:rsidRDefault="00D60793"/>
    <w:p w14:paraId="5EA57AF0" w14:textId="77777777" w:rsidR="004B757E" w:rsidRDefault="004B757E"/>
    <w:p w14:paraId="4C47C81C" w14:textId="77777777" w:rsidR="004B757E" w:rsidRDefault="004B757E"/>
    <w:sdt>
      <w:sdtPr>
        <w:rPr>
          <w:rFonts w:asciiTheme="minorHAnsi" w:eastAsiaTheme="minorHAnsi" w:hAnsiTheme="minorHAnsi" w:cstheme="minorBidi"/>
          <w:color w:val="auto"/>
          <w:sz w:val="22"/>
          <w:szCs w:val="22"/>
          <w:lang w:val="en-GB"/>
        </w:rPr>
        <w:id w:val="-332688149"/>
        <w:docPartObj>
          <w:docPartGallery w:val="Bibliographies"/>
          <w:docPartUnique/>
        </w:docPartObj>
      </w:sdtPr>
      <w:sdtEndPr/>
      <w:sdtContent>
        <w:p w14:paraId="14C78C0D" w14:textId="77777777" w:rsidR="00E032E0" w:rsidRDefault="00E032E0" w:rsidP="00E032E0">
          <w:pPr>
            <w:pStyle w:val="Heading1"/>
          </w:pPr>
          <w:r>
            <w:t>Bibliography</w:t>
          </w:r>
        </w:p>
        <w:sdt>
          <w:sdtPr>
            <w:id w:val="111145805"/>
            <w:bibliography/>
          </w:sdtPr>
          <w:sdtEndPr/>
          <w:sdtContent>
            <w:p w14:paraId="2EDBA47A" w14:textId="77777777" w:rsidR="00617774" w:rsidRDefault="00E032E0" w:rsidP="00617774">
              <w:pPr>
                <w:pStyle w:val="Bibliography"/>
                <w:ind w:left="720" w:hanging="720"/>
                <w:rPr>
                  <w:noProof/>
                  <w:sz w:val="24"/>
                  <w:szCs w:val="24"/>
                  <w:lang w:val="en-US"/>
                </w:rPr>
              </w:pPr>
              <w:r>
                <w:fldChar w:fldCharType="begin"/>
              </w:r>
              <w:r>
                <w:instrText xml:space="preserve"> BIBLIOGRAPHY </w:instrText>
              </w:r>
              <w:r>
                <w:fldChar w:fldCharType="separate"/>
              </w:r>
              <w:r w:rsidR="00617774">
                <w:rPr>
                  <w:noProof/>
                  <w:lang w:val="en-US"/>
                </w:rPr>
                <w:t xml:space="preserve">Bulfinch, T. (1867). </w:t>
              </w:r>
              <w:r w:rsidR="00617774">
                <w:rPr>
                  <w:i/>
                  <w:iCs/>
                  <w:noProof/>
                  <w:lang w:val="en-US"/>
                </w:rPr>
                <w:t>Bulfinch's Mythology</w:t>
              </w:r>
              <w:r w:rsidR="00617774">
                <w:rPr>
                  <w:noProof/>
                  <w:lang w:val="en-US"/>
                </w:rPr>
                <w:t xml:space="preserve"> (2014 ed.). San Diego: Peter Norton.</w:t>
              </w:r>
            </w:p>
            <w:p w14:paraId="3B41A8F9" w14:textId="77777777" w:rsidR="00617774" w:rsidRDefault="00617774" w:rsidP="00617774">
              <w:pPr>
                <w:pStyle w:val="Bibliography"/>
                <w:ind w:left="720" w:hanging="720"/>
                <w:rPr>
                  <w:noProof/>
                  <w:lang w:val="en-US"/>
                </w:rPr>
              </w:pPr>
              <w:r>
                <w:rPr>
                  <w:noProof/>
                  <w:lang w:val="en-US"/>
                </w:rPr>
                <w:t xml:space="preserve">Coleman, R. (1982, October). Greece and Rome. </w:t>
              </w:r>
              <w:r>
                <w:rPr>
                  <w:i/>
                  <w:iCs/>
                  <w:noProof/>
                  <w:lang w:val="en-US"/>
                </w:rPr>
                <w:t>The Gods in the 'Aeneid', 29</w:t>
              </w:r>
              <w:r>
                <w:rPr>
                  <w:noProof/>
                  <w:lang w:val="en-US"/>
                </w:rPr>
                <w:t>, 143-168.</w:t>
              </w:r>
            </w:p>
            <w:p w14:paraId="60FC2B53" w14:textId="77777777" w:rsidR="00617774" w:rsidRDefault="00617774" w:rsidP="00617774">
              <w:pPr>
                <w:pStyle w:val="Bibliography"/>
                <w:ind w:left="720" w:hanging="720"/>
                <w:rPr>
                  <w:noProof/>
                  <w:lang w:val="en-US"/>
                </w:rPr>
              </w:pPr>
              <w:r>
                <w:rPr>
                  <w:noProof/>
                  <w:lang w:val="en-US"/>
                </w:rPr>
                <w:t xml:space="preserve">Lloyd, C. (1999). The Evander-Anchises Connection: Fathers, Sons, and Homoerotic Desire in Vergil's "Aeneid". </w:t>
              </w:r>
              <w:r>
                <w:rPr>
                  <w:i/>
                  <w:iCs/>
                  <w:noProof/>
                  <w:lang w:val="en-US"/>
                </w:rPr>
                <w:t>Vergilius</w:t>
              </w:r>
              <w:r>
                <w:rPr>
                  <w:noProof/>
                  <w:lang w:val="en-US"/>
                </w:rPr>
                <w:t>, 3-21.</w:t>
              </w:r>
            </w:p>
            <w:p w14:paraId="45170B4F" w14:textId="77777777" w:rsidR="00617774" w:rsidRDefault="00617774" w:rsidP="00617774">
              <w:pPr>
                <w:pStyle w:val="Bibliography"/>
                <w:ind w:left="720" w:hanging="720"/>
                <w:rPr>
                  <w:noProof/>
                  <w:lang w:val="en-US"/>
                </w:rPr>
              </w:pPr>
              <w:r>
                <w:rPr>
                  <w:noProof/>
                  <w:lang w:val="en-US"/>
                </w:rPr>
                <w:t xml:space="preserve">Potter, D. (2013). </w:t>
              </w:r>
              <w:r>
                <w:rPr>
                  <w:i/>
                  <w:iCs/>
                  <w:noProof/>
                  <w:lang w:val="en-US"/>
                </w:rPr>
                <w:t>The Emperors of Rome.</w:t>
              </w:r>
              <w:r>
                <w:rPr>
                  <w:noProof/>
                  <w:lang w:val="en-US"/>
                </w:rPr>
                <w:t xml:space="preserve"> London: Quercu.</w:t>
              </w:r>
            </w:p>
            <w:p w14:paraId="2019AEB7" w14:textId="77777777" w:rsidR="00617774" w:rsidRDefault="00617774" w:rsidP="00617774">
              <w:pPr>
                <w:pStyle w:val="Bibliography"/>
                <w:ind w:left="720" w:hanging="720"/>
                <w:rPr>
                  <w:noProof/>
                  <w:lang w:val="en-US"/>
                </w:rPr>
              </w:pPr>
              <w:r>
                <w:rPr>
                  <w:noProof/>
                  <w:lang w:val="en-US"/>
                </w:rPr>
                <w:t xml:space="preserve">Vergil. (n.d.). </w:t>
              </w:r>
              <w:r>
                <w:rPr>
                  <w:i/>
                  <w:iCs/>
                  <w:noProof/>
                  <w:lang w:val="en-US"/>
                </w:rPr>
                <w:t>The Aeneid.</w:t>
              </w:r>
              <w:r>
                <w:rPr>
                  <w:noProof/>
                  <w:lang w:val="en-US"/>
                </w:rPr>
                <w:t xml:space="preserve"> </w:t>
              </w:r>
            </w:p>
            <w:p w14:paraId="32D752EB" w14:textId="77777777" w:rsidR="00E032E0" w:rsidRDefault="00E032E0" w:rsidP="00617774">
              <w:r>
                <w:rPr>
                  <w:b/>
                  <w:bCs/>
                  <w:noProof/>
                </w:rPr>
                <w:fldChar w:fldCharType="end"/>
              </w:r>
            </w:p>
          </w:sdtContent>
        </w:sdt>
      </w:sdtContent>
    </w:sdt>
    <w:p w14:paraId="55E2510F" w14:textId="77777777" w:rsidR="003E0BC1" w:rsidRDefault="003E0BC1"/>
    <w:sectPr w:rsidR="003E0B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79A"/>
    <w:rsid w:val="00000FE2"/>
    <w:rsid w:val="000060B0"/>
    <w:rsid w:val="00012620"/>
    <w:rsid w:val="00022911"/>
    <w:rsid w:val="00032121"/>
    <w:rsid w:val="00032244"/>
    <w:rsid w:val="000332D0"/>
    <w:rsid w:val="00035273"/>
    <w:rsid w:val="000362B0"/>
    <w:rsid w:val="00043FA0"/>
    <w:rsid w:val="000517F9"/>
    <w:rsid w:val="00053254"/>
    <w:rsid w:val="00054454"/>
    <w:rsid w:val="000549B6"/>
    <w:rsid w:val="000801FD"/>
    <w:rsid w:val="00082D4E"/>
    <w:rsid w:val="00083DB0"/>
    <w:rsid w:val="00091265"/>
    <w:rsid w:val="000968E7"/>
    <w:rsid w:val="000B0F26"/>
    <w:rsid w:val="000C3E2E"/>
    <w:rsid w:val="000E1CEF"/>
    <w:rsid w:val="000E33D9"/>
    <w:rsid w:val="000E39E5"/>
    <w:rsid w:val="000F10A6"/>
    <w:rsid w:val="00102D5B"/>
    <w:rsid w:val="00105FAF"/>
    <w:rsid w:val="001319B5"/>
    <w:rsid w:val="001403A0"/>
    <w:rsid w:val="001569C6"/>
    <w:rsid w:val="00157E40"/>
    <w:rsid w:val="00161A79"/>
    <w:rsid w:val="001644C9"/>
    <w:rsid w:val="001778A8"/>
    <w:rsid w:val="001877D1"/>
    <w:rsid w:val="00187A44"/>
    <w:rsid w:val="0019056F"/>
    <w:rsid w:val="001918EE"/>
    <w:rsid w:val="001936A9"/>
    <w:rsid w:val="00193A47"/>
    <w:rsid w:val="001A4602"/>
    <w:rsid w:val="001A732A"/>
    <w:rsid w:val="001C2A09"/>
    <w:rsid w:val="001D0669"/>
    <w:rsid w:val="001D770A"/>
    <w:rsid w:val="001E093C"/>
    <w:rsid w:val="001E4189"/>
    <w:rsid w:val="001F2CB8"/>
    <w:rsid w:val="00206099"/>
    <w:rsid w:val="00206359"/>
    <w:rsid w:val="0022347E"/>
    <w:rsid w:val="0022654D"/>
    <w:rsid w:val="00232485"/>
    <w:rsid w:val="00232EA0"/>
    <w:rsid w:val="0023626D"/>
    <w:rsid w:val="00242A4E"/>
    <w:rsid w:val="00255FB4"/>
    <w:rsid w:val="002706C9"/>
    <w:rsid w:val="00280B02"/>
    <w:rsid w:val="002A2264"/>
    <w:rsid w:val="002D14E8"/>
    <w:rsid w:val="002D26EC"/>
    <w:rsid w:val="003271C8"/>
    <w:rsid w:val="003333E0"/>
    <w:rsid w:val="00337CB9"/>
    <w:rsid w:val="00353F67"/>
    <w:rsid w:val="0037483C"/>
    <w:rsid w:val="00375737"/>
    <w:rsid w:val="00380C46"/>
    <w:rsid w:val="00384A5F"/>
    <w:rsid w:val="0038510C"/>
    <w:rsid w:val="0038536E"/>
    <w:rsid w:val="003923BF"/>
    <w:rsid w:val="003A7E0B"/>
    <w:rsid w:val="003B1213"/>
    <w:rsid w:val="003B32C8"/>
    <w:rsid w:val="003B3EFB"/>
    <w:rsid w:val="003C0E8B"/>
    <w:rsid w:val="003D69EF"/>
    <w:rsid w:val="003D7FF2"/>
    <w:rsid w:val="003E0BC1"/>
    <w:rsid w:val="003E5423"/>
    <w:rsid w:val="003F451E"/>
    <w:rsid w:val="004220F8"/>
    <w:rsid w:val="00424D48"/>
    <w:rsid w:val="00426206"/>
    <w:rsid w:val="00440753"/>
    <w:rsid w:val="00442205"/>
    <w:rsid w:val="00456F00"/>
    <w:rsid w:val="004610D7"/>
    <w:rsid w:val="004641A8"/>
    <w:rsid w:val="004737FD"/>
    <w:rsid w:val="00486DF0"/>
    <w:rsid w:val="0049040E"/>
    <w:rsid w:val="004951BE"/>
    <w:rsid w:val="004B757E"/>
    <w:rsid w:val="004C13CA"/>
    <w:rsid w:val="004C1E67"/>
    <w:rsid w:val="004C41C4"/>
    <w:rsid w:val="004D0A82"/>
    <w:rsid w:val="004D41E7"/>
    <w:rsid w:val="004D4C25"/>
    <w:rsid w:val="004E1AFA"/>
    <w:rsid w:val="004E2C4A"/>
    <w:rsid w:val="004E79D5"/>
    <w:rsid w:val="00501253"/>
    <w:rsid w:val="00501C99"/>
    <w:rsid w:val="00513D39"/>
    <w:rsid w:val="00524932"/>
    <w:rsid w:val="00525A64"/>
    <w:rsid w:val="005322B7"/>
    <w:rsid w:val="00544508"/>
    <w:rsid w:val="00554D59"/>
    <w:rsid w:val="00556271"/>
    <w:rsid w:val="005617B8"/>
    <w:rsid w:val="00563FF5"/>
    <w:rsid w:val="00570571"/>
    <w:rsid w:val="005817F2"/>
    <w:rsid w:val="0058548C"/>
    <w:rsid w:val="005946D6"/>
    <w:rsid w:val="005B43F0"/>
    <w:rsid w:val="005C1DED"/>
    <w:rsid w:val="005C45E8"/>
    <w:rsid w:val="005D5D56"/>
    <w:rsid w:val="005D68FB"/>
    <w:rsid w:val="005E7080"/>
    <w:rsid w:val="005F1387"/>
    <w:rsid w:val="00606F74"/>
    <w:rsid w:val="00617774"/>
    <w:rsid w:val="006259B1"/>
    <w:rsid w:val="0066246E"/>
    <w:rsid w:val="00665FBB"/>
    <w:rsid w:val="00671FC1"/>
    <w:rsid w:val="00676F40"/>
    <w:rsid w:val="00677ED1"/>
    <w:rsid w:val="006B7427"/>
    <w:rsid w:val="006D394A"/>
    <w:rsid w:val="006D6CCB"/>
    <w:rsid w:val="006E02C2"/>
    <w:rsid w:val="007017A8"/>
    <w:rsid w:val="00704293"/>
    <w:rsid w:val="00714D19"/>
    <w:rsid w:val="00716588"/>
    <w:rsid w:val="00716971"/>
    <w:rsid w:val="007203BE"/>
    <w:rsid w:val="00720781"/>
    <w:rsid w:val="00746530"/>
    <w:rsid w:val="00764310"/>
    <w:rsid w:val="007831C2"/>
    <w:rsid w:val="00786EAF"/>
    <w:rsid w:val="007875FA"/>
    <w:rsid w:val="007A379A"/>
    <w:rsid w:val="007A491F"/>
    <w:rsid w:val="007A4D49"/>
    <w:rsid w:val="007A5147"/>
    <w:rsid w:val="007A5C6F"/>
    <w:rsid w:val="007B3EEF"/>
    <w:rsid w:val="007C48E9"/>
    <w:rsid w:val="007F15E9"/>
    <w:rsid w:val="00807CEC"/>
    <w:rsid w:val="00832277"/>
    <w:rsid w:val="00844198"/>
    <w:rsid w:val="008551AF"/>
    <w:rsid w:val="00855873"/>
    <w:rsid w:val="0085679A"/>
    <w:rsid w:val="0086390C"/>
    <w:rsid w:val="008877FA"/>
    <w:rsid w:val="008927FC"/>
    <w:rsid w:val="008932C0"/>
    <w:rsid w:val="00895AFF"/>
    <w:rsid w:val="008A37D5"/>
    <w:rsid w:val="008A5A0E"/>
    <w:rsid w:val="008C0AC8"/>
    <w:rsid w:val="008E2FBC"/>
    <w:rsid w:val="008E5E83"/>
    <w:rsid w:val="008F0AA6"/>
    <w:rsid w:val="008F2DF4"/>
    <w:rsid w:val="00906B71"/>
    <w:rsid w:val="00907AA0"/>
    <w:rsid w:val="0091009A"/>
    <w:rsid w:val="00911734"/>
    <w:rsid w:val="00921AB4"/>
    <w:rsid w:val="009226FD"/>
    <w:rsid w:val="00926C40"/>
    <w:rsid w:val="009329B9"/>
    <w:rsid w:val="00941F5E"/>
    <w:rsid w:val="00947325"/>
    <w:rsid w:val="00954207"/>
    <w:rsid w:val="009566E3"/>
    <w:rsid w:val="00965456"/>
    <w:rsid w:val="0098271C"/>
    <w:rsid w:val="009A15DE"/>
    <w:rsid w:val="009A6F7D"/>
    <w:rsid w:val="009C1E4F"/>
    <w:rsid w:val="009C4FD1"/>
    <w:rsid w:val="009D7E95"/>
    <w:rsid w:val="009F0A71"/>
    <w:rsid w:val="00A04289"/>
    <w:rsid w:val="00A17848"/>
    <w:rsid w:val="00A364D4"/>
    <w:rsid w:val="00A419CD"/>
    <w:rsid w:val="00A527FD"/>
    <w:rsid w:val="00A72BB2"/>
    <w:rsid w:val="00A74F42"/>
    <w:rsid w:val="00A82DBB"/>
    <w:rsid w:val="00A839DE"/>
    <w:rsid w:val="00AA149B"/>
    <w:rsid w:val="00AA4DA1"/>
    <w:rsid w:val="00AA6341"/>
    <w:rsid w:val="00AB6DFF"/>
    <w:rsid w:val="00AD1432"/>
    <w:rsid w:val="00AE6814"/>
    <w:rsid w:val="00AE6C97"/>
    <w:rsid w:val="00AF4788"/>
    <w:rsid w:val="00B02FE3"/>
    <w:rsid w:val="00B10F7D"/>
    <w:rsid w:val="00B1554D"/>
    <w:rsid w:val="00B20547"/>
    <w:rsid w:val="00B21CDD"/>
    <w:rsid w:val="00B574F3"/>
    <w:rsid w:val="00B70A2E"/>
    <w:rsid w:val="00B75339"/>
    <w:rsid w:val="00B762E6"/>
    <w:rsid w:val="00B90B05"/>
    <w:rsid w:val="00B97484"/>
    <w:rsid w:val="00B974BD"/>
    <w:rsid w:val="00BA4060"/>
    <w:rsid w:val="00BA6F30"/>
    <w:rsid w:val="00BE26E7"/>
    <w:rsid w:val="00BE3039"/>
    <w:rsid w:val="00BE53AB"/>
    <w:rsid w:val="00BF117C"/>
    <w:rsid w:val="00C02A5F"/>
    <w:rsid w:val="00C03D23"/>
    <w:rsid w:val="00C118CF"/>
    <w:rsid w:val="00C246C7"/>
    <w:rsid w:val="00C26748"/>
    <w:rsid w:val="00C3197E"/>
    <w:rsid w:val="00C343EF"/>
    <w:rsid w:val="00C34B7E"/>
    <w:rsid w:val="00C551B6"/>
    <w:rsid w:val="00C55AB8"/>
    <w:rsid w:val="00C6312C"/>
    <w:rsid w:val="00C63F00"/>
    <w:rsid w:val="00C70516"/>
    <w:rsid w:val="00C8548C"/>
    <w:rsid w:val="00C959FB"/>
    <w:rsid w:val="00CA2D7C"/>
    <w:rsid w:val="00CB21B9"/>
    <w:rsid w:val="00CB5F45"/>
    <w:rsid w:val="00CB6894"/>
    <w:rsid w:val="00CB7622"/>
    <w:rsid w:val="00CC5A36"/>
    <w:rsid w:val="00CF4ADA"/>
    <w:rsid w:val="00CF7D33"/>
    <w:rsid w:val="00D021F5"/>
    <w:rsid w:val="00D106CE"/>
    <w:rsid w:val="00D140D9"/>
    <w:rsid w:val="00D17D7A"/>
    <w:rsid w:val="00D245D9"/>
    <w:rsid w:val="00D307AD"/>
    <w:rsid w:val="00D35662"/>
    <w:rsid w:val="00D603B7"/>
    <w:rsid w:val="00D60793"/>
    <w:rsid w:val="00D7677F"/>
    <w:rsid w:val="00D8479A"/>
    <w:rsid w:val="00DA1070"/>
    <w:rsid w:val="00DB6216"/>
    <w:rsid w:val="00DC18B8"/>
    <w:rsid w:val="00DC24DE"/>
    <w:rsid w:val="00DC30FF"/>
    <w:rsid w:val="00DC3C36"/>
    <w:rsid w:val="00DD360F"/>
    <w:rsid w:val="00DE1B38"/>
    <w:rsid w:val="00E032E0"/>
    <w:rsid w:val="00E05727"/>
    <w:rsid w:val="00E05BBB"/>
    <w:rsid w:val="00E0653B"/>
    <w:rsid w:val="00E11B4B"/>
    <w:rsid w:val="00E138C3"/>
    <w:rsid w:val="00E2371B"/>
    <w:rsid w:val="00E335A2"/>
    <w:rsid w:val="00E42552"/>
    <w:rsid w:val="00E441B8"/>
    <w:rsid w:val="00E54646"/>
    <w:rsid w:val="00E61725"/>
    <w:rsid w:val="00E6766E"/>
    <w:rsid w:val="00E8573F"/>
    <w:rsid w:val="00E876D2"/>
    <w:rsid w:val="00EA1C55"/>
    <w:rsid w:val="00EA59FE"/>
    <w:rsid w:val="00EB4D1E"/>
    <w:rsid w:val="00EB4E32"/>
    <w:rsid w:val="00EC0BBE"/>
    <w:rsid w:val="00EC15C6"/>
    <w:rsid w:val="00EC3D7C"/>
    <w:rsid w:val="00EC58B2"/>
    <w:rsid w:val="00EC5B36"/>
    <w:rsid w:val="00ED0126"/>
    <w:rsid w:val="00EE54B7"/>
    <w:rsid w:val="00F03045"/>
    <w:rsid w:val="00F03F6F"/>
    <w:rsid w:val="00F0740F"/>
    <w:rsid w:val="00F1116B"/>
    <w:rsid w:val="00F135E5"/>
    <w:rsid w:val="00F411DB"/>
    <w:rsid w:val="00F42ED8"/>
    <w:rsid w:val="00F53C52"/>
    <w:rsid w:val="00F55C0D"/>
    <w:rsid w:val="00F618DE"/>
    <w:rsid w:val="00F65051"/>
    <w:rsid w:val="00F818B4"/>
    <w:rsid w:val="00F8761F"/>
    <w:rsid w:val="00F91B5B"/>
    <w:rsid w:val="00F92C69"/>
    <w:rsid w:val="00FC4D85"/>
    <w:rsid w:val="00FF2A67"/>
    <w:rsid w:val="00FF5F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85442E"/>
  <w15:chartTrackingRefBased/>
  <w15:docId w15:val="{DA7BD8D7-23BA-4282-AC08-C893844216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32E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32E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032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20193">
      <w:bodyDiv w:val="1"/>
      <w:marLeft w:val="0"/>
      <w:marRight w:val="0"/>
      <w:marTop w:val="0"/>
      <w:marBottom w:val="0"/>
      <w:divBdr>
        <w:top w:val="none" w:sz="0" w:space="0" w:color="auto"/>
        <w:left w:val="none" w:sz="0" w:space="0" w:color="auto"/>
        <w:bottom w:val="none" w:sz="0" w:space="0" w:color="auto"/>
        <w:right w:val="none" w:sz="0" w:space="0" w:color="auto"/>
      </w:divBdr>
    </w:div>
    <w:div w:id="49352405">
      <w:bodyDiv w:val="1"/>
      <w:marLeft w:val="0"/>
      <w:marRight w:val="0"/>
      <w:marTop w:val="0"/>
      <w:marBottom w:val="0"/>
      <w:divBdr>
        <w:top w:val="none" w:sz="0" w:space="0" w:color="auto"/>
        <w:left w:val="none" w:sz="0" w:space="0" w:color="auto"/>
        <w:bottom w:val="none" w:sz="0" w:space="0" w:color="auto"/>
        <w:right w:val="none" w:sz="0" w:space="0" w:color="auto"/>
      </w:divBdr>
    </w:div>
    <w:div w:id="74399814">
      <w:bodyDiv w:val="1"/>
      <w:marLeft w:val="0"/>
      <w:marRight w:val="0"/>
      <w:marTop w:val="0"/>
      <w:marBottom w:val="0"/>
      <w:divBdr>
        <w:top w:val="none" w:sz="0" w:space="0" w:color="auto"/>
        <w:left w:val="none" w:sz="0" w:space="0" w:color="auto"/>
        <w:bottom w:val="none" w:sz="0" w:space="0" w:color="auto"/>
        <w:right w:val="none" w:sz="0" w:space="0" w:color="auto"/>
      </w:divBdr>
    </w:div>
    <w:div w:id="116946943">
      <w:bodyDiv w:val="1"/>
      <w:marLeft w:val="0"/>
      <w:marRight w:val="0"/>
      <w:marTop w:val="0"/>
      <w:marBottom w:val="0"/>
      <w:divBdr>
        <w:top w:val="none" w:sz="0" w:space="0" w:color="auto"/>
        <w:left w:val="none" w:sz="0" w:space="0" w:color="auto"/>
        <w:bottom w:val="none" w:sz="0" w:space="0" w:color="auto"/>
        <w:right w:val="none" w:sz="0" w:space="0" w:color="auto"/>
      </w:divBdr>
    </w:div>
    <w:div w:id="147747275">
      <w:bodyDiv w:val="1"/>
      <w:marLeft w:val="0"/>
      <w:marRight w:val="0"/>
      <w:marTop w:val="0"/>
      <w:marBottom w:val="0"/>
      <w:divBdr>
        <w:top w:val="none" w:sz="0" w:space="0" w:color="auto"/>
        <w:left w:val="none" w:sz="0" w:space="0" w:color="auto"/>
        <w:bottom w:val="none" w:sz="0" w:space="0" w:color="auto"/>
        <w:right w:val="none" w:sz="0" w:space="0" w:color="auto"/>
      </w:divBdr>
    </w:div>
    <w:div w:id="301008503">
      <w:bodyDiv w:val="1"/>
      <w:marLeft w:val="0"/>
      <w:marRight w:val="0"/>
      <w:marTop w:val="0"/>
      <w:marBottom w:val="0"/>
      <w:divBdr>
        <w:top w:val="none" w:sz="0" w:space="0" w:color="auto"/>
        <w:left w:val="none" w:sz="0" w:space="0" w:color="auto"/>
        <w:bottom w:val="none" w:sz="0" w:space="0" w:color="auto"/>
        <w:right w:val="none" w:sz="0" w:space="0" w:color="auto"/>
      </w:divBdr>
    </w:div>
    <w:div w:id="378869530">
      <w:bodyDiv w:val="1"/>
      <w:marLeft w:val="0"/>
      <w:marRight w:val="0"/>
      <w:marTop w:val="0"/>
      <w:marBottom w:val="0"/>
      <w:divBdr>
        <w:top w:val="none" w:sz="0" w:space="0" w:color="auto"/>
        <w:left w:val="none" w:sz="0" w:space="0" w:color="auto"/>
        <w:bottom w:val="none" w:sz="0" w:space="0" w:color="auto"/>
        <w:right w:val="none" w:sz="0" w:space="0" w:color="auto"/>
      </w:divBdr>
    </w:div>
    <w:div w:id="409042086">
      <w:bodyDiv w:val="1"/>
      <w:marLeft w:val="0"/>
      <w:marRight w:val="0"/>
      <w:marTop w:val="0"/>
      <w:marBottom w:val="0"/>
      <w:divBdr>
        <w:top w:val="none" w:sz="0" w:space="0" w:color="auto"/>
        <w:left w:val="none" w:sz="0" w:space="0" w:color="auto"/>
        <w:bottom w:val="none" w:sz="0" w:space="0" w:color="auto"/>
        <w:right w:val="none" w:sz="0" w:space="0" w:color="auto"/>
      </w:divBdr>
    </w:div>
    <w:div w:id="549270148">
      <w:bodyDiv w:val="1"/>
      <w:marLeft w:val="0"/>
      <w:marRight w:val="0"/>
      <w:marTop w:val="0"/>
      <w:marBottom w:val="0"/>
      <w:divBdr>
        <w:top w:val="none" w:sz="0" w:space="0" w:color="auto"/>
        <w:left w:val="none" w:sz="0" w:space="0" w:color="auto"/>
        <w:bottom w:val="none" w:sz="0" w:space="0" w:color="auto"/>
        <w:right w:val="none" w:sz="0" w:space="0" w:color="auto"/>
      </w:divBdr>
    </w:div>
    <w:div w:id="577131794">
      <w:bodyDiv w:val="1"/>
      <w:marLeft w:val="0"/>
      <w:marRight w:val="0"/>
      <w:marTop w:val="0"/>
      <w:marBottom w:val="0"/>
      <w:divBdr>
        <w:top w:val="none" w:sz="0" w:space="0" w:color="auto"/>
        <w:left w:val="none" w:sz="0" w:space="0" w:color="auto"/>
        <w:bottom w:val="none" w:sz="0" w:space="0" w:color="auto"/>
        <w:right w:val="none" w:sz="0" w:space="0" w:color="auto"/>
      </w:divBdr>
    </w:div>
    <w:div w:id="586815381">
      <w:bodyDiv w:val="1"/>
      <w:marLeft w:val="0"/>
      <w:marRight w:val="0"/>
      <w:marTop w:val="0"/>
      <w:marBottom w:val="0"/>
      <w:divBdr>
        <w:top w:val="none" w:sz="0" w:space="0" w:color="auto"/>
        <w:left w:val="none" w:sz="0" w:space="0" w:color="auto"/>
        <w:bottom w:val="none" w:sz="0" w:space="0" w:color="auto"/>
        <w:right w:val="none" w:sz="0" w:space="0" w:color="auto"/>
      </w:divBdr>
    </w:div>
    <w:div w:id="697857072">
      <w:bodyDiv w:val="1"/>
      <w:marLeft w:val="0"/>
      <w:marRight w:val="0"/>
      <w:marTop w:val="0"/>
      <w:marBottom w:val="0"/>
      <w:divBdr>
        <w:top w:val="none" w:sz="0" w:space="0" w:color="auto"/>
        <w:left w:val="none" w:sz="0" w:space="0" w:color="auto"/>
        <w:bottom w:val="none" w:sz="0" w:space="0" w:color="auto"/>
        <w:right w:val="none" w:sz="0" w:space="0" w:color="auto"/>
      </w:divBdr>
    </w:div>
    <w:div w:id="781726787">
      <w:bodyDiv w:val="1"/>
      <w:marLeft w:val="0"/>
      <w:marRight w:val="0"/>
      <w:marTop w:val="0"/>
      <w:marBottom w:val="0"/>
      <w:divBdr>
        <w:top w:val="none" w:sz="0" w:space="0" w:color="auto"/>
        <w:left w:val="none" w:sz="0" w:space="0" w:color="auto"/>
        <w:bottom w:val="none" w:sz="0" w:space="0" w:color="auto"/>
        <w:right w:val="none" w:sz="0" w:space="0" w:color="auto"/>
      </w:divBdr>
    </w:div>
    <w:div w:id="849150034">
      <w:bodyDiv w:val="1"/>
      <w:marLeft w:val="0"/>
      <w:marRight w:val="0"/>
      <w:marTop w:val="0"/>
      <w:marBottom w:val="0"/>
      <w:divBdr>
        <w:top w:val="none" w:sz="0" w:space="0" w:color="auto"/>
        <w:left w:val="none" w:sz="0" w:space="0" w:color="auto"/>
        <w:bottom w:val="none" w:sz="0" w:space="0" w:color="auto"/>
        <w:right w:val="none" w:sz="0" w:space="0" w:color="auto"/>
      </w:divBdr>
    </w:div>
    <w:div w:id="889652009">
      <w:bodyDiv w:val="1"/>
      <w:marLeft w:val="0"/>
      <w:marRight w:val="0"/>
      <w:marTop w:val="0"/>
      <w:marBottom w:val="0"/>
      <w:divBdr>
        <w:top w:val="none" w:sz="0" w:space="0" w:color="auto"/>
        <w:left w:val="none" w:sz="0" w:space="0" w:color="auto"/>
        <w:bottom w:val="none" w:sz="0" w:space="0" w:color="auto"/>
        <w:right w:val="none" w:sz="0" w:space="0" w:color="auto"/>
      </w:divBdr>
    </w:div>
    <w:div w:id="924070657">
      <w:bodyDiv w:val="1"/>
      <w:marLeft w:val="0"/>
      <w:marRight w:val="0"/>
      <w:marTop w:val="0"/>
      <w:marBottom w:val="0"/>
      <w:divBdr>
        <w:top w:val="none" w:sz="0" w:space="0" w:color="auto"/>
        <w:left w:val="none" w:sz="0" w:space="0" w:color="auto"/>
        <w:bottom w:val="none" w:sz="0" w:space="0" w:color="auto"/>
        <w:right w:val="none" w:sz="0" w:space="0" w:color="auto"/>
      </w:divBdr>
    </w:div>
    <w:div w:id="966080400">
      <w:bodyDiv w:val="1"/>
      <w:marLeft w:val="0"/>
      <w:marRight w:val="0"/>
      <w:marTop w:val="0"/>
      <w:marBottom w:val="0"/>
      <w:divBdr>
        <w:top w:val="none" w:sz="0" w:space="0" w:color="auto"/>
        <w:left w:val="none" w:sz="0" w:space="0" w:color="auto"/>
        <w:bottom w:val="none" w:sz="0" w:space="0" w:color="auto"/>
        <w:right w:val="none" w:sz="0" w:space="0" w:color="auto"/>
      </w:divBdr>
    </w:div>
    <w:div w:id="975716462">
      <w:bodyDiv w:val="1"/>
      <w:marLeft w:val="0"/>
      <w:marRight w:val="0"/>
      <w:marTop w:val="0"/>
      <w:marBottom w:val="0"/>
      <w:divBdr>
        <w:top w:val="none" w:sz="0" w:space="0" w:color="auto"/>
        <w:left w:val="none" w:sz="0" w:space="0" w:color="auto"/>
        <w:bottom w:val="none" w:sz="0" w:space="0" w:color="auto"/>
        <w:right w:val="none" w:sz="0" w:space="0" w:color="auto"/>
      </w:divBdr>
    </w:div>
    <w:div w:id="985087691">
      <w:bodyDiv w:val="1"/>
      <w:marLeft w:val="0"/>
      <w:marRight w:val="0"/>
      <w:marTop w:val="0"/>
      <w:marBottom w:val="0"/>
      <w:divBdr>
        <w:top w:val="none" w:sz="0" w:space="0" w:color="auto"/>
        <w:left w:val="none" w:sz="0" w:space="0" w:color="auto"/>
        <w:bottom w:val="none" w:sz="0" w:space="0" w:color="auto"/>
        <w:right w:val="none" w:sz="0" w:space="0" w:color="auto"/>
      </w:divBdr>
    </w:div>
    <w:div w:id="1032418031">
      <w:bodyDiv w:val="1"/>
      <w:marLeft w:val="0"/>
      <w:marRight w:val="0"/>
      <w:marTop w:val="0"/>
      <w:marBottom w:val="0"/>
      <w:divBdr>
        <w:top w:val="none" w:sz="0" w:space="0" w:color="auto"/>
        <w:left w:val="none" w:sz="0" w:space="0" w:color="auto"/>
        <w:bottom w:val="none" w:sz="0" w:space="0" w:color="auto"/>
        <w:right w:val="none" w:sz="0" w:space="0" w:color="auto"/>
      </w:divBdr>
    </w:div>
    <w:div w:id="1059937921">
      <w:bodyDiv w:val="1"/>
      <w:marLeft w:val="0"/>
      <w:marRight w:val="0"/>
      <w:marTop w:val="0"/>
      <w:marBottom w:val="0"/>
      <w:divBdr>
        <w:top w:val="none" w:sz="0" w:space="0" w:color="auto"/>
        <w:left w:val="none" w:sz="0" w:space="0" w:color="auto"/>
        <w:bottom w:val="none" w:sz="0" w:space="0" w:color="auto"/>
        <w:right w:val="none" w:sz="0" w:space="0" w:color="auto"/>
      </w:divBdr>
    </w:div>
    <w:div w:id="1105421499">
      <w:bodyDiv w:val="1"/>
      <w:marLeft w:val="0"/>
      <w:marRight w:val="0"/>
      <w:marTop w:val="0"/>
      <w:marBottom w:val="0"/>
      <w:divBdr>
        <w:top w:val="none" w:sz="0" w:space="0" w:color="auto"/>
        <w:left w:val="none" w:sz="0" w:space="0" w:color="auto"/>
        <w:bottom w:val="none" w:sz="0" w:space="0" w:color="auto"/>
        <w:right w:val="none" w:sz="0" w:space="0" w:color="auto"/>
      </w:divBdr>
    </w:div>
    <w:div w:id="1149202413">
      <w:bodyDiv w:val="1"/>
      <w:marLeft w:val="0"/>
      <w:marRight w:val="0"/>
      <w:marTop w:val="0"/>
      <w:marBottom w:val="0"/>
      <w:divBdr>
        <w:top w:val="none" w:sz="0" w:space="0" w:color="auto"/>
        <w:left w:val="none" w:sz="0" w:space="0" w:color="auto"/>
        <w:bottom w:val="none" w:sz="0" w:space="0" w:color="auto"/>
        <w:right w:val="none" w:sz="0" w:space="0" w:color="auto"/>
      </w:divBdr>
    </w:div>
    <w:div w:id="1202327708">
      <w:bodyDiv w:val="1"/>
      <w:marLeft w:val="0"/>
      <w:marRight w:val="0"/>
      <w:marTop w:val="0"/>
      <w:marBottom w:val="0"/>
      <w:divBdr>
        <w:top w:val="none" w:sz="0" w:space="0" w:color="auto"/>
        <w:left w:val="none" w:sz="0" w:space="0" w:color="auto"/>
        <w:bottom w:val="none" w:sz="0" w:space="0" w:color="auto"/>
        <w:right w:val="none" w:sz="0" w:space="0" w:color="auto"/>
      </w:divBdr>
    </w:div>
    <w:div w:id="1299452678">
      <w:bodyDiv w:val="1"/>
      <w:marLeft w:val="0"/>
      <w:marRight w:val="0"/>
      <w:marTop w:val="0"/>
      <w:marBottom w:val="0"/>
      <w:divBdr>
        <w:top w:val="none" w:sz="0" w:space="0" w:color="auto"/>
        <w:left w:val="none" w:sz="0" w:space="0" w:color="auto"/>
        <w:bottom w:val="none" w:sz="0" w:space="0" w:color="auto"/>
        <w:right w:val="none" w:sz="0" w:space="0" w:color="auto"/>
      </w:divBdr>
    </w:div>
    <w:div w:id="1362560086">
      <w:bodyDiv w:val="1"/>
      <w:marLeft w:val="0"/>
      <w:marRight w:val="0"/>
      <w:marTop w:val="0"/>
      <w:marBottom w:val="0"/>
      <w:divBdr>
        <w:top w:val="none" w:sz="0" w:space="0" w:color="auto"/>
        <w:left w:val="none" w:sz="0" w:space="0" w:color="auto"/>
        <w:bottom w:val="none" w:sz="0" w:space="0" w:color="auto"/>
        <w:right w:val="none" w:sz="0" w:space="0" w:color="auto"/>
      </w:divBdr>
    </w:div>
    <w:div w:id="1397708189">
      <w:bodyDiv w:val="1"/>
      <w:marLeft w:val="0"/>
      <w:marRight w:val="0"/>
      <w:marTop w:val="0"/>
      <w:marBottom w:val="0"/>
      <w:divBdr>
        <w:top w:val="none" w:sz="0" w:space="0" w:color="auto"/>
        <w:left w:val="none" w:sz="0" w:space="0" w:color="auto"/>
        <w:bottom w:val="none" w:sz="0" w:space="0" w:color="auto"/>
        <w:right w:val="none" w:sz="0" w:space="0" w:color="auto"/>
      </w:divBdr>
    </w:div>
    <w:div w:id="1468742399">
      <w:bodyDiv w:val="1"/>
      <w:marLeft w:val="0"/>
      <w:marRight w:val="0"/>
      <w:marTop w:val="0"/>
      <w:marBottom w:val="0"/>
      <w:divBdr>
        <w:top w:val="none" w:sz="0" w:space="0" w:color="auto"/>
        <w:left w:val="none" w:sz="0" w:space="0" w:color="auto"/>
        <w:bottom w:val="none" w:sz="0" w:space="0" w:color="auto"/>
        <w:right w:val="none" w:sz="0" w:space="0" w:color="auto"/>
      </w:divBdr>
    </w:div>
    <w:div w:id="1502545780">
      <w:bodyDiv w:val="1"/>
      <w:marLeft w:val="0"/>
      <w:marRight w:val="0"/>
      <w:marTop w:val="0"/>
      <w:marBottom w:val="0"/>
      <w:divBdr>
        <w:top w:val="none" w:sz="0" w:space="0" w:color="auto"/>
        <w:left w:val="none" w:sz="0" w:space="0" w:color="auto"/>
        <w:bottom w:val="none" w:sz="0" w:space="0" w:color="auto"/>
        <w:right w:val="none" w:sz="0" w:space="0" w:color="auto"/>
      </w:divBdr>
    </w:div>
    <w:div w:id="1569613246">
      <w:bodyDiv w:val="1"/>
      <w:marLeft w:val="0"/>
      <w:marRight w:val="0"/>
      <w:marTop w:val="0"/>
      <w:marBottom w:val="0"/>
      <w:divBdr>
        <w:top w:val="none" w:sz="0" w:space="0" w:color="auto"/>
        <w:left w:val="none" w:sz="0" w:space="0" w:color="auto"/>
        <w:bottom w:val="none" w:sz="0" w:space="0" w:color="auto"/>
        <w:right w:val="none" w:sz="0" w:space="0" w:color="auto"/>
      </w:divBdr>
    </w:div>
    <w:div w:id="1700929532">
      <w:bodyDiv w:val="1"/>
      <w:marLeft w:val="0"/>
      <w:marRight w:val="0"/>
      <w:marTop w:val="0"/>
      <w:marBottom w:val="0"/>
      <w:divBdr>
        <w:top w:val="none" w:sz="0" w:space="0" w:color="auto"/>
        <w:left w:val="none" w:sz="0" w:space="0" w:color="auto"/>
        <w:bottom w:val="none" w:sz="0" w:space="0" w:color="auto"/>
        <w:right w:val="none" w:sz="0" w:space="0" w:color="auto"/>
      </w:divBdr>
    </w:div>
    <w:div w:id="1726679501">
      <w:bodyDiv w:val="1"/>
      <w:marLeft w:val="0"/>
      <w:marRight w:val="0"/>
      <w:marTop w:val="0"/>
      <w:marBottom w:val="0"/>
      <w:divBdr>
        <w:top w:val="none" w:sz="0" w:space="0" w:color="auto"/>
        <w:left w:val="none" w:sz="0" w:space="0" w:color="auto"/>
        <w:bottom w:val="none" w:sz="0" w:space="0" w:color="auto"/>
        <w:right w:val="none" w:sz="0" w:space="0" w:color="auto"/>
      </w:divBdr>
    </w:div>
    <w:div w:id="1732607341">
      <w:bodyDiv w:val="1"/>
      <w:marLeft w:val="0"/>
      <w:marRight w:val="0"/>
      <w:marTop w:val="0"/>
      <w:marBottom w:val="0"/>
      <w:divBdr>
        <w:top w:val="none" w:sz="0" w:space="0" w:color="auto"/>
        <w:left w:val="none" w:sz="0" w:space="0" w:color="auto"/>
        <w:bottom w:val="none" w:sz="0" w:space="0" w:color="auto"/>
        <w:right w:val="none" w:sz="0" w:space="0" w:color="auto"/>
      </w:divBdr>
    </w:div>
    <w:div w:id="1760760019">
      <w:bodyDiv w:val="1"/>
      <w:marLeft w:val="0"/>
      <w:marRight w:val="0"/>
      <w:marTop w:val="0"/>
      <w:marBottom w:val="0"/>
      <w:divBdr>
        <w:top w:val="none" w:sz="0" w:space="0" w:color="auto"/>
        <w:left w:val="none" w:sz="0" w:space="0" w:color="auto"/>
        <w:bottom w:val="none" w:sz="0" w:space="0" w:color="auto"/>
        <w:right w:val="none" w:sz="0" w:space="0" w:color="auto"/>
      </w:divBdr>
    </w:div>
    <w:div w:id="1808206625">
      <w:bodyDiv w:val="1"/>
      <w:marLeft w:val="0"/>
      <w:marRight w:val="0"/>
      <w:marTop w:val="0"/>
      <w:marBottom w:val="0"/>
      <w:divBdr>
        <w:top w:val="none" w:sz="0" w:space="0" w:color="auto"/>
        <w:left w:val="none" w:sz="0" w:space="0" w:color="auto"/>
        <w:bottom w:val="none" w:sz="0" w:space="0" w:color="auto"/>
        <w:right w:val="none" w:sz="0" w:space="0" w:color="auto"/>
      </w:divBdr>
    </w:div>
    <w:div w:id="1832982884">
      <w:bodyDiv w:val="1"/>
      <w:marLeft w:val="0"/>
      <w:marRight w:val="0"/>
      <w:marTop w:val="0"/>
      <w:marBottom w:val="0"/>
      <w:divBdr>
        <w:top w:val="none" w:sz="0" w:space="0" w:color="auto"/>
        <w:left w:val="none" w:sz="0" w:space="0" w:color="auto"/>
        <w:bottom w:val="none" w:sz="0" w:space="0" w:color="auto"/>
        <w:right w:val="none" w:sz="0" w:space="0" w:color="auto"/>
      </w:divBdr>
    </w:div>
    <w:div w:id="1868980707">
      <w:bodyDiv w:val="1"/>
      <w:marLeft w:val="0"/>
      <w:marRight w:val="0"/>
      <w:marTop w:val="0"/>
      <w:marBottom w:val="0"/>
      <w:divBdr>
        <w:top w:val="none" w:sz="0" w:space="0" w:color="auto"/>
        <w:left w:val="none" w:sz="0" w:space="0" w:color="auto"/>
        <w:bottom w:val="none" w:sz="0" w:space="0" w:color="auto"/>
        <w:right w:val="none" w:sz="0" w:space="0" w:color="auto"/>
      </w:divBdr>
    </w:div>
    <w:div w:id="2002928089">
      <w:bodyDiv w:val="1"/>
      <w:marLeft w:val="0"/>
      <w:marRight w:val="0"/>
      <w:marTop w:val="0"/>
      <w:marBottom w:val="0"/>
      <w:divBdr>
        <w:top w:val="none" w:sz="0" w:space="0" w:color="auto"/>
        <w:left w:val="none" w:sz="0" w:space="0" w:color="auto"/>
        <w:bottom w:val="none" w:sz="0" w:space="0" w:color="auto"/>
        <w:right w:val="none" w:sz="0" w:space="0" w:color="auto"/>
      </w:divBdr>
    </w:div>
    <w:div w:id="2032951694">
      <w:bodyDiv w:val="1"/>
      <w:marLeft w:val="0"/>
      <w:marRight w:val="0"/>
      <w:marTop w:val="0"/>
      <w:marBottom w:val="0"/>
      <w:divBdr>
        <w:top w:val="none" w:sz="0" w:space="0" w:color="auto"/>
        <w:left w:val="none" w:sz="0" w:space="0" w:color="auto"/>
        <w:bottom w:val="none" w:sz="0" w:space="0" w:color="auto"/>
        <w:right w:val="none" w:sz="0" w:space="0" w:color="auto"/>
      </w:divBdr>
    </w:div>
    <w:div w:id="2092120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Llo99</b:Tag>
    <b:SourceType>JournalArticle</b:SourceType>
    <b:Guid>{8938F044-89EE-41BC-907E-C65B45198EEC}</b:Guid>
    <b:Author>
      <b:Author>
        <b:NameList>
          <b:Person>
            <b:Last>Lloyd</b:Last>
            <b:First>Charles</b:First>
          </b:Person>
        </b:NameList>
      </b:Author>
    </b:Author>
    <b:Title>The Evander-Anchises Connection: Fathers, Sons, and Homoerotic Desire in Vergil's "Aeneid"</b:Title>
    <b:Year>1999</b:Year>
    <b:Publisher>The Vergilian Society</b:Publisher>
    <b:JournalName>Vergilius</b:JournalName>
    <b:Pages>3-21</b:Pages>
    <b:RefOrder>1</b:RefOrder>
  </b:Source>
  <b:Source>
    <b:Tag>Dav13</b:Tag>
    <b:SourceType>Book</b:SourceType>
    <b:Guid>{0D4E8BFD-16D6-4488-A318-8409AAA66AD9}</b:Guid>
    <b:Title>The Emperors of Rome</b:Title>
    <b:Year>2013</b:Year>
    <b:Author>
      <b:Author>
        <b:NameList>
          <b:Person>
            <b:Last>Potter</b:Last>
            <b:First>David</b:First>
          </b:Person>
        </b:NameList>
      </b:Author>
    </b:Author>
    <b:City>London</b:City>
    <b:Publisher>Quercu</b:Publisher>
    <b:RefOrder>5</b:RefOrder>
  </b:Source>
  <b:Source>
    <b:Tag>Bul67</b:Tag>
    <b:SourceType>Book</b:SourceType>
    <b:Guid>{62BE8B95-8222-4F47-83F5-3771179A9FCC}</b:Guid>
    <b:Author>
      <b:Author>
        <b:NameList>
          <b:Person>
            <b:Last>Bulfinch</b:Last>
            <b:First>Thomas</b:First>
          </b:Person>
        </b:NameList>
      </b:Author>
    </b:Author>
    <b:Title>Bulfinch's Mythology</b:Title>
    <b:Year>1867</b:Year>
    <b:City>San Diego</b:City>
    <b:Publisher>Peter Norton</b:Publisher>
    <b:Edition>2014</b:Edition>
    <b:RefOrder>3</b:RefOrder>
  </b:Source>
  <b:Source>
    <b:Tag>Col82</b:Tag>
    <b:SourceType>JournalArticle</b:SourceType>
    <b:Guid>{986805C3-C526-4C53-80AD-EF0D11EEA682}</b:Guid>
    <b:Author>
      <b:Author>
        <b:NameList>
          <b:Person>
            <b:Last>Coleman</b:Last>
            <b:First>Robert</b:First>
          </b:Person>
        </b:NameList>
      </b:Author>
    </b:Author>
    <b:Title>Greece and Rome</b:Title>
    <b:Year>1982</b:Year>
    <b:Publisher>Cambridge University Press</b:Publisher>
    <b:JournalName>The Gods in the 'Aeneid'</b:JournalName>
    <b:Pages>143-168</b:Pages>
    <b:Month>October</b:Month>
    <b:Volume>29</b:Volume>
    <b:RefOrder>4</b:RefOrder>
  </b:Source>
  <b:Source>
    <b:Tag>Ver</b:Tag>
    <b:SourceType>Book</b:SourceType>
    <b:Guid>{A1FBD762-4682-4268-A8A1-E0C8C8E4D26A}</b:Guid>
    <b:Title>The Aeneid</b:Title>
    <b:Author>
      <b:Author>
        <b:NameList>
          <b:Person>
            <b:Last>Vergil</b:Last>
          </b:Person>
        </b:NameList>
      </b:Author>
    </b:Author>
    <b:RefOrder>2</b:RefOrder>
  </b:Source>
</b:Sources>
</file>

<file path=customXml/itemProps1.xml><?xml version="1.0" encoding="utf-8"?>
<ds:datastoreItem xmlns:ds="http://schemas.openxmlformats.org/officeDocument/2006/customXml" ds:itemID="{B5929DF1-D23C-4E9E-987A-AFF3B73663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731</TotalTime>
  <Pages>3</Pages>
  <Words>1652</Words>
  <Characters>7847</Characters>
  <Application>Microsoft Office Word</Application>
  <DocSecurity>0</DocSecurity>
  <Lines>160</Lines>
  <Paragraphs>131</Paragraphs>
  <ScaleCrop>false</ScaleCrop>
  <Company/>
  <LinksUpToDate>false</LinksUpToDate>
  <CharactersWithSpaces>9368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Emery Futer</dc:creator>
  <cp:keywords/>
  <dc:description/>
  <cp:lastModifiedBy>Emery Futer</cp:lastModifiedBy>
  <cp:revision>362</cp:revision>
  <dcterms:created xsi:type="dcterms:W3CDTF">2022-12-09T14:02:00Z</dcterms:created>
  <dcterms:modified xsi:type="dcterms:W3CDTF">2022-12-14T05:35:00Z</dcterms:modified>
</cp:coreProperties>
</file>