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894096" w14:textId="7CCB9BB9" w:rsidR="00C04703" w:rsidRPr="00633BD3" w:rsidRDefault="00C04703" w:rsidP="0080312C">
      <w:pPr>
        <w:spacing w:line="480" w:lineRule="auto"/>
        <w:rPr>
          <w:rFonts w:ascii="Arial" w:hAnsi="Arial" w:cs="Arial"/>
          <w:b/>
          <w:bCs/>
        </w:rPr>
      </w:pPr>
      <w:r w:rsidRPr="00C04703">
        <w:rPr>
          <w:rFonts w:ascii="Arial" w:hAnsi="Arial" w:cs="Arial"/>
          <w:b/>
          <w:bCs/>
        </w:rPr>
        <w:t>Introduction</w:t>
      </w:r>
    </w:p>
    <w:p w14:paraId="74B2426F" w14:textId="1CC5F3FB" w:rsidR="001E10BF" w:rsidRPr="001E10BF" w:rsidRDefault="001E10BF" w:rsidP="0080312C">
      <w:pPr>
        <w:spacing w:line="480" w:lineRule="auto"/>
        <w:rPr>
          <w:rFonts w:ascii="Arial" w:hAnsi="Arial" w:cs="Arial"/>
        </w:rPr>
      </w:pPr>
      <w:r w:rsidRPr="001E10BF">
        <w:rPr>
          <w:rFonts w:ascii="Arial" w:hAnsi="Arial" w:cs="Arial"/>
        </w:rPr>
        <w:t>The Curriculum for Wales is a transformative framework designed to reshape education in Wales, focusing on a learner-centred and purpose-driven approach. It is a key part of the Welsh Government’s Education in Wales: Our National Mission</w:t>
      </w:r>
      <w:r w:rsidR="00C720EC" w:rsidRPr="0080312C">
        <w:rPr>
          <w:rFonts w:ascii="Arial" w:hAnsi="Arial" w:cs="Arial"/>
        </w:rPr>
        <w:t xml:space="preserve">, </w:t>
      </w:r>
      <w:r w:rsidRPr="001E10BF">
        <w:rPr>
          <w:rFonts w:ascii="Arial" w:hAnsi="Arial" w:cs="Arial"/>
        </w:rPr>
        <w:t>aligning with the government’s vision for education</w:t>
      </w:r>
      <w:r w:rsidR="00C720EC" w:rsidRPr="0080312C">
        <w:rPr>
          <w:rFonts w:ascii="Arial" w:hAnsi="Arial" w:cs="Arial"/>
        </w:rPr>
        <w:t xml:space="preserve"> </w:t>
      </w:r>
      <w:r w:rsidR="00C720EC" w:rsidRPr="0080312C">
        <w:rPr>
          <w:rFonts w:ascii="Arial" w:hAnsi="Arial" w:cs="Arial"/>
        </w:rPr>
        <w:t>(Welsh Government, 2023)</w:t>
      </w:r>
      <w:r w:rsidRPr="001E10BF">
        <w:rPr>
          <w:rFonts w:ascii="Arial" w:hAnsi="Arial" w:cs="Arial"/>
        </w:rPr>
        <w:t>. The curriculum is centred around four core purposes: developing learners who are ambitious, capable individuals; enterprising, creative contributors; ethical, informed citizens; and healthy, confident individuals (Welsh Government, 2020b). These purposes are supported by a holistic learning approach that incorporates six broad Areas of Learning and Experience, along with cross-cutting competencies in literacy, numeracy, and digital competency.</w:t>
      </w:r>
    </w:p>
    <w:p w14:paraId="75AB83CC" w14:textId="77777777" w:rsidR="001E10BF" w:rsidRPr="001E10BF" w:rsidRDefault="001E10BF" w:rsidP="0080312C">
      <w:pPr>
        <w:spacing w:line="480" w:lineRule="auto"/>
        <w:rPr>
          <w:rFonts w:ascii="Arial" w:hAnsi="Arial" w:cs="Arial"/>
        </w:rPr>
      </w:pPr>
      <w:r w:rsidRPr="001E10BF">
        <w:rPr>
          <w:rFonts w:ascii="Arial" w:hAnsi="Arial" w:cs="Arial"/>
        </w:rPr>
        <w:t>A key aspect of the Curriculum for Wales is its integration of human rights education, reflecting a societal commitment to equity, inclusion, and well-being (Children's Commissioner for Wales, 2024). This approach promotes the understanding, experience, and advocacy of human rights, empowering both children and adults to know and apply their rights in the educational context (Murphy et al., 2024).</w:t>
      </w:r>
    </w:p>
    <w:p w14:paraId="4FEC2377" w14:textId="77777777" w:rsidR="001E10BF" w:rsidRPr="001E10BF" w:rsidRDefault="001E10BF" w:rsidP="0080312C">
      <w:pPr>
        <w:spacing w:line="480" w:lineRule="auto"/>
        <w:rPr>
          <w:rFonts w:ascii="Arial" w:hAnsi="Arial" w:cs="Arial"/>
        </w:rPr>
      </w:pPr>
      <w:r w:rsidRPr="001E10BF">
        <w:rPr>
          <w:rFonts w:ascii="Arial" w:hAnsi="Arial" w:cs="Arial"/>
        </w:rPr>
        <w:t>The Curriculum and Assessment (Wales) Act 2021 embeds human rights education into the national curriculum, mandating the promotion of children’s rights, especially those outlined in the UNCRC and the UNCRPD (Children's Commissioner for Wales, 2025). These principles are integrated into key learning areas such as Humanities, Health and Well-being, and Relationships and Sexuality Education, ensuring that learners develop as informed, ethical citizens who value equity and respect (Welsh Government, 2020b).</w:t>
      </w:r>
    </w:p>
    <w:p w14:paraId="31197DE6" w14:textId="77777777" w:rsidR="001E10BF" w:rsidRPr="001E10BF" w:rsidRDefault="001E10BF" w:rsidP="0080312C">
      <w:pPr>
        <w:spacing w:line="480" w:lineRule="auto"/>
        <w:rPr>
          <w:rFonts w:ascii="Arial" w:hAnsi="Arial" w:cs="Arial"/>
        </w:rPr>
      </w:pPr>
      <w:r w:rsidRPr="001E10BF">
        <w:rPr>
          <w:rFonts w:ascii="Arial" w:hAnsi="Arial" w:cs="Arial"/>
        </w:rPr>
        <w:lastRenderedPageBreak/>
        <w:t>This assignment critically examines the integration of human rights education in the Curriculum for Wales, exploring its historical context, enablers, barriers, and impact on contemporary perceptions of children and young people.</w:t>
      </w:r>
    </w:p>
    <w:p w14:paraId="09DF97A0" w14:textId="77777777" w:rsidR="00726476" w:rsidRPr="00C04703" w:rsidRDefault="00726476" w:rsidP="0080312C">
      <w:pPr>
        <w:spacing w:line="480" w:lineRule="auto"/>
        <w:rPr>
          <w:rFonts w:ascii="Arial" w:hAnsi="Arial" w:cs="Arial"/>
        </w:rPr>
      </w:pPr>
    </w:p>
    <w:p w14:paraId="6EC50203" w14:textId="77777777" w:rsidR="008C5C53" w:rsidRPr="008C5C53" w:rsidRDefault="008C5C53" w:rsidP="0080312C">
      <w:pPr>
        <w:spacing w:line="480" w:lineRule="auto"/>
        <w:rPr>
          <w:rFonts w:ascii="Arial" w:hAnsi="Arial" w:cs="Arial"/>
          <w:b/>
          <w:bCs/>
          <w:color w:val="000000" w:themeColor="text1"/>
        </w:rPr>
      </w:pPr>
      <w:r w:rsidRPr="008C5C53">
        <w:rPr>
          <w:rFonts w:ascii="Arial" w:hAnsi="Arial" w:cs="Arial"/>
          <w:b/>
          <w:bCs/>
          <w:color w:val="000000" w:themeColor="text1"/>
        </w:rPr>
        <w:t>2.1 Historical Context</w:t>
      </w:r>
    </w:p>
    <w:p w14:paraId="16EB21AE"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Human rights have long been essential to the pursuit of justice and social cohesion, with the 20th century marking a pivotal moment in their codification. The Universal Declaration of Human Rights (UDHR), adopted in 1948, established a framework of dignity, equality, and justice that applies universally (United Nations, 1948). Alongside this, key international agreements like the European Convention on Human Rights (ECHR, 1950) and the United Nations Convention on the Rights of the Child (UNCRC, 1990) have shaped global educational practices, including those in Wales (UNICEF, 2022).</w:t>
      </w:r>
    </w:p>
    <w:p w14:paraId="5577DBF6"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Human rights principles are universal, indivisible, and interdependent, promoting dignity and equality. In education, these principles underpin a rights-based approach that prioritises non-discrimination, participation, and holistic learner development (UNICEF, 2007). The Human Rights Act 1998 incorporated the ECHR into UK law, mandating respect for freedoms of thought, expression, and protection from discrimination. This laid the foundation for inclusive practices in Welsh education.</w:t>
      </w:r>
    </w:p>
    <w:p w14:paraId="723E5EB4"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The adoption of the UNCRC in 1990 was a transformative milestone, recognising children's entitlement to protection, participation, and education (Equality and Human Rights Commission, 2018). The United Nations Convention on the Rights of Persons with Disabilities (UNCRPD, 2006) further ensured inclusive education for disabled learners (UNICEF, 2017). These conventions have heavily influenced Welsh </w:t>
      </w:r>
      <w:r w:rsidRPr="008C5C53">
        <w:rPr>
          <w:rFonts w:ascii="Arial" w:hAnsi="Arial" w:cs="Arial"/>
          <w:color w:val="000000" w:themeColor="text1"/>
        </w:rPr>
        <w:lastRenderedPageBreak/>
        <w:t>education policy, including the Curriculum and Assessment (Wales) Act 2021, embedding human rights education in the national curriculum (Children's Commissioner for Wales, 2024).</w:t>
      </w:r>
    </w:p>
    <w:p w14:paraId="5DC426A2"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After devolution, Wales became the first UK nation to appoint a Children’s Commissioner in 2001, solidifying its commitment to championing children’s rights (Murphy &amp; Waters-Davies, 2022). The Rights of Children and Young Persons (Wales) Measure 2011 further embedded the UNCRC into Welsh law, ensuring that children’s rights are central to policymaking (Welsh Government, 2022). The Foundation Phase curriculum, introduced in 2008 for children aged 3-7, exemplifies </w:t>
      </w:r>
      <w:proofErr w:type="spellStart"/>
      <w:r w:rsidRPr="008C5C53">
        <w:rPr>
          <w:rFonts w:ascii="Arial" w:hAnsi="Arial" w:cs="Arial"/>
          <w:color w:val="000000" w:themeColor="text1"/>
        </w:rPr>
        <w:t>Wales'</w:t>
      </w:r>
      <w:proofErr w:type="spellEnd"/>
      <w:r w:rsidRPr="008C5C53">
        <w:rPr>
          <w:rFonts w:ascii="Arial" w:hAnsi="Arial" w:cs="Arial"/>
          <w:color w:val="000000" w:themeColor="text1"/>
        </w:rPr>
        <w:t xml:space="preserve"> child-centred approach, which diverged from the more formal models used in the rest of the UK (Murphy &amp; Waters-Davies, 2022). Evaluations of the Foundation Phase indicated positive outcomes, especially for disadvantaged children, further establishing a model for inclusive, rights-based early education.</w:t>
      </w:r>
    </w:p>
    <w:p w14:paraId="490B0FCF"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International initiatives, such as the UN Decade of Human Rights Education (1995-2004) and the Council of Europe Charter on Education for Democratic Citizenship and Human Rights Education (2010), have encouraged global schools to integrate Human Rights Education (HRE) into curricula (Council of Europe, 2014). HRE comprises three dimensions:</w:t>
      </w:r>
    </w:p>
    <w:p w14:paraId="486A54CF" w14:textId="77777777" w:rsidR="008C5C53" w:rsidRPr="008C5C53" w:rsidRDefault="008C5C53" w:rsidP="0080312C">
      <w:pPr>
        <w:numPr>
          <w:ilvl w:val="0"/>
          <w:numId w:val="43"/>
        </w:numPr>
        <w:spacing w:line="480" w:lineRule="auto"/>
        <w:rPr>
          <w:rFonts w:ascii="Arial" w:hAnsi="Arial" w:cs="Arial"/>
          <w:color w:val="000000" w:themeColor="text1"/>
        </w:rPr>
      </w:pPr>
      <w:r w:rsidRPr="008C5C53">
        <w:rPr>
          <w:rFonts w:ascii="Arial" w:hAnsi="Arial" w:cs="Arial"/>
          <w:color w:val="000000" w:themeColor="text1"/>
        </w:rPr>
        <w:t>Learning about human rights – Understanding their scope and safeguards.</w:t>
      </w:r>
    </w:p>
    <w:p w14:paraId="32447685" w14:textId="77777777" w:rsidR="008C5C53" w:rsidRPr="008C5C53" w:rsidRDefault="008C5C53" w:rsidP="0080312C">
      <w:pPr>
        <w:numPr>
          <w:ilvl w:val="0"/>
          <w:numId w:val="43"/>
        </w:numPr>
        <w:spacing w:line="480" w:lineRule="auto"/>
        <w:rPr>
          <w:rFonts w:ascii="Arial" w:hAnsi="Arial" w:cs="Arial"/>
          <w:color w:val="000000" w:themeColor="text1"/>
        </w:rPr>
      </w:pPr>
      <w:r w:rsidRPr="008C5C53">
        <w:rPr>
          <w:rFonts w:ascii="Arial" w:hAnsi="Arial" w:cs="Arial"/>
          <w:color w:val="000000" w:themeColor="text1"/>
        </w:rPr>
        <w:t>Learning through human rights – Ensuring education reflects human rights values like participation and freedom of thought.</w:t>
      </w:r>
    </w:p>
    <w:p w14:paraId="0783A6AF" w14:textId="77777777" w:rsidR="008C5C53" w:rsidRPr="008C5C53" w:rsidRDefault="008C5C53" w:rsidP="0080312C">
      <w:pPr>
        <w:numPr>
          <w:ilvl w:val="0"/>
          <w:numId w:val="43"/>
        </w:numPr>
        <w:spacing w:line="480" w:lineRule="auto"/>
        <w:rPr>
          <w:rFonts w:ascii="Arial" w:hAnsi="Arial" w:cs="Arial"/>
          <w:color w:val="000000" w:themeColor="text1"/>
        </w:rPr>
      </w:pPr>
      <w:r w:rsidRPr="008C5C53">
        <w:rPr>
          <w:rFonts w:ascii="Arial" w:hAnsi="Arial" w:cs="Arial"/>
          <w:color w:val="000000" w:themeColor="text1"/>
        </w:rPr>
        <w:t>Learning for human rights – Developing skills to apply these principles in daily life.</w:t>
      </w:r>
    </w:p>
    <w:p w14:paraId="609E3D4C"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lastRenderedPageBreak/>
        <w:t>In Wales, the Curriculum for Wales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integrates these dimensions by embedding rights-based education throughout all Areas of Learning and Experience. This approach aligns with the four core purposes of the curriculum: to develop ambitious learners, ethical citizens, creative contributors, and healthy individuals (Welsh Government, 2020). The Education Reform Act 1988, which established the National Curriculum in the UK, aimed to standardise education and promote equal access to quality education. Over time, this framework evolved, incorporating international conventions like the UNCRC and UNCRPD and domestic legislation such as the Equality Act 2010 to address systemic barriers and prioritise equity, diversity, and well-being (Children's Commissioner for Wales, n.d.).</w:t>
      </w:r>
    </w:p>
    <w:p w14:paraId="31A26F84" w14:textId="77777777" w:rsid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The Curriculum and Assessment (Wales) Act 2021 builds upon this legacy, embedding human rights into education to create an inclusive, participatory, and empowering environment. By incorporating the UNCRC and UNCRPD, the Welsh Government has aligned education with societal goals of equity, inclusion, and active citizenship, reinforcing its leadership in human rights-based education (Welsh Government, 2020a).</w:t>
      </w:r>
    </w:p>
    <w:p w14:paraId="589E3C2E" w14:textId="77777777" w:rsidR="00633BD3" w:rsidRPr="008C5C53" w:rsidRDefault="00633BD3" w:rsidP="0080312C">
      <w:pPr>
        <w:spacing w:line="480" w:lineRule="auto"/>
        <w:rPr>
          <w:rFonts w:ascii="Arial" w:hAnsi="Arial" w:cs="Arial"/>
          <w:color w:val="000000" w:themeColor="text1"/>
        </w:rPr>
      </w:pPr>
    </w:p>
    <w:p w14:paraId="3F9CEBCD" w14:textId="77777777" w:rsidR="008C5C53" w:rsidRPr="008C5C53" w:rsidRDefault="008C5C53" w:rsidP="0080312C">
      <w:pPr>
        <w:spacing w:line="480" w:lineRule="auto"/>
        <w:rPr>
          <w:rFonts w:ascii="Arial" w:hAnsi="Arial" w:cs="Arial"/>
          <w:b/>
          <w:bCs/>
          <w:color w:val="000000" w:themeColor="text1"/>
        </w:rPr>
      </w:pPr>
      <w:r w:rsidRPr="008C5C53">
        <w:rPr>
          <w:rFonts w:ascii="Arial" w:hAnsi="Arial" w:cs="Arial"/>
          <w:b/>
          <w:bCs/>
          <w:color w:val="000000" w:themeColor="text1"/>
        </w:rPr>
        <w:t>2.2 Current Policy Context</w:t>
      </w:r>
    </w:p>
    <w:p w14:paraId="020EF0F1"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Wales has seen a significant transformation in education, particularly through the introduction of the Curriculum and Assessment (Wales) Act 2021. This Act marks a major step in embedding human rights into education by incorporating Human Rights Education (HRE) as a cross-cutting theme, aligned with broader societal goals of equity, inclusion, and active citizenship (Welsh Government, 2020c).</w:t>
      </w:r>
    </w:p>
    <w:p w14:paraId="123DFC62"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lastRenderedPageBreak/>
        <w:t>At the core of the Curriculum for Wales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is a child-centred approach, which focuses on fostering ambitious, ethical, and creative learners (Murphy &amp; Waters-Davies, 2022). This framework empowers children to understand and exercise their rights, preparing them for active participation in society. Human rights principles are embedded across various Areas of Learning and Experience (</w:t>
      </w:r>
      <w:proofErr w:type="spellStart"/>
      <w:r w:rsidRPr="008C5C53">
        <w:rPr>
          <w:rFonts w:ascii="Arial" w:hAnsi="Arial" w:cs="Arial"/>
          <w:color w:val="000000" w:themeColor="text1"/>
        </w:rPr>
        <w:t>AoLEs</w:t>
      </w:r>
      <w:proofErr w:type="spellEnd"/>
      <w:r w:rsidRPr="008C5C53">
        <w:rPr>
          <w:rFonts w:ascii="Arial" w:hAnsi="Arial" w:cs="Arial"/>
          <w:color w:val="000000" w:themeColor="text1"/>
        </w:rPr>
        <w:t>), such as: • Humanities, which encourages the exploration of ethical issues and societal values through a rights-based lens. • Health and Well-being, which promotes emotional and mental health, aligned with Article 24 of the UNCRC, detailing the child’s right to health and well-being. • Relationships and Sexuality Education (RSE), fostering bodily autonomy, respect, and inclusion, in line with the participatory principles of the UNCRC and UNCRPD (Welsh Government, 2020b).</w:t>
      </w:r>
    </w:p>
    <w:p w14:paraId="6F08033C"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The “children-first” participatory approach of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integrates the principles of the UNCRC, ensuring that teaching practices are rights-informed, rights-aware, and rights-based (Murphy &amp; Waters-Davies, 2022). Section 64 of the Act mandates that all educational providers promote knowledge and understanding of the UNCRC and UNCRPD, reinforcing a rights-based ethos across schools and other educational settings funded by local authorities (Welsh Government, 2020c).</w:t>
      </w:r>
    </w:p>
    <w:p w14:paraId="2170F827"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Recent legislative developments, including the Additional Learning Needs and Education Tribunal (Wales) Bill and the ALN Code for Wales, reflect the Welsh Government’s commitment to addressing the needs of children with disabilities and additional learning needs (ALN). These measures prioritise inclusive practices and the active participation of children in decisions affecting their education, consistent with the principles of the UNCRC and UNCRPD (Murphy &amp; Waters-Davies, 2022).</w:t>
      </w:r>
    </w:p>
    <w:p w14:paraId="05ECC477"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lastRenderedPageBreak/>
        <w:t xml:space="preserve">The Welsh Government’s commitment to equity and inclusion is further demonstrated by the Well-being of Future Generations Act (2015), which prioritises long-term, inclusive thinking. This aligns with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ensuring that education policies are sustainable and rights-based (Murphy &amp; Waters-Davies, 2022). The Foundation Phase curriculum, updated in 2015, emphasises inclusive, play-based learning for children aged 3–7. Evaluations by Siraj and Kingston (2014) and the Welsh Government (2015) revealed mixed results regarding its impact on reducing attainment gaps but showed positive outcomes for disadvantaged children, reinforcing the success of a rights-based, child-centred early education model (Murphy &amp; Waters-Davies, 2022).</w:t>
      </w:r>
    </w:p>
    <w:p w14:paraId="6739C9F7"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Integrating rights into the curriculum supports broader societal goals: • Equity: By addressing systemic barriers and promoting equal opportunities,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aligns with the Equality Act 2010, aiming to eliminate marginalisation of disadvantaged and disabled learners. • Inclusion: By encouraging children to express their views and contribute to curriculum design,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fosters an environment that values diversity. • Active Citizenship: By nurturing informed, ethical citizens,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promotes education for sustainable development and global citizenship.</w:t>
      </w:r>
    </w:p>
    <w:p w14:paraId="2F060689"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The integration of the UNCRC and UNCRPD into the curriculum demonstrates </w:t>
      </w:r>
      <w:proofErr w:type="spellStart"/>
      <w:r w:rsidRPr="008C5C53">
        <w:rPr>
          <w:rFonts w:ascii="Arial" w:hAnsi="Arial" w:cs="Arial"/>
          <w:color w:val="000000" w:themeColor="text1"/>
        </w:rPr>
        <w:t>Wales’</w:t>
      </w:r>
      <w:proofErr w:type="spellEnd"/>
      <w:r w:rsidRPr="008C5C53">
        <w:rPr>
          <w:rFonts w:ascii="Arial" w:hAnsi="Arial" w:cs="Arial"/>
          <w:color w:val="000000" w:themeColor="text1"/>
        </w:rPr>
        <w:t xml:space="preserve"> commitment to an education system that meets legal obligations while fostering respect, inclusion, and empowerment. By prioritising rights-based, child-centred approaches,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aims to transform the educational landscape and contribute to a more equitable society (Children's Commissioner for Wales, n.d.).</w:t>
      </w:r>
    </w:p>
    <w:p w14:paraId="15358EA3"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Despite its strong foundation, the practical application of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faces challenges. The curriculum’s emphasis on teacher autonomy allows educators to adapt to local </w:t>
      </w:r>
      <w:r w:rsidRPr="008C5C53">
        <w:rPr>
          <w:rFonts w:ascii="Arial" w:hAnsi="Arial" w:cs="Arial"/>
          <w:color w:val="000000" w:themeColor="text1"/>
        </w:rPr>
        <w:lastRenderedPageBreak/>
        <w:t>needs, but this flexibility can lead to inconsistencies in implementing rights-based education. Some educators are confident teaching human rights, while others struggle with implementing them due to a lack of professional development and resources (Stewart, MacDonald, &amp; Waters-Davies, 2024). This reveals a gap between policy goals and classroom realities.</w:t>
      </w:r>
    </w:p>
    <w:p w14:paraId="42ADC706"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Additionally, teacher autonomy creates tension with the need for a unified approach. While the flexibility allows for tailored teaching, it can cause fragmentation in the implementation of rights-based practices, especially where schools lack resources or expertise. This highlights the conflict between flexibility and cohesion in rights-based education.</w:t>
      </w:r>
    </w:p>
    <w:p w14:paraId="1FB919C8"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Resource constraints and funding disparities further exacerbate existing inequalities. Schools in disadvantaged areas struggle to provide necessary teacher training and consistent access to rights-based education, particularly for students with ALN or from marginalised communities. This undermines the potential of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to ensure equitable access to education (Wales UNCRC Monitoring Group, 2022).</w:t>
      </w:r>
    </w:p>
    <w:p w14:paraId="5AA1C31C" w14:textId="77777777" w:rsidR="002215D7" w:rsidRPr="0080312C" w:rsidRDefault="002215D7" w:rsidP="0080312C">
      <w:pPr>
        <w:spacing w:line="480" w:lineRule="auto"/>
        <w:rPr>
          <w:rFonts w:ascii="Arial" w:hAnsi="Arial" w:cs="Arial"/>
          <w:color w:val="000000" w:themeColor="text1"/>
        </w:rPr>
      </w:pPr>
    </w:p>
    <w:p w14:paraId="13E98BB5" w14:textId="77777777" w:rsidR="008C5C53" w:rsidRPr="008C5C53" w:rsidRDefault="008C5C53" w:rsidP="0080312C">
      <w:pPr>
        <w:spacing w:line="480" w:lineRule="auto"/>
        <w:rPr>
          <w:rFonts w:ascii="Arial" w:hAnsi="Arial" w:cs="Arial"/>
          <w:b/>
          <w:bCs/>
          <w:color w:val="000000" w:themeColor="text1"/>
        </w:rPr>
      </w:pPr>
      <w:r w:rsidRPr="008C5C53">
        <w:rPr>
          <w:rFonts w:ascii="Arial" w:hAnsi="Arial" w:cs="Arial"/>
          <w:b/>
          <w:bCs/>
          <w:color w:val="000000" w:themeColor="text1"/>
        </w:rPr>
        <w:t>3.1 Enablers of Policy Implementation</w:t>
      </w:r>
    </w:p>
    <w:p w14:paraId="01A16591"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The implementation of children’s rights within education in Wales is supported by various enablers, creating a strong foundation for progress. A fundamental enabler is the Welsh Government’s robust policy commitment to the United Nations Convention on the Rights of the Child (UNCRC). As highlighted by Stewart, MacDonald, and Waters-Davies (2024), the Curriculum for Wales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integrates children’s rights, ensuring that children are not only educated but also empowered to understand, experience, and advocate for their rights. This alignment with the UNCRC lays a </w:t>
      </w:r>
      <w:r w:rsidRPr="008C5C53">
        <w:rPr>
          <w:rFonts w:ascii="Arial" w:hAnsi="Arial" w:cs="Arial"/>
          <w:color w:val="000000" w:themeColor="text1"/>
        </w:rPr>
        <w:lastRenderedPageBreak/>
        <w:t xml:space="preserve">foundation for equality, inclusion, and active citizenship—core tenets of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Moreover, human rights education (HRE) offers teachers a clear framework, guiding them towards best practices in fostering rights-based education.</w:t>
      </w:r>
    </w:p>
    <w:p w14:paraId="27C211BE"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The Well-being of Future Generations Act (2015) strengthens this framework by providing sustainable, rights-based policymaking (Murphy &amp; Waters-Davies, 2022). The Act prioritises long-term thinking and inclusivity, complementing the principles of children’s rights and supporting their integration into education (Future Generations Commissioner for Wales, 2015).</w:t>
      </w:r>
    </w:p>
    <w:p w14:paraId="5B2F63FD"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Initiatives like The Right Way framework and the Rights Respecting Schools Award (RRSA) have been pivotal in advancing children’s rights, particularly within primary schools (Murphy &amp; Waters-Davies, 2022). These initiatives foster a rights-based ethos within schools, ensuring that children’s voices are </w:t>
      </w:r>
      <w:proofErr w:type="gramStart"/>
      <w:r w:rsidRPr="008C5C53">
        <w:rPr>
          <w:rFonts w:ascii="Arial" w:hAnsi="Arial" w:cs="Arial"/>
          <w:color w:val="000000" w:themeColor="text1"/>
        </w:rPr>
        <w:t>heard</w:t>
      </w:r>
      <w:proofErr w:type="gramEnd"/>
      <w:r w:rsidRPr="008C5C53">
        <w:rPr>
          <w:rFonts w:ascii="Arial" w:hAnsi="Arial" w:cs="Arial"/>
          <w:color w:val="000000" w:themeColor="text1"/>
        </w:rPr>
        <w:t xml:space="preserve"> and their rights are embedded in daily practices.</w:t>
      </w:r>
    </w:p>
    <w:p w14:paraId="441BCE91"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Evidence supports the effectiveness of these reforms. For instance, studies by Siraj and Kingston (2014) and the Welsh Government (2015) demonstrate that the Foundation Phase has led to improved outcomes for disadvantaged children, showcasing the positive impact of a child-centred, play-based early education approach (Murphy &amp; Waters-Davies, 2022).</w:t>
      </w:r>
    </w:p>
    <w:p w14:paraId="79D07740"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A key enabler of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is its emphasis on teacher autonomy. According to Davies et al. (2024), this flexibility allows educators to adapt their teaching methods to meet students’ specific needs. This adaptability is essential for the successful implementation of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ensuring that teachers can tailor their practice to local contexts.</w:t>
      </w:r>
    </w:p>
    <w:p w14:paraId="4D7BC5A4"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lastRenderedPageBreak/>
        <w:t xml:space="preserve">Finally, the integration of the UNCRC and the United Nations Convention on the Rights of Persons with Disabilities (UNCRPD) into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across various Areas of Learning and Experience (</w:t>
      </w:r>
      <w:proofErr w:type="spellStart"/>
      <w:r w:rsidRPr="008C5C53">
        <w:rPr>
          <w:rFonts w:ascii="Arial" w:hAnsi="Arial" w:cs="Arial"/>
          <w:color w:val="000000" w:themeColor="text1"/>
        </w:rPr>
        <w:t>AoLEs</w:t>
      </w:r>
      <w:proofErr w:type="spellEnd"/>
      <w:r w:rsidRPr="008C5C53">
        <w:rPr>
          <w:rFonts w:ascii="Arial" w:hAnsi="Arial" w:cs="Arial"/>
          <w:color w:val="000000" w:themeColor="text1"/>
        </w:rPr>
        <w:t>) promotes a holistic approach to education (Children's Commissioner for Wales, 2025). This interdisciplinary focus strengthens the overall implementation of rights-based education, fostering collaboration among educators and making the system more inclusive.</w:t>
      </w:r>
    </w:p>
    <w:p w14:paraId="2059F3EE" w14:textId="77777777" w:rsid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Together, these enablers demonstrate Wales’s commitment to embedding children’s rights in education. By leveraging these strengths, Wales continues to move towards a more inclusive, rights-informed education system for all children.</w:t>
      </w:r>
    </w:p>
    <w:p w14:paraId="0DB14ADE" w14:textId="77777777" w:rsidR="00633BD3" w:rsidRPr="008C5C53" w:rsidRDefault="00633BD3" w:rsidP="0080312C">
      <w:pPr>
        <w:spacing w:line="480" w:lineRule="auto"/>
        <w:rPr>
          <w:rFonts w:ascii="Arial" w:hAnsi="Arial" w:cs="Arial"/>
          <w:color w:val="000000" w:themeColor="text1"/>
        </w:rPr>
      </w:pPr>
    </w:p>
    <w:p w14:paraId="35EFB2A6" w14:textId="77777777" w:rsidR="008C5C53" w:rsidRPr="008C5C53" w:rsidRDefault="008C5C53" w:rsidP="0080312C">
      <w:pPr>
        <w:spacing w:line="480" w:lineRule="auto"/>
        <w:rPr>
          <w:rFonts w:ascii="Arial" w:hAnsi="Arial" w:cs="Arial"/>
          <w:b/>
          <w:bCs/>
          <w:color w:val="000000" w:themeColor="text1"/>
        </w:rPr>
      </w:pPr>
      <w:r w:rsidRPr="008C5C53">
        <w:rPr>
          <w:rFonts w:ascii="Arial" w:hAnsi="Arial" w:cs="Arial"/>
          <w:b/>
          <w:bCs/>
          <w:color w:val="000000" w:themeColor="text1"/>
        </w:rPr>
        <w:t>3.2 Barriers to Policy Implementation</w:t>
      </w:r>
    </w:p>
    <w:p w14:paraId="47A56531"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Despite the progress made, several barriers hinder the full implementation of children’s rights in education in Wales. A significant challenge is the fragmentation of early years educational provision. Stewart, MacDonald, and Waters-Davies (2024) highlight the existence of multiple guidance frameworks, such as the Curriculum for Wales, the Curriculum for Funded Non-Maintained Nursery Settings, and the Early Childhood Play, Learning, and Care guidance. This lack of coherence, especially for 3–4-year-olds, results in inconsistent quality and delivery of education across different settings, undermining the goal of universal access to high-quality, rights-based education.</w:t>
      </w:r>
    </w:p>
    <w:p w14:paraId="2F27EF4E"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Challenges in fully implementing children’s rights are also prominent for students with Additional Learning Needs (ALN) and in secondary and special schools. Initiatives like the Rights Respecting Schools Award (RRSA) have had limited success in these settings, particularly for children with complex needs (Murphy &amp; </w:t>
      </w:r>
      <w:r w:rsidRPr="008C5C53">
        <w:rPr>
          <w:rFonts w:ascii="Arial" w:hAnsi="Arial" w:cs="Arial"/>
          <w:color w:val="000000" w:themeColor="text1"/>
        </w:rPr>
        <w:lastRenderedPageBreak/>
        <w:t>Waters-Davies, 2024). Although policies exist to promote inclusivity, financial constraints on local authorities and childcare providers hinder the ability to consistently deliver high-quality education across the sector (Stewart, MacDonald, &amp; Waters-Davies, 2024). These financial pressures exacerbate the inconsistency of service provision, further undermining Wales’s commitment to children’s rights.</w:t>
      </w:r>
    </w:p>
    <w:p w14:paraId="2A144965"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A critical gap exists between policy aspirations and the reality in classrooms. Stewart, MacDonald, and Waters-Davies (2024) note that while many educators are confident in teaching about rights, they often struggle with teaching through or for rights. The lack of tailored professional development and inadequate learning opportunities leaves educators ill-prepared to effectively integrate the principles of the UNCRC into their practice. Furthermore, the reliance on whole-school approaches, as opposed to more individualised practices, limits the potential for fully embedding rights-based education into teaching pedagogy (Murphy &amp; Waters-Davies, 2024).</w:t>
      </w:r>
    </w:p>
    <w:p w14:paraId="67507B29"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To overcome these barriers, further training is essential. Practitioners require more training in rights-based education to ensure that children’s voices and needs are central in the learning process (Murphy &amp; Waters-Davies, 2024). However, without sufficient funding for training and adequate resources, educators struggle to meet the ambitious goals of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w:t>
      </w:r>
    </w:p>
    <w:p w14:paraId="1591BB13"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Additional barriers include the lack of clarity and coherence during the implementation of Welsh education reforms. Davies et al. (2024) identify the complexities of the curriculum and the competing demands on teachers’ time as major obstacles in translating policy into practice. The tension between teacher autonomy and the need for a cohesive, unified approach has led to inconsistent </w:t>
      </w:r>
      <w:r w:rsidRPr="008C5C53">
        <w:rPr>
          <w:rFonts w:ascii="Arial" w:hAnsi="Arial" w:cs="Arial"/>
          <w:color w:val="000000" w:themeColor="text1"/>
        </w:rPr>
        <w:lastRenderedPageBreak/>
        <w:t>implementation across schools. This gap in policy implementation results in a lack of support for teachers, further contributing to the difficulties faced in embedding rights-based education.</w:t>
      </w:r>
    </w:p>
    <w:p w14:paraId="12C27FF4"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Growing inequality in educational provision is another pressing barrier. The fragmentation of early years education, combined with uneven resource allocation across regions, means that vulnerable learners, particularly those from disadvantaged backgrounds, face significant barriers in accessing the same quality of education. This systemic inequality undermines Wales’s broader educational goals of equity and inclusion (Murphy &amp; Waters-Davies, 2024).</w:t>
      </w:r>
    </w:p>
    <w:p w14:paraId="4AB36205"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Although Wales has made considerable progress in embedding children’s rights into policy, substantial barriers remain. The fragmentation of early years provision, insufficient funding, lack of professional support, and inconsistent policy delivery create significant challenges in achieving a truly inclusive, rights-based education system. Addressing these barriers requires clear guidance, adequate funding, and ongoing professional development for educators to ensure that the ambitious goals of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are fully realised.</w:t>
      </w:r>
    </w:p>
    <w:p w14:paraId="5EC4445D"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While the Well-being of Future Generations Act (2015) and initiatives such as the Rights Respecting Schools Award (RRSA) represent strong enablers for embedding children’s rights, economic constraints continue to pose a significant barrier. In disadvantaged areas, limited funding hampers the ability of schools to provide necessary training and resources for rights-based education. This lack of resources results in the inconsistent application of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principles, with some schools unable to implement the curriculum effectively.</w:t>
      </w:r>
    </w:p>
    <w:p w14:paraId="2A7F88DD"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lastRenderedPageBreak/>
        <w:t xml:space="preserve">Moreover, inadequate teacher training remains a critical barrier. Despite the flexibility offered by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many educators feel unprepared to teach human rights education effectively. Stewart, MacDonald, and Waters-Davies (2024) highlight that while teachers may understand the principles of children’s rights, they often feel less confident applying these principles in practice. Without comprehensive training programs and ongoing professional development, the implementation of rights-based education continues to be undermined.</w:t>
      </w:r>
    </w:p>
    <w:p w14:paraId="79B26165"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Cultural resistance to rights-based approaches presents an additional challenge. In some schools, particularly those with more traditional, authoritarian educational cultures, teacher autonomy and learner voice initiatives may be seen as a threat to established practices. This resistance can hinder the integration of rights-based education, limiting the effectiveness of policies that aim to empower children and promote their active participation in decision-making.</w:t>
      </w:r>
    </w:p>
    <w:p w14:paraId="4B4F5B19" w14:textId="78BDF4B2"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Finally, the tension between autonomy and cohesion in the policy landscape contributes to the challenges faced in implementing rights-based education. While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encourages teacher flexibility, this can lead to inconsistencies in the application of rights-based practices across schools. Some schools may prioritise human rights education, while others may struggle to balance it with national assessments or internal curriculum demands. This lack of standardisation undermines the overall effectiveness of the policy, leading to unequal access to rights-based education for students across Wales.</w:t>
      </w:r>
      <w:r w:rsidRPr="0080312C">
        <w:rPr>
          <w:rFonts w:ascii="Arial" w:hAnsi="Arial" w:cs="Arial"/>
          <w:color w:val="000000" w:themeColor="text1"/>
        </w:rPr>
        <w:t xml:space="preserve"> </w:t>
      </w:r>
    </w:p>
    <w:p w14:paraId="06AE2297" w14:textId="77777777" w:rsidR="008C5C53" w:rsidRPr="0080312C" w:rsidRDefault="008C5C53" w:rsidP="0080312C">
      <w:pPr>
        <w:spacing w:line="480" w:lineRule="auto"/>
        <w:rPr>
          <w:rFonts w:ascii="Arial" w:hAnsi="Arial" w:cs="Arial"/>
          <w:color w:val="000000" w:themeColor="text1"/>
        </w:rPr>
      </w:pPr>
    </w:p>
    <w:p w14:paraId="175BBF91" w14:textId="77777777" w:rsidR="008C5C53" w:rsidRPr="008C5C53" w:rsidRDefault="008C5C53" w:rsidP="0080312C">
      <w:pPr>
        <w:spacing w:line="480" w:lineRule="auto"/>
        <w:rPr>
          <w:rFonts w:ascii="Arial" w:hAnsi="Arial" w:cs="Arial"/>
          <w:b/>
          <w:bCs/>
          <w:color w:val="000000" w:themeColor="text1"/>
        </w:rPr>
      </w:pPr>
      <w:r w:rsidRPr="008C5C53">
        <w:rPr>
          <w:rFonts w:ascii="Arial" w:hAnsi="Arial" w:cs="Arial"/>
          <w:b/>
          <w:bCs/>
          <w:color w:val="000000" w:themeColor="text1"/>
        </w:rPr>
        <w:t>4.1 Contemporary Views and Practice</w:t>
      </w:r>
    </w:p>
    <w:p w14:paraId="35D0E8FB"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lastRenderedPageBreak/>
        <w:t>Contemporary perspectives increasingly view children as active contributors to society, capable of influencing decisions and shaping the environments around them. In Wales, this shift is particularly evident in the integration of human rights principles, such as those outlined in the United Nations Convention on the Rights of the Child (UNCRC), which reframe children not as passive recipients of care and education, but as active agents. The Curriculum for Wales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exemplifies this transformation by embedding children’s rights into its structure, empowering learners to understand and exercise these rights meaningfully.</w:t>
      </w:r>
    </w:p>
    <w:p w14:paraId="2A86ADB7"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Globally, perceptions of children vary, influenced by cultural, socio-economic, and political factors. Some regions adhere to traditional hierarchical structures, focusing more on dependency and protection than on participation and autonomy. Countries with robust human rights frameworks, such as the Nordic nations, align closely with Wales in their commitment to child-centred approaches that prioritise empowerment, participation, and equality.</w:t>
      </w:r>
    </w:p>
    <w:p w14:paraId="0BC318BB"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The global implementation of international conventions like the UNCRC has significantly advanced the recognition of children's rights. While many countries have ratified the UNCRC, its practical application remains inconsistent due to economic disparities, cultural attitudes, and political will. These variations influence how children are perceived and supported, shaping their roles and opportunities in society.</w:t>
      </w:r>
    </w:p>
    <w:p w14:paraId="569869D7"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In Wales, recognising children as active participants in their education has profoundly influenced both educational practices and professional approaches.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embraces a participatory ethos that encourages children to engage in shaping their learning experiences and contributing to their communities. This approach </w:t>
      </w:r>
      <w:r w:rsidRPr="008C5C53">
        <w:rPr>
          <w:rFonts w:ascii="Arial" w:hAnsi="Arial" w:cs="Arial"/>
          <w:color w:val="000000" w:themeColor="text1"/>
        </w:rPr>
        <w:lastRenderedPageBreak/>
        <w:t>ensures that children’s voices are valued, their autonomy is respected, and their individual needs are met, especially for disadvantaged and marginalised learners.</w:t>
      </w:r>
    </w:p>
    <w:p w14:paraId="07CF565D"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Several examples from Welsh schools demonstrate how rights-based education plays a crucial role in empowering children:</w:t>
      </w:r>
    </w:p>
    <w:p w14:paraId="3830D62C" w14:textId="77777777" w:rsidR="008C5C53" w:rsidRPr="008C5C53" w:rsidRDefault="008C5C53" w:rsidP="0080312C">
      <w:pPr>
        <w:numPr>
          <w:ilvl w:val="0"/>
          <w:numId w:val="44"/>
        </w:numPr>
        <w:spacing w:line="480" w:lineRule="auto"/>
        <w:rPr>
          <w:rFonts w:ascii="Arial" w:hAnsi="Arial" w:cs="Arial"/>
          <w:color w:val="000000" w:themeColor="text1"/>
        </w:rPr>
      </w:pPr>
      <w:r w:rsidRPr="008C5C53">
        <w:rPr>
          <w:rFonts w:ascii="Arial" w:hAnsi="Arial" w:cs="Arial"/>
          <w:color w:val="000000" w:themeColor="text1"/>
        </w:rPr>
        <w:t>Learner Voice Initiatives: Schools often implement structures such as student councils and forums, which allow children to collaborate with teachers to shape school policies, organise activities, and address issues like bullying and environmental sustainability. These initiatives not only honour children’s right to participation but also nurture critical thinking, leadership, and communication skills, essential for personal development and active citizenship.</w:t>
      </w:r>
    </w:p>
    <w:p w14:paraId="44952C27" w14:textId="77777777" w:rsidR="008C5C53" w:rsidRPr="008C5C53" w:rsidRDefault="008C5C53" w:rsidP="0080312C">
      <w:pPr>
        <w:numPr>
          <w:ilvl w:val="0"/>
          <w:numId w:val="44"/>
        </w:numPr>
        <w:spacing w:line="480" w:lineRule="auto"/>
        <w:rPr>
          <w:rFonts w:ascii="Arial" w:hAnsi="Arial" w:cs="Arial"/>
          <w:color w:val="000000" w:themeColor="text1"/>
        </w:rPr>
      </w:pPr>
      <w:r w:rsidRPr="008C5C53">
        <w:rPr>
          <w:rFonts w:ascii="Arial" w:hAnsi="Arial" w:cs="Arial"/>
          <w:color w:val="000000" w:themeColor="text1"/>
        </w:rPr>
        <w:t xml:space="preserve">Participatory Curriculum Design: In some schools, students are involved in co-creating aspects of the curriculum, enabling them to explore topics of personal and collective relevance. This aligns with the </w:t>
      </w:r>
      <w:proofErr w:type="spellStart"/>
      <w:r w:rsidRPr="008C5C53">
        <w:rPr>
          <w:rFonts w:ascii="Arial" w:hAnsi="Arial" w:cs="Arial"/>
          <w:color w:val="000000" w:themeColor="text1"/>
        </w:rPr>
        <w:t>CfW’s</w:t>
      </w:r>
      <w:proofErr w:type="spellEnd"/>
      <w:r w:rsidRPr="008C5C53">
        <w:rPr>
          <w:rFonts w:ascii="Arial" w:hAnsi="Arial" w:cs="Arial"/>
          <w:color w:val="000000" w:themeColor="text1"/>
        </w:rPr>
        <w:t xml:space="preserve"> focus on tailoring education to individual and community needs, further highlighting the importance of children’s contributions in shaping their educational experience.</w:t>
      </w:r>
    </w:p>
    <w:p w14:paraId="29CBA9AA"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Rights-based education is instrumental in addressing inequalities and promoting inclusion in Wales. Some key initiatives include:</w:t>
      </w:r>
    </w:p>
    <w:p w14:paraId="05389BE7" w14:textId="77777777" w:rsidR="008C5C53" w:rsidRPr="008C5C53" w:rsidRDefault="008C5C53" w:rsidP="0080312C">
      <w:pPr>
        <w:numPr>
          <w:ilvl w:val="0"/>
          <w:numId w:val="45"/>
        </w:numPr>
        <w:spacing w:line="480" w:lineRule="auto"/>
        <w:rPr>
          <w:rFonts w:ascii="Arial" w:hAnsi="Arial" w:cs="Arial"/>
          <w:color w:val="000000" w:themeColor="text1"/>
        </w:rPr>
      </w:pPr>
      <w:r w:rsidRPr="008C5C53">
        <w:rPr>
          <w:rFonts w:ascii="Arial" w:hAnsi="Arial" w:cs="Arial"/>
          <w:color w:val="000000" w:themeColor="text1"/>
        </w:rPr>
        <w:t>Support for Learners with Additional Needs (ALN): The Additional Learning Needs and Education Tribunal (Wales) Act 2018 promotes a person-centred planning approach. This involves creating Individual Development Plans (IDPs) in collaboration with children and families to ensure tailored, rights-informed support to overcome learning barriers.</w:t>
      </w:r>
    </w:p>
    <w:p w14:paraId="67C1A8C9" w14:textId="77777777" w:rsidR="008C5C53" w:rsidRPr="008C5C53" w:rsidRDefault="008C5C53" w:rsidP="0080312C">
      <w:pPr>
        <w:numPr>
          <w:ilvl w:val="0"/>
          <w:numId w:val="45"/>
        </w:numPr>
        <w:spacing w:line="480" w:lineRule="auto"/>
        <w:rPr>
          <w:rFonts w:ascii="Arial" w:hAnsi="Arial" w:cs="Arial"/>
          <w:color w:val="000000" w:themeColor="text1"/>
        </w:rPr>
      </w:pPr>
      <w:r w:rsidRPr="008C5C53">
        <w:rPr>
          <w:rFonts w:ascii="Arial" w:hAnsi="Arial" w:cs="Arial"/>
          <w:color w:val="000000" w:themeColor="text1"/>
        </w:rPr>
        <w:lastRenderedPageBreak/>
        <w:t>Promoting Diversity and Inclusion: The Humanities Area of Learning and Experience (</w:t>
      </w:r>
      <w:proofErr w:type="spellStart"/>
      <w:r w:rsidRPr="008C5C53">
        <w:rPr>
          <w:rFonts w:ascii="Arial" w:hAnsi="Arial" w:cs="Arial"/>
          <w:color w:val="000000" w:themeColor="text1"/>
        </w:rPr>
        <w:t>AoLE</w:t>
      </w:r>
      <w:proofErr w:type="spellEnd"/>
      <w:r w:rsidRPr="008C5C53">
        <w:rPr>
          <w:rFonts w:ascii="Arial" w:hAnsi="Arial" w:cs="Arial"/>
          <w:color w:val="000000" w:themeColor="text1"/>
        </w:rPr>
        <w:t>) integrates lessons on equality, social justice, and global citizenship. These lessons foster empathy, fairness, and respect for diversity, which are core aspects of rights-based education.</w:t>
      </w:r>
    </w:p>
    <w:p w14:paraId="0B7505E2" w14:textId="77777777" w:rsidR="008C5C53" w:rsidRPr="008C5C53" w:rsidRDefault="008C5C53" w:rsidP="0080312C">
      <w:pPr>
        <w:numPr>
          <w:ilvl w:val="0"/>
          <w:numId w:val="45"/>
        </w:numPr>
        <w:spacing w:line="480" w:lineRule="auto"/>
        <w:rPr>
          <w:rFonts w:ascii="Arial" w:hAnsi="Arial" w:cs="Arial"/>
          <w:color w:val="000000" w:themeColor="text1"/>
        </w:rPr>
      </w:pPr>
      <w:r w:rsidRPr="008C5C53">
        <w:rPr>
          <w:rFonts w:ascii="Arial" w:hAnsi="Arial" w:cs="Arial"/>
          <w:color w:val="000000" w:themeColor="text1"/>
        </w:rPr>
        <w:t xml:space="preserve">Inclusive Relationships and Sexuality Education (RSE): The </w:t>
      </w:r>
      <w:proofErr w:type="spellStart"/>
      <w:r w:rsidRPr="008C5C53">
        <w:rPr>
          <w:rFonts w:ascii="Arial" w:hAnsi="Arial" w:cs="Arial"/>
          <w:color w:val="000000" w:themeColor="text1"/>
        </w:rPr>
        <w:t>CfW’s</w:t>
      </w:r>
      <w:proofErr w:type="spellEnd"/>
      <w:r w:rsidRPr="008C5C53">
        <w:rPr>
          <w:rFonts w:ascii="Arial" w:hAnsi="Arial" w:cs="Arial"/>
          <w:color w:val="000000" w:themeColor="text1"/>
        </w:rPr>
        <w:t xml:space="preserve"> RSE curriculum promotes respect for diversity, bodily autonomy, and healthy relationships, grounded in the UNCRC principles. This curriculum helps combat discrimination and equips learners with the skills to navigate social and emotional challenges effectively.</w:t>
      </w:r>
    </w:p>
    <w:p w14:paraId="236F60EE"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Despite these positive practices, globally, the integration of children’s rights into education is not always prioritised. In some contexts, the focus remains on compliance rather than participation, which undermines the transformative potential of rights-based education. In these settings, practitioners face systemic barriers, resource constraints, and cultural resistance. Addressing these challenges requires policy reform, creativity, and advocacy to effectively implement rights-based approaches.</w:t>
      </w:r>
    </w:p>
    <w:p w14:paraId="5A6F1D7B"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For educators in Wales, ensuring the complete integration of children’s rights into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is an ongoing challenge. While the curriculum lays a strong foundation, practitioners must continue to create environments where children’s voices are authentically heard, their rights respected, and their agency nurtured. Although the </w:t>
      </w:r>
      <w:proofErr w:type="spellStart"/>
      <w:r w:rsidRPr="008C5C53">
        <w:rPr>
          <w:rFonts w:ascii="Arial" w:hAnsi="Arial" w:cs="Arial"/>
          <w:color w:val="000000" w:themeColor="text1"/>
        </w:rPr>
        <w:t>CfW</w:t>
      </w:r>
      <w:proofErr w:type="spellEnd"/>
      <w:r w:rsidRPr="008C5C53">
        <w:rPr>
          <w:rFonts w:ascii="Arial" w:hAnsi="Arial" w:cs="Arial"/>
          <w:color w:val="000000" w:themeColor="text1"/>
        </w:rPr>
        <w:t xml:space="preserve"> has made significant strides in promoting a rights-based approach, further efforts are required to ensure its full implementation across all schools.</w:t>
      </w:r>
    </w:p>
    <w:p w14:paraId="571FA060" w14:textId="11AB124B"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 xml:space="preserve">In a primary school in Newport, children’s rights are woven into the school’s values and ethos, with the UNCRC integrated throughout the curriculum. Every week, the </w:t>
      </w:r>
      <w:r w:rsidRPr="008C5C53">
        <w:rPr>
          <w:rFonts w:ascii="Arial" w:hAnsi="Arial" w:cs="Arial"/>
          <w:color w:val="000000" w:themeColor="text1"/>
        </w:rPr>
        <w:lastRenderedPageBreak/>
        <w:t>school introduces a specific UNCRC article through a ‘Mindful Monday’ initiative. This theme is explored across the school, ensuring that children understand their rights and their relevance to daily learning. Weekly assemblies reinforce these rights, linking them with school activities. Pupil voice groups play a crucial role, helping to shape the curriculum and providing feedback on teaching using a Red, Amber, Green (RAG) system.</w:t>
      </w:r>
      <w:r w:rsidR="00633BD3">
        <w:rPr>
          <w:rFonts w:ascii="Arial" w:hAnsi="Arial" w:cs="Arial"/>
          <w:color w:val="000000" w:themeColor="text1"/>
        </w:rPr>
        <w:t xml:space="preserve"> </w:t>
      </w:r>
      <w:r w:rsidRPr="008C5C53">
        <w:rPr>
          <w:rFonts w:ascii="Arial" w:hAnsi="Arial" w:cs="Arial"/>
          <w:color w:val="000000" w:themeColor="text1"/>
        </w:rPr>
        <w:t xml:space="preserve">The school’s commitment to children’s rights is further reflected in its policies related to wellbeing and engagement. As the Deputy Head Teacher explains, “When your school commits to children’s rights, it transforms everything... it transforms relationships in the school.” This statement underscores the impact of rights-based education in fostering an inclusive and respectful school environment, where children’s needs are </w:t>
      </w:r>
      <w:r w:rsidR="00633BD3" w:rsidRPr="008C5C53">
        <w:rPr>
          <w:rFonts w:ascii="Arial" w:hAnsi="Arial" w:cs="Arial"/>
          <w:color w:val="000000" w:themeColor="text1"/>
        </w:rPr>
        <w:t>respected,</w:t>
      </w:r>
      <w:r w:rsidRPr="008C5C53">
        <w:rPr>
          <w:rFonts w:ascii="Arial" w:hAnsi="Arial" w:cs="Arial"/>
          <w:color w:val="000000" w:themeColor="text1"/>
        </w:rPr>
        <w:t xml:space="preserve"> and their voices are heard.</w:t>
      </w:r>
    </w:p>
    <w:p w14:paraId="735861BB" w14:textId="77777777" w:rsidR="008C5C53" w:rsidRP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Moreover, the school’s involvement in the Children’s Commissioner’s Ambassador Scheme allows rights ambassadors to take leadership roles in promoting safety and wellbeing. These students deliver assemblies and presentations to the school governors, ensuring that children actively engage with their rights. This empowerment helps students understand and exercise their rights while contributing to the school community.</w:t>
      </w:r>
    </w:p>
    <w:p w14:paraId="25EB1F92" w14:textId="41E5A54D" w:rsidR="008C5C53" w:rsidRDefault="008C5C53" w:rsidP="0080312C">
      <w:pPr>
        <w:spacing w:line="480" w:lineRule="auto"/>
        <w:rPr>
          <w:rFonts w:ascii="Arial" w:hAnsi="Arial" w:cs="Arial"/>
          <w:color w:val="000000" w:themeColor="text1"/>
        </w:rPr>
      </w:pPr>
      <w:r w:rsidRPr="008C5C53">
        <w:rPr>
          <w:rFonts w:ascii="Arial" w:hAnsi="Arial" w:cs="Arial"/>
          <w:color w:val="000000" w:themeColor="text1"/>
        </w:rPr>
        <w:t>In a special school in Bridgend, staff and students have successfully embedded children’s rights into the curriculum</w:t>
      </w:r>
      <w:r w:rsidR="00633BD3">
        <w:rPr>
          <w:rFonts w:ascii="Arial" w:hAnsi="Arial" w:cs="Arial"/>
          <w:color w:val="000000" w:themeColor="text1"/>
        </w:rPr>
        <w:t xml:space="preserve"> where </w:t>
      </w:r>
      <w:r w:rsidRPr="008C5C53">
        <w:rPr>
          <w:rFonts w:ascii="Arial" w:hAnsi="Arial" w:cs="Arial"/>
          <w:color w:val="000000" w:themeColor="text1"/>
        </w:rPr>
        <w:t>each Area of Learning and Experience is linked to specific UNCRC articles, ensuring rights-based learning is central to all activities. The inclusion of the Children’s Commissioner’s ten accessible lessons further enhances students’ understanding of their rights.</w:t>
      </w:r>
      <w:r w:rsidR="00633BD3">
        <w:rPr>
          <w:rFonts w:ascii="Arial" w:hAnsi="Arial" w:cs="Arial"/>
          <w:color w:val="000000" w:themeColor="text1"/>
        </w:rPr>
        <w:t xml:space="preserve"> </w:t>
      </w:r>
      <w:r w:rsidRPr="008C5C53">
        <w:rPr>
          <w:rFonts w:ascii="Arial" w:hAnsi="Arial" w:cs="Arial"/>
          <w:color w:val="000000" w:themeColor="text1"/>
        </w:rPr>
        <w:t xml:space="preserve">A Deputy Head from this school explains, “Children’s rights have focused us on how we can enable children to have a voice. We’re constantly striving to listen to them in the way they need, and it’s </w:t>
      </w:r>
      <w:r w:rsidRPr="008C5C53">
        <w:rPr>
          <w:rFonts w:ascii="Arial" w:hAnsi="Arial" w:cs="Arial"/>
          <w:color w:val="000000" w:themeColor="text1"/>
        </w:rPr>
        <w:lastRenderedPageBreak/>
        <w:t>helped us understand our role in amplifying their voice and ensuring they have choices.” This approach fosters a supportive learning environment where students’ individual needs are met, and they are empowered to express themselves both inside and outside the classroom.</w:t>
      </w:r>
      <w:r w:rsidR="00633BD3">
        <w:rPr>
          <w:rFonts w:ascii="Arial" w:hAnsi="Arial" w:cs="Arial"/>
          <w:color w:val="000000" w:themeColor="text1"/>
        </w:rPr>
        <w:t xml:space="preserve"> </w:t>
      </w:r>
      <w:r w:rsidRPr="008C5C53">
        <w:rPr>
          <w:rFonts w:ascii="Arial" w:hAnsi="Arial" w:cs="Arial"/>
          <w:color w:val="000000" w:themeColor="text1"/>
        </w:rPr>
        <w:t>The Deputy Head also notes, “It’s powerful for our children to know they have rights. This knowledge extends beyond school life; it’s about giving them the skills to express if they don’t feel listened to.” This connection between children’s rights and broader life skills highlights the transformative power of a rights-based education, equipping students with the tools they need to advocate for themselves in all areas of life.</w:t>
      </w:r>
    </w:p>
    <w:p w14:paraId="64F47666" w14:textId="77777777" w:rsidR="00633BD3" w:rsidRPr="00C9686D" w:rsidRDefault="00633BD3" w:rsidP="0080312C">
      <w:pPr>
        <w:spacing w:line="480" w:lineRule="auto"/>
        <w:rPr>
          <w:rFonts w:ascii="Arial" w:hAnsi="Arial" w:cs="Arial"/>
          <w:color w:val="000000" w:themeColor="text1"/>
        </w:rPr>
      </w:pPr>
    </w:p>
    <w:p w14:paraId="1E060FCC" w14:textId="77777777" w:rsidR="00C9686D" w:rsidRPr="00C9686D" w:rsidRDefault="00C9686D" w:rsidP="0080312C">
      <w:pPr>
        <w:spacing w:line="480" w:lineRule="auto"/>
        <w:rPr>
          <w:rFonts w:ascii="Arial" w:hAnsi="Arial" w:cs="Arial"/>
          <w:b/>
          <w:bCs/>
          <w:color w:val="000000" w:themeColor="text1"/>
        </w:rPr>
      </w:pPr>
      <w:r w:rsidRPr="00C9686D">
        <w:rPr>
          <w:rFonts w:ascii="Arial" w:hAnsi="Arial" w:cs="Arial"/>
          <w:b/>
          <w:bCs/>
          <w:color w:val="000000" w:themeColor="text1"/>
        </w:rPr>
        <w:t>Conclusion</w:t>
      </w:r>
    </w:p>
    <w:p w14:paraId="6998C0E6" w14:textId="2F0C12FC" w:rsidR="00C9686D" w:rsidRPr="00C9686D" w:rsidRDefault="00C9686D" w:rsidP="0080312C">
      <w:pPr>
        <w:spacing w:line="480" w:lineRule="auto"/>
        <w:rPr>
          <w:rFonts w:ascii="Arial" w:hAnsi="Arial" w:cs="Arial"/>
          <w:color w:val="000000" w:themeColor="text1"/>
        </w:rPr>
      </w:pPr>
      <w:r w:rsidRPr="00C9686D">
        <w:rPr>
          <w:rFonts w:ascii="Arial" w:hAnsi="Arial" w:cs="Arial"/>
          <w:color w:val="000000" w:themeColor="text1"/>
        </w:rPr>
        <w:t>The integration of human rights education in Wales has transformed perceptions of children, recognising them as active participants in their education and society. By embedding rights-based principles into the Curriculum for Wales, Wales has set a benchmark for addressing inequalities and promoting inclusion. While societal and professional responses have largely embraced this progressive approach, the challenges in its implementation underscore the need for continued advocacy, adequate resources, and ongoing collaboration.</w:t>
      </w:r>
    </w:p>
    <w:p w14:paraId="242D35D0" w14:textId="77777777" w:rsidR="00C9686D" w:rsidRPr="00C9686D" w:rsidRDefault="00C9686D" w:rsidP="0080312C">
      <w:pPr>
        <w:spacing w:line="480" w:lineRule="auto"/>
        <w:rPr>
          <w:rFonts w:ascii="Arial" w:hAnsi="Arial" w:cs="Arial"/>
          <w:color w:val="000000" w:themeColor="text1"/>
        </w:rPr>
      </w:pPr>
      <w:r w:rsidRPr="00C9686D">
        <w:rPr>
          <w:rFonts w:ascii="Arial" w:hAnsi="Arial" w:cs="Arial"/>
          <w:color w:val="000000" w:themeColor="text1"/>
        </w:rPr>
        <w:t>Ultimately, prioritising children’s rights not only enhances individual learning experiences but also contributes to the creation of a more equitable and inclusive society.</w:t>
      </w:r>
    </w:p>
    <w:p w14:paraId="1B0195AB" w14:textId="77777777" w:rsidR="003E65A0" w:rsidRPr="0080312C" w:rsidRDefault="003E65A0" w:rsidP="0080312C">
      <w:pPr>
        <w:spacing w:line="480" w:lineRule="auto"/>
        <w:rPr>
          <w:rFonts w:ascii="Arial" w:hAnsi="Arial" w:cs="Arial"/>
          <w:color w:val="000000" w:themeColor="text1"/>
        </w:rPr>
      </w:pPr>
    </w:p>
    <w:sectPr w:rsidR="003E65A0" w:rsidRPr="0080312C" w:rsidSect="005E047F">
      <w:headerReference w:type="default" r:id="rId7"/>
      <w:footerReference w:type="even" r:id="rId8"/>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40E7FB" w14:textId="77777777" w:rsidR="00AC09F6" w:rsidRDefault="00AC09F6" w:rsidP="00525522">
      <w:r>
        <w:separator/>
      </w:r>
    </w:p>
  </w:endnote>
  <w:endnote w:type="continuationSeparator" w:id="0">
    <w:p w14:paraId="22D2A5C5" w14:textId="77777777" w:rsidR="00AC09F6" w:rsidRDefault="00AC09F6" w:rsidP="0052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58745090"/>
      <w:docPartObj>
        <w:docPartGallery w:val="Page Numbers (Bottom of Page)"/>
        <w:docPartUnique/>
      </w:docPartObj>
    </w:sdtPr>
    <w:sdtContent>
      <w:p w14:paraId="4278FECB" w14:textId="6F1CEE73" w:rsidR="00633BD3" w:rsidRDefault="00633BD3" w:rsidP="005262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148682" w14:textId="77777777" w:rsidR="00633BD3" w:rsidRDefault="00633BD3" w:rsidP="00633B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77063578"/>
      <w:docPartObj>
        <w:docPartGallery w:val="Page Numbers (Bottom of Page)"/>
        <w:docPartUnique/>
      </w:docPartObj>
    </w:sdtPr>
    <w:sdtContent>
      <w:p w14:paraId="5D188F42" w14:textId="520116A2" w:rsidR="00633BD3" w:rsidRDefault="00633BD3" w:rsidP="005262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7BA291" w14:textId="77777777" w:rsidR="00633BD3" w:rsidRDefault="00633BD3" w:rsidP="00633B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30D232" w14:textId="77777777" w:rsidR="00AC09F6" w:rsidRDefault="00AC09F6" w:rsidP="00525522">
      <w:r>
        <w:separator/>
      </w:r>
    </w:p>
  </w:footnote>
  <w:footnote w:type="continuationSeparator" w:id="0">
    <w:p w14:paraId="3B558139" w14:textId="77777777" w:rsidR="00AC09F6" w:rsidRDefault="00AC09F6" w:rsidP="00525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45627" w14:textId="77777777" w:rsidR="00A425FA" w:rsidRDefault="00A425FA" w:rsidP="00A425FA">
    <w:pPr>
      <w:pStyle w:val="Header"/>
    </w:pPr>
    <w:r>
      <w:t xml:space="preserve">MA Children’s, Young People’s and Community Services.         </w:t>
    </w:r>
  </w:p>
  <w:p w14:paraId="21C9DD47" w14:textId="77777777" w:rsidR="00A425FA" w:rsidRDefault="00A425FA" w:rsidP="00A425FA">
    <w:pPr>
      <w:pStyle w:val="Header"/>
    </w:pPr>
    <w:r>
      <w:t>Student number:0702078</w:t>
    </w:r>
  </w:p>
  <w:p w14:paraId="583AAEBB" w14:textId="77777777" w:rsidR="00A425FA" w:rsidRDefault="00A425FA" w:rsidP="00A425FA">
    <w:pPr>
      <w:pStyle w:val="Header"/>
    </w:pPr>
    <w:r>
      <w:t>ECEY7002: Critical perspectives in policy, planning and delivery</w:t>
    </w:r>
  </w:p>
  <w:p w14:paraId="5E4E0FC7" w14:textId="6C8653CD" w:rsidR="00A425FA" w:rsidRDefault="00A425FA" w:rsidP="00A425FA">
    <w:pPr>
      <w:pStyle w:val="Header"/>
    </w:pPr>
    <w:r>
      <w:t xml:space="preserve">Part </w:t>
    </w:r>
    <w:r>
      <w:t>1: Assignment</w:t>
    </w:r>
    <w:r>
      <w:t xml:space="preserve">                                  </w:t>
    </w:r>
  </w:p>
  <w:p w14:paraId="41784E39" w14:textId="28C154F0" w:rsidR="00525522" w:rsidRDefault="005255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410DC"/>
    <w:multiLevelType w:val="hybridMultilevel"/>
    <w:tmpl w:val="C91E1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F7F7F"/>
    <w:multiLevelType w:val="hybridMultilevel"/>
    <w:tmpl w:val="0ED42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75F56"/>
    <w:multiLevelType w:val="multilevel"/>
    <w:tmpl w:val="5C5C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071EC"/>
    <w:multiLevelType w:val="multilevel"/>
    <w:tmpl w:val="94DEB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676A30"/>
    <w:multiLevelType w:val="multilevel"/>
    <w:tmpl w:val="ECDE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F33812"/>
    <w:multiLevelType w:val="multilevel"/>
    <w:tmpl w:val="8746E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EF1226"/>
    <w:multiLevelType w:val="multilevel"/>
    <w:tmpl w:val="03F8B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DB63D5"/>
    <w:multiLevelType w:val="multilevel"/>
    <w:tmpl w:val="80CC7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7F1081"/>
    <w:multiLevelType w:val="multilevel"/>
    <w:tmpl w:val="CD1C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0419C6"/>
    <w:multiLevelType w:val="multilevel"/>
    <w:tmpl w:val="076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456C54"/>
    <w:multiLevelType w:val="multilevel"/>
    <w:tmpl w:val="4130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694BC9"/>
    <w:multiLevelType w:val="multilevel"/>
    <w:tmpl w:val="5FC2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6C1343"/>
    <w:multiLevelType w:val="multilevel"/>
    <w:tmpl w:val="3992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B266FC"/>
    <w:multiLevelType w:val="multilevel"/>
    <w:tmpl w:val="3EA6F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A55784"/>
    <w:multiLevelType w:val="multilevel"/>
    <w:tmpl w:val="76AC4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A976A0"/>
    <w:multiLevelType w:val="multilevel"/>
    <w:tmpl w:val="3D16C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327E8F"/>
    <w:multiLevelType w:val="multilevel"/>
    <w:tmpl w:val="EAFC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C134CC"/>
    <w:multiLevelType w:val="multilevel"/>
    <w:tmpl w:val="7C681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2B3284"/>
    <w:multiLevelType w:val="multilevel"/>
    <w:tmpl w:val="5A889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BD2989"/>
    <w:multiLevelType w:val="multilevel"/>
    <w:tmpl w:val="6CA8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01B54"/>
    <w:multiLevelType w:val="multilevel"/>
    <w:tmpl w:val="588A1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9411EE"/>
    <w:multiLevelType w:val="multilevel"/>
    <w:tmpl w:val="0E7E3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6938A1"/>
    <w:multiLevelType w:val="multilevel"/>
    <w:tmpl w:val="49B2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AB1457"/>
    <w:multiLevelType w:val="multilevel"/>
    <w:tmpl w:val="2010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B16838"/>
    <w:multiLevelType w:val="multilevel"/>
    <w:tmpl w:val="FE7E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5C266D"/>
    <w:multiLevelType w:val="multilevel"/>
    <w:tmpl w:val="A978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11A50"/>
    <w:multiLevelType w:val="multilevel"/>
    <w:tmpl w:val="6C58D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DD365A"/>
    <w:multiLevelType w:val="multilevel"/>
    <w:tmpl w:val="C3843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BC00AC"/>
    <w:multiLevelType w:val="multilevel"/>
    <w:tmpl w:val="005C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0B5C58"/>
    <w:multiLevelType w:val="multilevel"/>
    <w:tmpl w:val="C6320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4501E7"/>
    <w:multiLevelType w:val="hybridMultilevel"/>
    <w:tmpl w:val="BD6C6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4F04D6"/>
    <w:multiLevelType w:val="multilevel"/>
    <w:tmpl w:val="4FDC0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7B1578"/>
    <w:multiLevelType w:val="multilevel"/>
    <w:tmpl w:val="83B8B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C079C8"/>
    <w:multiLevelType w:val="multilevel"/>
    <w:tmpl w:val="7182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4B37C1"/>
    <w:multiLevelType w:val="multilevel"/>
    <w:tmpl w:val="2C2A9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484E06"/>
    <w:multiLevelType w:val="multilevel"/>
    <w:tmpl w:val="E146F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0C1AD4"/>
    <w:multiLevelType w:val="multilevel"/>
    <w:tmpl w:val="BB460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7374C0"/>
    <w:multiLevelType w:val="multilevel"/>
    <w:tmpl w:val="57F6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3C3B35"/>
    <w:multiLevelType w:val="multilevel"/>
    <w:tmpl w:val="2DEC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2C00D6"/>
    <w:multiLevelType w:val="multilevel"/>
    <w:tmpl w:val="96DC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4062A1"/>
    <w:multiLevelType w:val="multilevel"/>
    <w:tmpl w:val="01E0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EE350F"/>
    <w:multiLevelType w:val="multilevel"/>
    <w:tmpl w:val="7368E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391DD2"/>
    <w:multiLevelType w:val="multilevel"/>
    <w:tmpl w:val="6278F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F30A68"/>
    <w:multiLevelType w:val="multilevel"/>
    <w:tmpl w:val="DB84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0B16F6"/>
    <w:multiLevelType w:val="multilevel"/>
    <w:tmpl w:val="04188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6401682">
    <w:abstractNumId w:val="11"/>
  </w:num>
  <w:num w:numId="2" w16cid:durableId="1431970723">
    <w:abstractNumId w:val="27"/>
  </w:num>
  <w:num w:numId="3" w16cid:durableId="2001039552">
    <w:abstractNumId w:val="41"/>
  </w:num>
  <w:num w:numId="4" w16cid:durableId="1273511709">
    <w:abstractNumId w:val="16"/>
  </w:num>
  <w:num w:numId="5" w16cid:durableId="786118578">
    <w:abstractNumId w:val="38"/>
  </w:num>
  <w:num w:numId="6" w16cid:durableId="1582913962">
    <w:abstractNumId w:val="36"/>
  </w:num>
  <w:num w:numId="7" w16cid:durableId="1197350294">
    <w:abstractNumId w:val="7"/>
  </w:num>
  <w:num w:numId="8" w16cid:durableId="135145754">
    <w:abstractNumId w:val="20"/>
  </w:num>
  <w:num w:numId="9" w16cid:durableId="831066991">
    <w:abstractNumId w:val="33"/>
  </w:num>
  <w:num w:numId="10" w16cid:durableId="1541548347">
    <w:abstractNumId w:val="17"/>
  </w:num>
  <w:num w:numId="11" w16cid:durableId="168831397">
    <w:abstractNumId w:val="32"/>
  </w:num>
  <w:num w:numId="12" w16cid:durableId="656689319">
    <w:abstractNumId w:val="2"/>
  </w:num>
  <w:num w:numId="13" w16cid:durableId="1973217">
    <w:abstractNumId w:val="37"/>
  </w:num>
  <w:num w:numId="14" w16cid:durableId="2107462867">
    <w:abstractNumId w:val="22"/>
  </w:num>
  <w:num w:numId="15" w16cid:durableId="940799156">
    <w:abstractNumId w:val="34"/>
  </w:num>
  <w:num w:numId="16" w16cid:durableId="1037008133">
    <w:abstractNumId w:val="12"/>
  </w:num>
  <w:num w:numId="17" w16cid:durableId="64883509">
    <w:abstractNumId w:val="44"/>
  </w:num>
  <w:num w:numId="18" w16cid:durableId="169221328">
    <w:abstractNumId w:val="10"/>
  </w:num>
  <w:num w:numId="19" w16cid:durableId="204877558">
    <w:abstractNumId w:val="15"/>
  </w:num>
  <w:num w:numId="20" w16cid:durableId="461072137">
    <w:abstractNumId w:val="35"/>
  </w:num>
  <w:num w:numId="21" w16cid:durableId="761295716">
    <w:abstractNumId w:val="18"/>
  </w:num>
  <w:num w:numId="22" w16cid:durableId="503278042">
    <w:abstractNumId w:val="19"/>
  </w:num>
  <w:num w:numId="23" w16cid:durableId="1300112168">
    <w:abstractNumId w:val="14"/>
  </w:num>
  <w:num w:numId="24" w16cid:durableId="1071586653">
    <w:abstractNumId w:val="21"/>
  </w:num>
  <w:num w:numId="25" w16cid:durableId="757755728">
    <w:abstractNumId w:val="25"/>
  </w:num>
  <w:num w:numId="26" w16cid:durableId="414085246">
    <w:abstractNumId w:val="13"/>
  </w:num>
  <w:num w:numId="27" w16cid:durableId="2087649613">
    <w:abstractNumId w:val="3"/>
  </w:num>
  <w:num w:numId="28" w16cid:durableId="435322302">
    <w:abstractNumId w:val="5"/>
  </w:num>
  <w:num w:numId="29" w16cid:durableId="1872573151">
    <w:abstractNumId w:val="4"/>
  </w:num>
  <w:num w:numId="30" w16cid:durableId="1723090463">
    <w:abstractNumId w:val="29"/>
  </w:num>
  <w:num w:numId="31" w16cid:durableId="557743407">
    <w:abstractNumId w:val="30"/>
  </w:num>
  <w:num w:numId="32" w16cid:durableId="209075277">
    <w:abstractNumId w:val="1"/>
  </w:num>
  <w:num w:numId="33" w16cid:durableId="923730223">
    <w:abstractNumId w:val="0"/>
  </w:num>
  <w:num w:numId="34" w16cid:durableId="486552811">
    <w:abstractNumId w:val="40"/>
  </w:num>
  <w:num w:numId="35" w16cid:durableId="565990962">
    <w:abstractNumId w:val="31"/>
  </w:num>
  <w:num w:numId="36" w16cid:durableId="1996912398">
    <w:abstractNumId w:val="43"/>
  </w:num>
  <w:num w:numId="37" w16cid:durableId="1639069988">
    <w:abstractNumId w:val="9"/>
  </w:num>
  <w:num w:numId="38" w16cid:durableId="172452626">
    <w:abstractNumId w:val="26"/>
  </w:num>
  <w:num w:numId="39" w16cid:durableId="1399130808">
    <w:abstractNumId w:val="8"/>
  </w:num>
  <w:num w:numId="40" w16cid:durableId="82915932">
    <w:abstractNumId w:val="42"/>
  </w:num>
  <w:num w:numId="41" w16cid:durableId="582955794">
    <w:abstractNumId w:val="28"/>
  </w:num>
  <w:num w:numId="42" w16cid:durableId="1533033906">
    <w:abstractNumId w:val="39"/>
  </w:num>
  <w:num w:numId="43" w16cid:durableId="1566142907">
    <w:abstractNumId w:val="6"/>
  </w:num>
  <w:num w:numId="44" w16cid:durableId="1604922205">
    <w:abstractNumId w:val="24"/>
  </w:num>
  <w:num w:numId="45" w16cid:durableId="65872757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BE8"/>
    <w:rsid w:val="00054835"/>
    <w:rsid w:val="001C281D"/>
    <w:rsid w:val="001D3813"/>
    <w:rsid w:val="001E10BF"/>
    <w:rsid w:val="002215D7"/>
    <w:rsid w:val="002C587B"/>
    <w:rsid w:val="003E035B"/>
    <w:rsid w:val="003E65A0"/>
    <w:rsid w:val="00444D4B"/>
    <w:rsid w:val="004A6BE8"/>
    <w:rsid w:val="00525522"/>
    <w:rsid w:val="00563100"/>
    <w:rsid w:val="00592003"/>
    <w:rsid w:val="005E047F"/>
    <w:rsid w:val="005F37E2"/>
    <w:rsid w:val="00633BD3"/>
    <w:rsid w:val="00687745"/>
    <w:rsid w:val="006B45B2"/>
    <w:rsid w:val="00726476"/>
    <w:rsid w:val="0080312C"/>
    <w:rsid w:val="00837F99"/>
    <w:rsid w:val="008C5C53"/>
    <w:rsid w:val="00910C65"/>
    <w:rsid w:val="00962BE2"/>
    <w:rsid w:val="009764EF"/>
    <w:rsid w:val="00984115"/>
    <w:rsid w:val="009E72A8"/>
    <w:rsid w:val="00A425FA"/>
    <w:rsid w:val="00AC09F6"/>
    <w:rsid w:val="00AF55A8"/>
    <w:rsid w:val="00BA5A9C"/>
    <w:rsid w:val="00BD6EFF"/>
    <w:rsid w:val="00C04703"/>
    <w:rsid w:val="00C720EC"/>
    <w:rsid w:val="00C9686D"/>
    <w:rsid w:val="00C97A8C"/>
    <w:rsid w:val="00C97CD8"/>
    <w:rsid w:val="00CA429C"/>
    <w:rsid w:val="00CD044E"/>
    <w:rsid w:val="00FA6364"/>
    <w:rsid w:val="00FB1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8A9DD"/>
  <w15:chartTrackingRefBased/>
  <w15:docId w15:val="{0AAA6B6E-7E61-274F-9D40-D975FCBB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B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6B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6B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6B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B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B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B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B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B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B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6B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6B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6B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B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B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B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B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BE8"/>
    <w:rPr>
      <w:rFonts w:eastAsiaTheme="majorEastAsia" w:cstheme="majorBidi"/>
      <w:color w:val="272727" w:themeColor="text1" w:themeTint="D8"/>
    </w:rPr>
  </w:style>
  <w:style w:type="paragraph" w:styleId="Title">
    <w:name w:val="Title"/>
    <w:basedOn w:val="Normal"/>
    <w:next w:val="Normal"/>
    <w:link w:val="TitleChar"/>
    <w:uiPriority w:val="10"/>
    <w:qFormat/>
    <w:rsid w:val="004A6B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B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BE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B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B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6BE8"/>
    <w:rPr>
      <w:i/>
      <w:iCs/>
      <w:color w:val="404040" w:themeColor="text1" w:themeTint="BF"/>
    </w:rPr>
  </w:style>
  <w:style w:type="paragraph" w:styleId="ListParagraph">
    <w:name w:val="List Paragraph"/>
    <w:basedOn w:val="Normal"/>
    <w:uiPriority w:val="34"/>
    <w:qFormat/>
    <w:rsid w:val="004A6BE8"/>
    <w:pPr>
      <w:ind w:left="720"/>
      <w:contextualSpacing/>
    </w:pPr>
  </w:style>
  <w:style w:type="character" w:styleId="IntenseEmphasis">
    <w:name w:val="Intense Emphasis"/>
    <w:basedOn w:val="DefaultParagraphFont"/>
    <w:uiPriority w:val="21"/>
    <w:qFormat/>
    <w:rsid w:val="004A6BE8"/>
    <w:rPr>
      <w:i/>
      <w:iCs/>
      <w:color w:val="0F4761" w:themeColor="accent1" w:themeShade="BF"/>
    </w:rPr>
  </w:style>
  <w:style w:type="paragraph" w:styleId="IntenseQuote">
    <w:name w:val="Intense Quote"/>
    <w:basedOn w:val="Normal"/>
    <w:next w:val="Normal"/>
    <w:link w:val="IntenseQuoteChar"/>
    <w:uiPriority w:val="30"/>
    <w:qFormat/>
    <w:rsid w:val="004A6B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BE8"/>
    <w:rPr>
      <w:i/>
      <w:iCs/>
      <w:color w:val="0F4761" w:themeColor="accent1" w:themeShade="BF"/>
    </w:rPr>
  </w:style>
  <w:style w:type="character" w:styleId="IntenseReference">
    <w:name w:val="Intense Reference"/>
    <w:basedOn w:val="DefaultParagraphFont"/>
    <w:uiPriority w:val="32"/>
    <w:qFormat/>
    <w:rsid w:val="004A6BE8"/>
    <w:rPr>
      <w:b/>
      <w:bCs/>
      <w:smallCaps/>
      <w:color w:val="0F4761" w:themeColor="accent1" w:themeShade="BF"/>
      <w:spacing w:val="5"/>
    </w:rPr>
  </w:style>
  <w:style w:type="paragraph" w:styleId="Header">
    <w:name w:val="header"/>
    <w:basedOn w:val="Normal"/>
    <w:link w:val="HeaderChar"/>
    <w:uiPriority w:val="99"/>
    <w:unhideWhenUsed/>
    <w:rsid w:val="00525522"/>
    <w:pPr>
      <w:tabs>
        <w:tab w:val="center" w:pos="4513"/>
        <w:tab w:val="right" w:pos="9026"/>
      </w:tabs>
    </w:pPr>
  </w:style>
  <w:style w:type="character" w:customStyle="1" w:styleId="HeaderChar">
    <w:name w:val="Header Char"/>
    <w:basedOn w:val="DefaultParagraphFont"/>
    <w:link w:val="Header"/>
    <w:uiPriority w:val="99"/>
    <w:rsid w:val="00525522"/>
  </w:style>
  <w:style w:type="paragraph" w:styleId="Footer">
    <w:name w:val="footer"/>
    <w:basedOn w:val="Normal"/>
    <w:link w:val="FooterChar"/>
    <w:uiPriority w:val="99"/>
    <w:unhideWhenUsed/>
    <w:rsid w:val="00525522"/>
    <w:pPr>
      <w:tabs>
        <w:tab w:val="center" w:pos="4513"/>
        <w:tab w:val="right" w:pos="9026"/>
      </w:tabs>
    </w:pPr>
  </w:style>
  <w:style w:type="character" w:customStyle="1" w:styleId="FooterChar">
    <w:name w:val="Footer Char"/>
    <w:basedOn w:val="DefaultParagraphFont"/>
    <w:link w:val="Footer"/>
    <w:uiPriority w:val="99"/>
    <w:rsid w:val="00525522"/>
  </w:style>
  <w:style w:type="paragraph" w:styleId="NormalWeb">
    <w:name w:val="Normal (Web)"/>
    <w:basedOn w:val="Normal"/>
    <w:uiPriority w:val="99"/>
    <w:semiHidden/>
    <w:unhideWhenUsed/>
    <w:rsid w:val="002215D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215D7"/>
  </w:style>
  <w:style w:type="character" w:styleId="Strong">
    <w:name w:val="Strong"/>
    <w:basedOn w:val="DefaultParagraphFont"/>
    <w:uiPriority w:val="22"/>
    <w:qFormat/>
    <w:rsid w:val="002215D7"/>
    <w:rPr>
      <w:b/>
      <w:bCs/>
    </w:rPr>
  </w:style>
  <w:style w:type="character" w:styleId="PageNumber">
    <w:name w:val="page number"/>
    <w:basedOn w:val="DefaultParagraphFont"/>
    <w:uiPriority w:val="99"/>
    <w:semiHidden/>
    <w:unhideWhenUsed/>
    <w:rsid w:val="00633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60354">
      <w:bodyDiv w:val="1"/>
      <w:marLeft w:val="0"/>
      <w:marRight w:val="0"/>
      <w:marTop w:val="0"/>
      <w:marBottom w:val="0"/>
      <w:divBdr>
        <w:top w:val="none" w:sz="0" w:space="0" w:color="auto"/>
        <w:left w:val="none" w:sz="0" w:space="0" w:color="auto"/>
        <w:bottom w:val="none" w:sz="0" w:space="0" w:color="auto"/>
        <w:right w:val="none" w:sz="0" w:space="0" w:color="auto"/>
      </w:divBdr>
      <w:divsChild>
        <w:div w:id="1076898555">
          <w:marLeft w:val="0"/>
          <w:marRight w:val="0"/>
          <w:marTop w:val="0"/>
          <w:marBottom w:val="0"/>
          <w:divBdr>
            <w:top w:val="none" w:sz="0" w:space="0" w:color="auto"/>
            <w:left w:val="none" w:sz="0" w:space="0" w:color="auto"/>
            <w:bottom w:val="none" w:sz="0" w:space="0" w:color="auto"/>
            <w:right w:val="none" w:sz="0" w:space="0" w:color="auto"/>
          </w:divBdr>
          <w:divsChild>
            <w:div w:id="352221578">
              <w:marLeft w:val="0"/>
              <w:marRight w:val="0"/>
              <w:marTop w:val="0"/>
              <w:marBottom w:val="0"/>
              <w:divBdr>
                <w:top w:val="none" w:sz="0" w:space="0" w:color="auto"/>
                <w:left w:val="none" w:sz="0" w:space="0" w:color="auto"/>
                <w:bottom w:val="none" w:sz="0" w:space="0" w:color="auto"/>
                <w:right w:val="none" w:sz="0" w:space="0" w:color="auto"/>
              </w:divBdr>
              <w:divsChild>
                <w:div w:id="921260542">
                  <w:marLeft w:val="0"/>
                  <w:marRight w:val="0"/>
                  <w:marTop w:val="0"/>
                  <w:marBottom w:val="0"/>
                  <w:divBdr>
                    <w:top w:val="none" w:sz="0" w:space="0" w:color="auto"/>
                    <w:left w:val="none" w:sz="0" w:space="0" w:color="auto"/>
                    <w:bottom w:val="none" w:sz="0" w:space="0" w:color="auto"/>
                    <w:right w:val="none" w:sz="0" w:space="0" w:color="auto"/>
                  </w:divBdr>
                  <w:divsChild>
                    <w:div w:id="1984460670">
                      <w:marLeft w:val="0"/>
                      <w:marRight w:val="0"/>
                      <w:marTop w:val="0"/>
                      <w:marBottom w:val="0"/>
                      <w:divBdr>
                        <w:top w:val="none" w:sz="0" w:space="0" w:color="auto"/>
                        <w:left w:val="none" w:sz="0" w:space="0" w:color="auto"/>
                        <w:bottom w:val="none" w:sz="0" w:space="0" w:color="auto"/>
                        <w:right w:val="none" w:sz="0" w:space="0" w:color="auto"/>
                      </w:divBdr>
                      <w:divsChild>
                        <w:div w:id="269750393">
                          <w:marLeft w:val="0"/>
                          <w:marRight w:val="0"/>
                          <w:marTop w:val="0"/>
                          <w:marBottom w:val="0"/>
                          <w:divBdr>
                            <w:top w:val="none" w:sz="0" w:space="0" w:color="auto"/>
                            <w:left w:val="none" w:sz="0" w:space="0" w:color="auto"/>
                            <w:bottom w:val="none" w:sz="0" w:space="0" w:color="auto"/>
                            <w:right w:val="none" w:sz="0" w:space="0" w:color="auto"/>
                          </w:divBdr>
                          <w:divsChild>
                            <w:div w:id="9639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72937">
      <w:bodyDiv w:val="1"/>
      <w:marLeft w:val="0"/>
      <w:marRight w:val="0"/>
      <w:marTop w:val="0"/>
      <w:marBottom w:val="0"/>
      <w:divBdr>
        <w:top w:val="none" w:sz="0" w:space="0" w:color="auto"/>
        <w:left w:val="none" w:sz="0" w:space="0" w:color="auto"/>
        <w:bottom w:val="none" w:sz="0" w:space="0" w:color="auto"/>
        <w:right w:val="none" w:sz="0" w:space="0" w:color="auto"/>
      </w:divBdr>
      <w:divsChild>
        <w:div w:id="560561187">
          <w:marLeft w:val="0"/>
          <w:marRight w:val="0"/>
          <w:marTop w:val="0"/>
          <w:marBottom w:val="0"/>
          <w:divBdr>
            <w:top w:val="none" w:sz="0" w:space="0" w:color="auto"/>
            <w:left w:val="none" w:sz="0" w:space="0" w:color="auto"/>
            <w:bottom w:val="none" w:sz="0" w:space="0" w:color="auto"/>
            <w:right w:val="none" w:sz="0" w:space="0" w:color="auto"/>
          </w:divBdr>
          <w:divsChild>
            <w:div w:id="167213712">
              <w:marLeft w:val="0"/>
              <w:marRight w:val="0"/>
              <w:marTop w:val="0"/>
              <w:marBottom w:val="0"/>
              <w:divBdr>
                <w:top w:val="none" w:sz="0" w:space="0" w:color="auto"/>
                <w:left w:val="none" w:sz="0" w:space="0" w:color="auto"/>
                <w:bottom w:val="none" w:sz="0" w:space="0" w:color="auto"/>
                <w:right w:val="none" w:sz="0" w:space="0" w:color="auto"/>
              </w:divBdr>
              <w:divsChild>
                <w:div w:id="2054185501">
                  <w:marLeft w:val="0"/>
                  <w:marRight w:val="0"/>
                  <w:marTop w:val="0"/>
                  <w:marBottom w:val="0"/>
                  <w:divBdr>
                    <w:top w:val="none" w:sz="0" w:space="0" w:color="auto"/>
                    <w:left w:val="none" w:sz="0" w:space="0" w:color="auto"/>
                    <w:bottom w:val="none" w:sz="0" w:space="0" w:color="auto"/>
                    <w:right w:val="none" w:sz="0" w:space="0" w:color="auto"/>
                  </w:divBdr>
                  <w:divsChild>
                    <w:div w:id="1956985189">
                      <w:marLeft w:val="0"/>
                      <w:marRight w:val="0"/>
                      <w:marTop w:val="0"/>
                      <w:marBottom w:val="0"/>
                      <w:divBdr>
                        <w:top w:val="none" w:sz="0" w:space="0" w:color="auto"/>
                        <w:left w:val="none" w:sz="0" w:space="0" w:color="auto"/>
                        <w:bottom w:val="none" w:sz="0" w:space="0" w:color="auto"/>
                        <w:right w:val="none" w:sz="0" w:space="0" w:color="auto"/>
                      </w:divBdr>
                      <w:divsChild>
                        <w:div w:id="69156668">
                          <w:marLeft w:val="0"/>
                          <w:marRight w:val="0"/>
                          <w:marTop w:val="0"/>
                          <w:marBottom w:val="0"/>
                          <w:divBdr>
                            <w:top w:val="none" w:sz="0" w:space="0" w:color="auto"/>
                            <w:left w:val="none" w:sz="0" w:space="0" w:color="auto"/>
                            <w:bottom w:val="none" w:sz="0" w:space="0" w:color="auto"/>
                            <w:right w:val="none" w:sz="0" w:space="0" w:color="auto"/>
                          </w:divBdr>
                          <w:divsChild>
                            <w:div w:id="43779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28342">
      <w:bodyDiv w:val="1"/>
      <w:marLeft w:val="0"/>
      <w:marRight w:val="0"/>
      <w:marTop w:val="0"/>
      <w:marBottom w:val="0"/>
      <w:divBdr>
        <w:top w:val="none" w:sz="0" w:space="0" w:color="auto"/>
        <w:left w:val="none" w:sz="0" w:space="0" w:color="auto"/>
        <w:bottom w:val="none" w:sz="0" w:space="0" w:color="auto"/>
        <w:right w:val="none" w:sz="0" w:space="0" w:color="auto"/>
      </w:divBdr>
    </w:div>
    <w:div w:id="119494327">
      <w:bodyDiv w:val="1"/>
      <w:marLeft w:val="0"/>
      <w:marRight w:val="0"/>
      <w:marTop w:val="0"/>
      <w:marBottom w:val="0"/>
      <w:divBdr>
        <w:top w:val="none" w:sz="0" w:space="0" w:color="auto"/>
        <w:left w:val="none" w:sz="0" w:space="0" w:color="auto"/>
        <w:bottom w:val="none" w:sz="0" w:space="0" w:color="auto"/>
        <w:right w:val="none" w:sz="0" w:space="0" w:color="auto"/>
      </w:divBdr>
      <w:divsChild>
        <w:div w:id="1795904711">
          <w:marLeft w:val="0"/>
          <w:marRight w:val="0"/>
          <w:marTop w:val="0"/>
          <w:marBottom w:val="0"/>
          <w:divBdr>
            <w:top w:val="none" w:sz="0" w:space="0" w:color="auto"/>
            <w:left w:val="none" w:sz="0" w:space="0" w:color="auto"/>
            <w:bottom w:val="none" w:sz="0" w:space="0" w:color="auto"/>
            <w:right w:val="none" w:sz="0" w:space="0" w:color="auto"/>
          </w:divBdr>
          <w:divsChild>
            <w:div w:id="1939365807">
              <w:marLeft w:val="0"/>
              <w:marRight w:val="0"/>
              <w:marTop w:val="0"/>
              <w:marBottom w:val="0"/>
              <w:divBdr>
                <w:top w:val="none" w:sz="0" w:space="0" w:color="auto"/>
                <w:left w:val="none" w:sz="0" w:space="0" w:color="auto"/>
                <w:bottom w:val="none" w:sz="0" w:space="0" w:color="auto"/>
                <w:right w:val="none" w:sz="0" w:space="0" w:color="auto"/>
              </w:divBdr>
              <w:divsChild>
                <w:div w:id="116339902">
                  <w:marLeft w:val="0"/>
                  <w:marRight w:val="0"/>
                  <w:marTop w:val="0"/>
                  <w:marBottom w:val="0"/>
                  <w:divBdr>
                    <w:top w:val="none" w:sz="0" w:space="0" w:color="auto"/>
                    <w:left w:val="none" w:sz="0" w:space="0" w:color="auto"/>
                    <w:bottom w:val="none" w:sz="0" w:space="0" w:color="auto"/>
                    <w:right w:val="none" w:sz="0" w:space="0" w:color="auto"/>
                  </w:divBdr>
                  <w:divsChild>
                    <w:div w:id="34959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47289">
      <w:bodyDiv w:val="1"/>
      <w:marLeft w:val="0"/>
      <w:marRight w:val="0"/>
      <w:marTop w:val="0"/>
      <w:marBottom w:val="0"/>
      <w:divBdr>
        <w:top w:val="none" w:sz="0" w:space="0" w:color="auto"/>
        <w:left w:val="none" w:sz="0" w:space="0" w:color="auto"/>
        <w:bottom w:val="none" w:sz="0" w:space="0" w:color="auto"/>
        <w:right w:val="none" w:sz="0" w:space="0" w:color="auto"/>
      </w:divBdr>
    </w:div>
    <w:div w:id="168251842">
      <w:bodyDiv w:val="1"/>
      <w:marLeft w:val="0"/>
      <w:marRight w:val="0"/>
      <w:marTop w:val="0"/>
      <w:marBottom w:val="0"/>
      <w:divBdr>
        <w:top w:val="none" w:sz="0" w:space="0" w:color="auto"/>
        <w:left w:val="none" w:sz="0" w:space="0" w:color="auto"/>
        <w:bottom w:val="none" w:sz="0" w:space="0" w:color="auto"/>
        <w:right w:val="none" w:sz="0" w:space="0" w:color="auto"/>
      </w:divBdr>
    </w:div>
    <w:div w:id="173885458">
      <w:bodyDiv w:val="1"/>
      <w:marLeft w:val="0"/>
      <w:marRight w:val="0"/>
      <w:marTop w:val="0"/>
      <w:marBottom w:val="0"/>
      <w:divBdr>
        <w:top w:val="none" w:sz="0" w:space="0" w:color="auto"/>
        <w:left w:val="none" w:sz="0" w:space="0" w:color="auto"/>
        <w:bottom w:val="none" w:sz="0" w:space="0" w:color="auto"/>
        <w:right w:val="none" w:sz="0" w:space="0" w:color="auto"/>
      </w:divBdr>
    </w:div>
    <w:div w:id="178397054">
      <w:bodyDiv w:val="1"/>
      <w:marLeft w:val="0"/>
      <w:marRight w:val="0"/>
      <w:marTop w:val="0"/>
      <w:marBottom w:val="0"/>
      <w:divBdr>
        <w:top w:val="none" w:sz="0" w:space="0" w:color="auto"/>
        <w:left w:val="none" w:sz="0" w:space="0" w:color="auto"/>
        <w:bottom w:val="none" w:sz="0" w:space="0" w:color="auto"/>
        <w:right w:val="none" w:sz="0" w:space="0" w:color="auto"/>
      </w:divBdr>
    </w:div>
    <w:div w:id="182867530">
      <w:bodyDiv w:val="1"/>
      <w:marLeft w:val="0"/>
      <w:marRight w:val="0"/>
      <w:marTop w:val="0"/>
      <w:marBottom w:val="0"/>
      <w:divBdr>
        <w:top w:val="none" w:sz="0" w:space="0" w:color="auto"/>
        <w:left w:val="none" w:sz="0" w:space="0" w:color="auto"/>
        <w:bottom w:val="none" w:sz="0" w:space="0" w:color="auto"/>
        <w:right w:val="none" w:sz="0" w:space="0" w:color="auto"/>
      </w:divBdr>
      <w:divsChild>
        <w:div w:id="1968851423">
          <w:marLeft w:val="0"/>
          <w:marRight w:val="0"/>
          <w:marTop w:val="0"/>
          <w:marBottom w:val="0"/>
          <w:divBdr>
            <w:top w:val="none" w:sz="0" w:space="0" w:color="auto"/>
            <w:left w:val="none" w:sz="0" w:space="0" w:color="auto"/>
            <w:bottom w:val="none" w:sz="0" w:space="0" w:color="auto"/>
            <w:right w:val="none" w:sz="0" w:space="0" w:color="auto"/>
          </w:divBdr>
          <w:divsChild>
            <w:div w:id="354962033">
              <w:marLeft w:val="0"/>
              <w:marRight w:val="0"/>
              <w:marTop w:val="0"/>
              <w:marBottom w:val="0"/>
              <w:divBdr>
                <w:top w:val="none" w:sz="0" w:space="0" w:color="auto"/>
                <w:left w:val="none" w:sz="0" w:space="0" w:color="auto"/>
                <w:bottom w:val="none" w:sz="0" w:space="0" w:color="auto"/>
                <w:right w:val="none" w:sz="0" w:space="0" w:color="auto"/>
              </w:divBdr>
              <w:divsChild>
                <w:div w:id="538325109">
                  <w:marLeft w:val="0"/>
                  <w:marRight w:val="0"/>
                  <w:marTop w:val="0"/>
                  <w:marBottom w:val="0"/>
                  <w:divBdr>
                    <w:top w:val="none" w:sz="0" w:space="0" w:color="auto"/>
                    <w:left w:val="none" w:sz="0" w:space="0" w:color="auto"/>
                    <w:bottom w:val="none" w:sz="0" w:space="0" w:color="auto"/>
                    <w:right w:val="none" w:sz="0" w:space="0" w:color="auto"/>
                  </w:divBdr>
                  <w:divsChild>
                    <w:div w:id="1764107918">
                      <w:marLeft w:val="0"/>
                      <w:marRight w:val="0"/>
                      <w:marTop w:val="0"/>
                      <w:marBottom w:val="0"/>
                      <w:divBdr>
                        <w:top w:val="none" w:sz="0" w:space="0" w:color="auto"/>
                        <w:left w:val="none" w:sz="0" w:space="0" w:color="auto"/>
                        <w:bottom w:val="none" w:sz="0" w:space="0" w:color="auto"/>
                        <w:right w:val="none" w:sz="0" w:space="0" w:color="auto"/>
                      </w:divBdr>
                      <w:divsChild>
                        <w:div w:id="1897472852">
                          <w:marLeft w:val="0"/>
                          <w:marRight w:val="0"/>
                          <w:marTop w:val="0"/>
                          <w:marBottom w:val="0"/>
                          <w:divBdr>
                            <w:top w:val="none" w:sz="0" w:space="0" w:color="auto"/>
                            <w:left w:val="none" w:sz="0" w:space="0" w:color="auto"/>
                            <w:bottom w:val="none" w:sz="0" w:space="0" w:color="auto"/>
                            <w:right w:val="none" w:sz="0" w:space="0" w:color="auto"/>
                          </w:divBdr>
                          <w:divsChild>
                            <w:div w:id="189917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79171">
      <w:bodyDiv w:val="1"/>
      <w:marLeft w:val="0"/>
      <w:marRight w:val="0"/>
      <w:marTop w:val="0"/>
      <w:marBottom w:val="0"/>
      <w:divBdr>
        <w:top w:val="none" w:sz="0" w:space="0" w:color="auto"/>
        <w:left w:val="none" w:sz="0" w:space="0" w:color="auto"/>
        <w:bottom w:val="none" w:sz="0" w:space="0" w:color="auto"/>
        <w:right w:val="none" w:sz="0" w:space="0" w:color="auto"/>
      </w:divBdr>
    </w:div>
    <w:div w:id="195242185">
      <w:bodyDiv w:val="1"/>
      <w:marLeft w:val="0"/>
      <w:marRight w:val="0"/>
      <w:marTop w:val="0"/>
      <w:marBottom w:val="0"/>
      <w:divBdr>
        <w:top w:val="none" w:sz="0" w:space="0" w:color="auto"/>
        <w:left w:val="none" w:sz="0" w:space="0" w:color="auto"/>
        <w:bottom w:val="none" w:sz="0" w:space="0" w:color="auto"/>
        <w:right w:val="none" w:sz="0" w:space="0" w:color="auto"/>
      </w:divBdr>
    </w:div>
    <w:div w:id="215551783">
      <w:bodyDiv w:val="1"/>
      <w:marLeft w:val="0"/>
      <w:marRight w:val="0"/>
      <w:marTop w:val="0"/>
      <w:marBottom w:val="0"/>
      <w:divBdr>
        <w:top w:val="none" w:sz="0" w:space="0" w:color="auto"/>
        <w:left w:val="none" w:sz="0" w:space="0" w:color="auto"/>
        <w:bottom w:val="none" w:sz="0" w:space="0" w:color="auto"/>
        <w:right w:val="none" w:sz="0" w:space="0" w:color="auto"/>
      </w:divBdr>
    </w:div>
    <w:div w:id="217056148">
      <w:bodyDiv w:val="1"/>
      <w:marLeft w:val="0"/>
      <w:marRight w:val="0"/>
      <w:marTop w:val="0"/>
      <w:marBottom w:val="0"/>
      <w:divBdr>
        <w:top w:val="none" w:sz="0" w:space="0" w:color="auto"/>
        <w:left w:val="none" w:sz="0" w:space="0" w:color="auto"/>
        <w:bottom w:val="none" w:sz="0" w:space="0" w:color="auto"/>
        <w:right w:val="none" w:sz="0" w:space="0" w:color="auto"/>
      </w:divBdr>
    </w:div>
    <w:div w:id="226458874">
      <w:bodyDiv w:val="1"/>
      <w:marLeft w:val="0"/>
      <w:marRight w:val="0"/>
      <w:marTop w:val="0"/>
      <w:marBottom w:val="0"/>
      <w:divBdr>
        <w:top w:val="none" w:sz="0" w:space="0" w:color="auto"/>
        <w:left w:val="none" w:sz="0" w:space="0" w:color="auto"/>
        <w:bottom w:val="none" w:sz="0" w:space="0" w:color="auto"/>
        <w:right w:val="none" w:sz="0" w:space="0" w:color="auto"/>
      </w:divBdr>
      <w:divsChild>
        <w:div w:id="112093462">
          <w:marLeft w:val="0"/>
          <w:marRight w:val="0"/>
          <w:marTop w:val="0"/>
          <w:marBottom w:val="0"/>
          <w:divBdr>
            <w:top w:val="none" w:sz="0" w:space="0" w:color="auto"/>
            <w:left w:val="none" w:sz="0" w:space="0" w:color="auto"/>
            <w:bottom w:val="none" w:sz="0" w:space="0" w:color="auto"/>
            <w:right w:val="none" w:sz="0" w:space="0" w:color="auto"/>
          </w:divBdr>
          <w:divsChild>
            <w:div w:id="1912765846">
              <w:marLeft w:val="0"/>
              <w:marRight w:val="0"/>
              <w:marTop w:val="0"/>
              <w:marBottom w:val="0"/>
              <w:divBdr>
                <w:top w:val="none" w:sz="0" w:space="0" w:color="auto"/>
                <w:left w:val="none" w:sz="0" w:space="0" w:color="auto"/>
                <w:bottom w:val="none" w:sz="0" w:space="0" w:color="auto"/>
                <w:right w:val="none" w:sz="0" w:space="0" w:color="auto"/>
              </w:divBdr>
              <w:divsChild>
                <w:div w:id="1531382230">
                  <w:marLeft w:val="0"/>
                  <w:marRight w:val="0"/>
                  <w:marTop w:val="0"/>
                  <w:marBottom w:val="0"/>
                  <w:divBdr>
                    <w:top w:val="none" w:sz="0" w:space="0" w:color="auto"/>
                    <w:left w:val="none" w:sz="0" w:space="0" w:color="auto"/>
                    <w:bottom w:val="none" w:sz="0" w:space="0" w:color="auto"/>
                    <w:right w:val="none" w:sz="0" w:space="0" w:color="auto"/>
                  </w:divBdr>
                  <w:divsChild>
                    <w:div w:id="2010597063">
                      <w:marLeft w:val="0"/>
                      <w:marRight w:val="0"/>
                      <w:marTop w:val="0"/>
                      <w:marBottom w:val="0"/>
                      <w:divBdr>
                        <w:top w:val="none" w:sz="0" w:space="0" w:color="auto"/>
                        <w:left w:val="none" w:sz="0" w:space="0" w:color="auto"/>
                        <w:bottom w:val="none" w:sz="0" w:space="0" w:color="auto"/>
                        <w:right w:val="none" w:sz="0" w:space="0" w:color="auto"/>
                      </w:divBdr>
                      <w:divsChild>
                        <w:div w:id="848181966">
                          <w:marLeft w:val="0"/>
                          <w:marRight w:val="0"/>
                          <w:marTop w:val="0"/>
                          <w:marBottom w:val="0"/>
                          <w:divBdr>
                            <w:top w:val="none" w:sz="0" w:space="0" w:color="auto"/>
                            <w:left w:val="none" w:sz="0" w:space="0" w:color="auto"/>
                            <w:bottom w:val="none" w:sz="0" w:space="0" w:color="auto"/>
                            <w:right w:val="none" w:sz="0" w:space="0" w:color="auto"/>
                          </w:divBdr>
                          <w:divsChild>
                            <w:div w:id="38653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525897">
      <w:bodyDiv w:val="1"/>
      <w:marLeft w:val="0"/>
      <w:marRight w:val="0"/>
      <w:marTop w:val="0"/>
      <w:marBottom w:val="0"/>
      <w:divBdr>
        <w:top w:val="none" w:sz="0" w:space="0" w:color="auto"/>
        <w:left w:val="none" w:sz="0" w:space="0" w:color="auto"/>
        <w:bottom w:val="none" w:sz="0" w:space="0" w:color="auto"/>
        <w:right w:val="none" w:sz="0" w:space="0" w:color="auto"/>
      </w:divBdr>
    </w:div>
    <w:div w:id="263077013">
      <w:bodyDiv w:val="1"/>
      <w:marLeft w:val="0"/>
      <w:marRight w:val="0"/>
      <w:marTop w:val="0"/>
      <w:marBottom w:val="0"/>
      <w:divBdr>
        <w:top w:val="none" w:sz="0" w:space="0" w:color="auto"/>
        <w:left w:val="none" w:sz="0" w:space="0" w:color="auto"/>
        <w:bottom w:val="none" w:sz="0" w:space="0" w:color="auto"/>
        <w:right w:val="none" w:sz="0" w:space="0" w:color="auto"/>
      </w:divBdr>
    </w:div>
    <w:div w:id="301617183">
      <w:bodyDiv w:val="1"/>
      <w:marLeft w:val="0"/>
      <w:marRight w:val="0"/>
      <w:marTop w:val="0"/>
      <w:marBottom w:val="0"/>
      <w:divBdr>
        <w:top w:val="none" w:sz="0" w:space="0" w:color="auto"/>
        <w:left w:val="none" w:sz="0" w:space="0" w:color="auto"/>
        <w:bottom w:val="none" w:sz="0" w:space="0" w:color="auto"/>
        <w:right w:val="none" w:sz="0" w:space="0" w:color="auto"/>
      </w:divBdr>
    </w:div>
    <w:div w:id="392120442">
      <w:bodyDiv w:val="1"/>
      <w:marLeft w:val="0"/>
      <w:marRight w:val="0"/>
      <w:marTop w:val="0"/>
      <w:marBottom w:val="0"/>
      <w:divBdr>
        <w:top w:val="none" w:sz="0" w:space="0" w:color="auto"/>
        <w:left w:val="none" w:sz="0" w:space="0" w:color="auto"/>
        <w:bottom w:val="none" w:sz="0" w:space="0" w:color="auto"/>
        <w:right w:val="none" w:sz="0" w:space="0" w:color="auto"/>
      </w:divBdr>
    </w:div>
    <w:div w:id="396784020">
      <w:bodyDiv w:val="1"/>
      <w:marLeft w:val="0"/>
      <w:marRight w:val="0"/>
      <w:marTop w:val="0"/>
      <w:marBottom w:val="0"/>
      <w:divBdr>
        <w:top w:val="none" w:sz="0" w:space="0" w:color="auto"/>
        <w:left w:val="none" w:sz="0" w:space="0" w:color="auto"/>
        <w:bottom w:val="none" w:sz="0" w:space="0" w:color="auto"/>
        <w:right w:val="none" w:sz="0" w:space="0" w:color="auto"/>
      </w:divBdr>
    </w:div>
    <w:div w:id="437718954">
      <w:bodyDiv w:val="1"/>
      <w:marLeft w:val="0"/>
      <w:marRight w:val="0"/>
      <w:marTop w:val="0"/>
      <w:marBottom w:val="0"/>
      <w:divBdr>
        <w:top w:val="none" w:sz="0" w:space="0" w:color="auto"/>
        <w:left w:val="none" w:sz="0" w:space="0" w:color="auto"/>
        <w:bottom w:val="none" w:sz="0" w:space="0" w:color="auto"/>
        <w:right w:val="none" w:sz="0" w:space="0" w:color="auto"/>
      </w:divBdr>
    </w:div>
    <w:div w:id="457258560">
      <w:bodyDiv w:val="1"/>
      <w:marLeft w:val="0"/>
      <w:marRight w:val="0"/>
      <w:marTop w:val="0"/>
      <w:marBottom w:val="0"/>
      <w:divBdr>
        <w:top w:val="none" w:sz="0" w:space="0" w:color="auto"/>
        <w:left w:val="none" w:sz="0" w:space="0" w:color="auto"/>
        <w:bottom w:val="none" w:sz="0" w:space="0" w:color="auto"/>
        <w:right w:val="none" w:sz="0" w:space="0" w:color="auto"/>
      </w:divBdr>
    </w:div>
    <w:div w:id="465852618">
      <w:bodyDiv w:val="1"/>
      <w:marLeft w:val="0"/>
      <w:marRight w:val="0"/>
      <w:marTop w:val="0"/>
      <w:marBottom w:val="0"/>
      <w:divBdr>
        <w:top w:val="none" w:sz="0" w:space="0" w:color="auto"/>
        <w:left w:val="none" w:sz="0" w:space="0" w:color="auto"/>
        <w:bottom w:val="none" w:sz="0" w:space="0" w:color="auto"/>
        <w:right w:val="none" w:sz="0" w:space="0" w:color="auto"/>
      </w:divBdr>
    </w:div>
    <w:div w:id="471144638">
      <w:bodyDiv w:val="1"/>
      <w:marLeft w:val="0"/>
      <w:marRight w:val="0"/>
      <w:marTop w:val="0"/>
      <w:marBottom w:val="0"/>
      <w:divBdr>
        <w:top w:val="none" w:sz="0" w:space="0" w:color="auto"/>
        <w:left w:val="none" w:sz="0" w:space="0" w:color="auto"/>
        <w:bottom w:val="none" w:sz="0" w:space="0" w:color="auto"/>
        <w:right w:val="none" w:sz="0" w:space="0" w:color="auto"/>
      </w:divBdr>
      <w:divsChild>
        <w:div w:id="1470510678">
          <w:marLeft w:val="0"/>
          <w:marRight w:val="0"/>
          <w:marTop w:val="0"/>
          <w:marBottom w:val="0"/>
          <w:divBdr>
            <w:top w:val="none" w:sz="0" w:space="0" w:color="auto"/>
            <w:left w:val="none" w:sz="0" w:space="0" w:color="auto"/>
            <w:bottom w:val="none" w:sz="0" w:space="0" w:color="auto"/>
            <w:right w:val="none" w:sz="0" w:space="0" w:color="auto"/>
          </w:divBdr>
          <w:divsChild>
            <w:div w:id="270359150">
              <w:marLeft w:val="0"/>
              <w:marRight w:val="0"/>
              <w:marTop w:val="0"/>
              <w:marBottom w:val="0"/>
              <w:divBdr>
                <w:top w:val="none" w:sz="0" w:space="0" w:color="auto"/>
                <w:left w:val="none" w:sz="0" w:space="0" w:color="auto"/>
                <w:bottom w:val="none" w:sz="0" w:space="0" w:color="auto"/>
                <w:right w:val="none" w:sz="0" w:space="0" w:color="auto"/>
              </w:divBdr>
              <w:divsChild>
                <w:div w:id="564027763">
                  <w:marLeft w:val="0"/>
                  <w:marRight w:val="0"/>
                  <w:marTop w:val="0"/>
                  <w:marBottom w:val="0"/>
                  <w:divBdr>
                    <w:top w:val="none" w:sz="0" w:space="0" w:color="auto"/>
                    <w:left w:val="none" w:sz="0" w:space="0" w:color="auto"/>
                    <w:bottom w:val="none" w:sz="0" w:space="0" w:color="auto"/>
                    <w:right w:val="none" w:sz="0" w:space="0" w:color="auto"/>
                  </w:divBdr>
                  <w:divsChild>
                    <w:div w:id="84733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558472">
      <w:bodyDiv w:val="1"/>
      <w:marLeft w:val="0"/>
      <w:marRight w:val="0"/>
      <w:marTop w:val="0"/>
      <w:marBottom w:val="0"/>
      <w:divBdr>
        <w:top w:val="none" w:sz="0" w:space="0" w:color="auto"/>
        <w:left w:val="none" w:sz="0" w:space="0" w:color="auto"/>
        <w:bottom w:val="none" w:sz="0" w:space="0" w:color="auto"/>
        <w:right w:val="none" w:sz="0" w:space="0" w:color="auto"/>
      </w:divBdr>
    </w:div>
    <w:div w:id="516621908">
      <w:bodyDiv w:val="1"/>
      <w:marLeft w:val="0"/>
      <w:marRight w:val="0"/>
      <w:marTop w:val="0"/>
      <w:marBottom w:val="0"/>
      <w:divBdr>
        <w:top w:val="none" w:sz="0" w:space="0" w:color="auto"/>
        <w:left w:val="none" w:sz="0" w:space="0" w:color="auto"/>
        <w:bottom w:val="none" w:sz="0" w:space="0" w:color="auto"/>
        <w:right w:val="none" w:sz="0" w:space="0" w:color="auto"/>
      </w:divBdr>
    </w:div>
    <w:div w:id="540869456">
      <w:bodyDiv w:val="1"/>
      <w:marLeft w:val="0"/>
      <w:marRight w:val="0"/>
      <w:marTop w:val="0"/>
      <w:marBottom w:val="0"/>
      <w:divBdr>
        <w:top w:val="none" w:sz="0" w:space="0" w:color="auto"/>
        <w:left w:val="none" w:sz="0" w:space="0" w:color="auto"/>
        <w:bottom w:val="none" w:sz="0" w:space="0" w:color="auto"/>
        <w:right w:val="none" w:sz="0" w:space="0" w:color="auto"/>
      </w:divBdr>
    </w:div>
    <w:div w:id="596015263">
      <w:bodyDiv w:val="1"/>
      <w:marLeft w:val="0"/>
      <w:marRight w:val="0"/>
      <w:marTop w:val="0"/>
      <w:marBottom w:val="0"/>
      <w:divBdr>
        <w:top w:val="none" w:sz="0" w:space="0" w:color="auto"/>
        <w:left w:val="none" w:sz="0" w:space="0" w:color="auto"/>
        <w:bottom w:val="none" w:sz="0" w:space="0" w:color="auto"/>
        <w:right w:val="none" w:sz="0" w:space="0" w:color="auto"/>
      </w:divBdr>
    </w:div>
    <w:div w:id="603656918">
      <w:bodyDiv w:val="1"/>
      <w:marLeft w:val="0"/>
      <w:marRight w:val="0"/>
      <w:marTop w:val="0"/>
      <w:marBottom w:val="0"/>
      <w:divBdr>
        <w:top w:val="none" w:sz="0" w:space="0" w:color="auto"/>
        <w:left w:val="none" w:sz="0" w:space="0" w:color="auto"/>
        <w:bottom w:val="none" w:sz="0" w:space="0" w:color="auto"/>
        <w:right w:val="none" w:sz="0" w:space="0" w:color="auto"/>
      </w:divBdr>
    </w:div>
    <w:div w:id="624894257">
      <w:bodyDiv w:val="1"/>
      <w:marLeft w:val="0"/>
      <w:marRight w:val="0"/>
      <w:marTop w:val="0"/>
      <w:marBottom w:val="0"/>
      <w:divBdr>
        <w:top w:val="none" w:sz="0" w:space="0" w:color="auto"/>
        <w:left w:val="none" w:sz="0" w:space="0" w:color="auto"/>
        <w:bottom w:val="none" w:sz="0" w:space="0" w:color="auto"/>
        <w:right w:val="none" w:sz="0" w:space="0" w:color="auto"/>
      </w:divBdr>
    </w:div>
    <w:div w:id="674848751">
      <w:bodyDiv w:val="1"/>
      <w:marLeft w:val="0"/>
      <w:marRight w:val="0"/>
      <w:marTop w:val="0"/>
      <w:marBottom w:val="0"/>
      <w:divBdr>
        <w:top w:val="none" w:sz="0" w:space="0" w:color="auto"/>
        <w:left w:val="none" w:sz="0" w:space="0" w:color="auto"/>
        <w:bottom w:val="none" w:sz="0" w:space="0" w:color="auto"/>
        <w:right w:val="none" w:sz="0" w:space="0" w:color="auto"/>
      </w:divBdr>
      <w:divsChild>
        <w:div w:id="1101947198">
          <w:marLeft w:val="0"/>
          <w:marRight w:val="0"/>
          <w:marTop w:val="0"/>
          <w:marBottom w:val="0"/>
          <w:divBdr>
            <w:top w:val="none" w:sz="0" w:space="0" w:color="auto"/>
            <w:left w:val="none" w:sz="0" w:space="0" w:color="auto"/>
            <w:bottom w:val="none" w:sz="0" w:space="0" w:color="auto"/>
            <w:right w:val="none" w:sz="0" w:space="0" w:color="auto"/>
          </w:divBdr>
          <w:divsChild>
            <w:div w:id="1323125563">
              <w:marLeft w:val="0"/>
              <w:marRight w:val="0"/>
              <w:marTop w:val="0"/>
              <w:marBottom w:val="0"/>
              <w:divBdr>
                <w:top w:val="none" w:sz="0" w:space="0" w:color="auto"/>
                <w:left w:val="none" w:sz="0" w:space="0" w:color="auto"/>
                <w:bottom w:val="none" w:sz="0" w:space="0" w:color="auto"/>
                <w:right w:val="none" w:sz="0" w:space="0" w:color="auto"/>
              </w:divBdr>
              <w:divsChild>
                <w:div w:id="777214644">
                  <w:marLeft w:val="0"/>
                  <w:marRight w:val="0"/>
                  <w:marTop w:val="0"/>
                  <w:marBottom w:val="0"/>
                  <w:divBdr>
                    <w:top w:val="none" w:sz="0" w:space="0" w:color="auto"/>
                    <w:left w:val="none" w:sz="0" w:space="0" w:color="auto"/>
                    <w:bottom w:val="none" w:sz="0" w:space="0" w:color="auto"/>
                    <w:right w:val="none" w:sz="0" w:space="0" w:color="auto"/>
                  </w:divBdr>
                  <w:divsChild>
                    <w:div w:id="1946571226">
                      <w:marLeft w:val="0"/>
                      <w:marRight w:val="0"/>
                      <w:marTop w:val="0"/>
                      <w:marBottom w:val="0"/>
                      <w:divBdr>
                        <w:top w:val="none" w:sz="0" w:space="0" w:color="auto"/>
                        <w:left w:val="none" w:sz="0" w:space="0" w:color="auto"/>
                        <w:bottom w:val="none" w:sz="0" w:space="0" w:color="auto"/>
                        <w:right w:val="none" w:sz="0" w:space="0" w:color="auto"/>
                      </w:divBdr>
                      <w:divsChild>
                        <w:div w:id="1874267970">
                          <w:marLeft w:val="0"/>
                          <w:marRight w:val="0"/>
                          <w:marTop w:val="0"/>
                          <w:marBottom w:val="0"/>
                          <w:divBdr>
                            <w:top w:val="none" w:sz="0" w:space="0" w:color="auto"/>
                            <w:left w:val="none" w:sz="0" w:space="0" w:color="auto"/>
                            <w:bottom w:val="none" w:sz="0" w:space="0" w:color="auto"/>
                            <w:right w:val="none" w:sz="0" w:space="0" w:color="auto"/>
                          </w:divBdr>
                          <w:divsChild>
                            <w:div w:id="24242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9987380">
      <w:bodyDiv w:val="1"/>
      <w:marLeft w:val="0"/>
      <w:marRight w:val="0"/>
      <w:marTop w:val="0"/>
      <w:marBottom w:val="0"/>
      <w:divBdr>
        <w:top w:val="none" w:sz="0" w:space="0" w:color="auto"/>
        <w:left w:val="none" w:sz="0" w:space="0" w:color="auto"/>
        <w:bottom w:val="none" w:sz="0" w:space="0" w:color="auto"/>
        <w:right w:val="none" w:sz="0" w:space="0" w:color="auto"/>
      </w:divBdr>
    </w:div>
    <w:div w:id="696152836">
      <w:bodyDiv w:val="1"/>
      <w:marLeft w:val="0"/>
      <w:marRight w:val="0"/>
      <w:marTop w:val="0"/>
      <w:marBottom w:val="0"/>
      <w:divBdr>
        <w:top w:val="none" w:sz="0" w:space="0" w:color="auto"/>
        <w:left w:val="none" w:sz="0" w:space="0" w:color="auto"/>
        <w:bottom w:val="none" w:sz="0" w:space="0" w:color="auto"/>
        <w:right w:val="none" w:sz="0" w:space="0" w:color="auto"/>
      </w:divBdr>
    </w:div>
    <w:div w:id="702440280">
      <w:bodyDiv w:val="1"/>
      <w:marLeft w:val="0"/>
      <w:marRight w:val="0"/>
      <w:marTop w:val="0"/>
      <w:marBottom w:val="0"/>
      <w:divBdr>
        <w:top w:val="none" w:sz="0" w:space="0" w:color="auto"/>
        <w:left w:val="none" w:sz="0" w:space="0" w:color="auto"/>
        <w:bottom w:val="none" w:sz="0" w:space="0" w:color="auto"/>
        <w:right w:val="none" w:sz="0" w:space="0" w:color="auto"/>
      </w:divBdr>
    </w:div>
    <w:div w:id="739595399">
      <w:bodyDiv w:val="1"/>
      <w:marLeft w:val="0"/>
      <w:marRight w:val="0"/>
      <w:marTop w:val="0"/>
      <w:marBottom w:val="0"/>
      <w:divBdr>
        <w:top w:val="none" w:sz="0" w:space="0" w:color="auto"/>
        <w:left w:val="none" w:sz="0" w:space="0" w:color="auto"/>
        <w:bottom w:val="none" w:sz="0" w:space="0" w:color="auto"/>
        <w:right w:val="none" w:sz="0" w:space="0" w:color="auto"/>
      </w:divBdr>
    </w:div>
    <w:div w:id="780345180">
      <w:bodyDiv w:val="1"/>
      <w:marLeft w:val="0"/>
      <w:marRight w:val="0"/>
      <w:marTop w:val="0"/>
      <w:marBottom w:val="0"/>
      <w:divBdr>
        <w:top w:val="none" w:sz="0" w:space="0" w:color="auto"/>
        <w:left w:val="none" w:sz="0" w:space="0" w:color="auto"/>
        <w:bottom w:val="none" w:sz="0" w:space="0" w:color="auto"/>
        <w:right w:val="none" w:sz="0" w:space="0" w:color="auto"/>
      </w:divBdr>
    </w:div>
    <w:div w:id="842085204">
      <w:bodyDiv w:val="1"/>
      <w:marLeft w:val="0"/>
      <w:marRight w:val="0"/>
      <w:marTop w:val="0"/>
      <w:marBottom w:val="0"/>
      <w:divBdr>
        <w:top w:val="none" w:sz="0" w:space="0" w:color="auto"/>
        <w:left w:val="none" w:sz="0" w:space="0" w:color="auto"/>
        <w:bottom w:val="none" w:sz="0" w:space="0" w:color="auto"/>
        <w:right w:val="none" w:sz="0" w:space="0" w:color="auto"/>
      </w:divBdr>
    </w:div>
    <w:div w:id="874151184">
      <w:bodyDiv w:val="1"/>
      <w:marLeft w:val="0"/>
      <w:marRight w:val="0"/>
      <w:marTop w:val="0"/>
      <w:marBottom w:val="0"/>
      <w:divBdr>
        <w:top w:val="none" w:sz="0" w:space="0" w:color="auto"/>
        <w:left w:val="none" w:sz="0" w:space="0" w:color="auto"/>
        <w:bottom w:val="none" w:sz="0" w:space="0" w:color="auto"/>
        <w:right w:val="none" w:sz="0" w:space="0" w:color="auto"/>
      </w:divBdr>
    </w:div>
    <w:div w:id="912395071">
      <w:bodyDiv w:val="1"/>
      <w:marLeft w:val="0"/>
      <w:marRight w:val="0"/>
      <w:marTop w:val="0"/>
      <w:marBottom w:val="0"/>
      <w:divBdr>
        <w:top w:val="none" w:sz="0" w:space="0" w:color="auto"/>
        <w:left w:val="none" w:sz="0" w:space="0" w:color="auto"/>
        <w:bottom w:val="none" w:sz="0" w:space="0" w:color="auto"/>
        <w:right w:val="none" w:sz="0" w:space="0" w:color="auto"/>
      </w:divBdr>
      <w:divsChild>
        <w:div w:id="434978131">
          <w:marLeft w:val="0"/>
          <w:marRight w:val="0"/>
          <w:marTop w:val="0"/>
          <w:marBottom w:val="0"/>
          <w:divBdr>
            <w:top w:val="none" w:sz="0" w:space="0" w:color="auto"/>
            <w:left w:val="none" w:sz="0" w:space="0" w:color="auto"/>
            <w:bottom w:val="none" w:sz="0" w:space="0" w:color="auto"/>
            <w:right w:val="none" w:sz="0" w:space="0" w:color="auto"/>
          </w:divBdr>
          <w:divsChild>
            <w:div w:id="1546797735">
              <w:marLeft w:val="0"/>
              <w:marRight w:val="0"/>
              <w:marTop w:val="0"/>
              <w:marBottom w:val="0"/>
              <w:divBdr>
                <w:top w:val="none" w:sz="0" w:space="0" w:color="auto"/>
                <w:left w:val="none" w:sz="0" w:space="0" w:color="auto"/>
                <w:bottom w:val="none" w:sz="0" w:space="0" w:color="auto"/>
                <w:right w:val="none" w:sz="0" w:space="0" w:color="auto"/>
              </w:divBdr>
              <w:divsChild>
                <w:div w:id="1016421895">
                  <w:marLeft w:val="0"/>
                  <w:marRight w:val="0"/>
                  <w:marTop w:val="0"/>
                  <w:marBottom w:val="0"/>
                  <w:divBdr>
                    <w:top w:val="none" w:sz="0" w:space="0" w:color="auto"/>
                    <w:left w:val="none" w:sz="0" w:space="0" w:color="auto"/>
                    <w:bottom w:val="none" w:sz="0" w:space="0" w:color="auto"/>
                    <w:right w:val="none" w:sz="0" w:space="0" w:color="auto"/>
                  </w:divBdr>
                  <w:divsChild>
                    <w:div w:id="245503796">
                      <w:marLeft w:val="0"/>
                      <w:marRight w:val="0"/>
                      <w:marTop w:val="0"/>
                      <w:marBottom w:val="0"/>
                      <w:divBdr>
                        <w:top w:val="none" w:sz="0" w:space="0" w:color="auto"/>
                        <w:left w:val="none" w:sz="0" w:space="0" w:color="auto"/>
                        <w:bottom w:val="none" w:sz="0" w:space="0" w:color="auto"/>
                        <w:right w:val="none" w:sz="0" w:space="0" w:color="auto"/>
                      </w:divBdr>
                      <w:divsChild>
                        <w:div w:id="907113294">
                          <w:marLeft w:val="0"/>
                          <w:marRight w:val="0"/>
                          <w:marTop w:val="0"/>
                          <w:marBottom w:val="0"/>
                          <w:divBdr>
                            <w:top w:val="none" w:sz="0" w:space="0" w:color="auto"/>
                            <w:left w:val="none" w:sz="0" w:space="0" w:color="auto"/>
                            <w:bottom w:val="none" w:sz="0" w:space="0" w:color="auto"/>
                            <w:right w:val="none" w:sz="0" w:space="0" w:color="auto"/>
                          </w:divBdr>
                          <w:divsChild>
                            <w:div w:id="136671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643399">
      <w:bodyDiv w:val="1"/>
      <w:marLeft w:val="0"/>
      <w:marRight w:val="0"/>
      <w:marTop w:val="0"/>
      <w:marBottom w:val="0"/>
      <w:divBdr>
        <w:top w:val="none" w:sz="0" w:space="0" w:color="auto"/>
        <w:left w:val="none" w:sz="0" w:space="0" w:color="auto"/>
        <w:bottom w:val="none" w:sz="0" w:space="0" w:color="auto"/>
        <w:right w:val="none" w:sz="0" w:space="0" w:color="auto"/>
      </w:divBdr>
    </w:div>
    <w:div w:id="951209127">
      <w:bodyDiv w:val="1"/>
      <w:marLeft w:val="0"/>
      <w:marRight w:val="0"/>
      <w:marTop w:val="0"/>
      <w:marBottom w:val="0"/>
      <w:divBdr>
        <w:top w:val="none" w:sz="0" w:space="0" w:color="auto"/>
        <w:left w:val="none" w:sz="0" w:space="0" w:color="auto"/>
        <w:bottom w:val="none" w:sz="0" w:space="0" w:color="auto"/>
        <w:right w:val="none" w:sz="0" w:space="0" w:color="auto"/>
      </w:divBdr>
    </w:div>
    <w:div w:id="968127341">
      <w:bodyDiv w:val="1"/>
      <w:marLeft w:val="0"/>
      <w:marRight w:val="0"/>
      <w:marTop w:val="0"/>
      <w:marBottom w:val="0"/>
      <w:divBdr>
        <w:top w:val="none" w:sz="0" w:space="0" w:color="auto"/>
        <w:left w:val="none" w:sz="0" w:space="0" w:color="auto"/>
        <w:bottom w:val="none" w:sz="0" w:space="0" w:color="auto"/>
        <w:right w:val="none" w:sz="0" w:space="0" w:color="auto"/>
      </w:divBdr>
    </w:div>
    <w:div w:id="977489377">
      <w:bodyDiv w:val="1"/>
      <w:marLeft w:val="0"/>
      <w:marRight w:val="0"/>
      <w:marTop w:val="0"/>
      <w:marBottom w:val="0"/>
      <w:divBdr>
        <w:top w:val="none" w:sz="0" w:space="0" w:color="auto"/>
        <w:left w:val="none" w:sz="0" w:space="0" w:color="auto"/>
        <w:bottom w:val="none" w:sz="0" w:space="0" w:color="auto"/>
        <w:right w:val="none" w:sz="0" w:space="0" w:color="auto"/>
      </w:divBdr>
    </w:div>
    <w:div w:id="988706696">
      <w:bodyDiv w:val="1"/>
      <w:marLeft w:val="0"/>
      <w:marRight w:val="0"/>
      <w:marTop w:val="0"/>
      <w:marBottom w:val="0"/>
      <w:divBdr>
        <w:top w:val="none" w:sz="0" w:space="0" w:color="auto"/>
        <w:left w:val="none" w:sz="0" w:space="0" w:color="auto"/>
        <w:bottom w:val="none" w:sz="0" w:space="0" w:color="auto"/>
        <w:right w:val="none" w:sz="0" w:space="0" w:color="auto"/>
      </w:divBdr>
    </w:div>
    <w:div w:id="1043093785">
      <w:bodyDiv w:val="1"/>
      <w:marLeft w:val="0"/>
      <w:marRight w:val="0"/>
      <w:marTop w:val="0"/>
      <w:marBottom w:val="0"/>
      <w:divBdr>
        <w:top w:val="none" w:sz="0" w:space="0" w:color="auto"/>
        <w:left w:val="none" w:sz="0" w:space="0" w:color="auto"/>
        <w:bottom w:val="none" w:sz="0" w:space="0" w:color="auto"/>
        <w:right w:val="none" w:sz="0" w:space="0" w:color="auto"/>
      </w:divBdr>
    </w:div>
    <w:div w:id="1059283910">
      <w:bodyDiv w:val="1"/>
      <w:marLeft w:val="0"/>
      <w:marRight w:val="0"/>
      <w:marTop w:val="0"/>
      <w:marBottom w:val="0"/>
      <w:divBdr>
        <w:top w:val="none" w:sz="0" w:space="0" w:color="auto"/>
        <w:left w:val="none" w:sz="0" w:space="0" w:color="auto"/>
        <w:bottom w:val="none" w:sz="0" w:space="0" w:color="auto"/>
        <w:right w:val="none" w:sz="0" w:space="0" w:color="auto"/>
      </w:divBdr>
    </w:div>
    <w:div w:id="1061833167">
      <w:bodyDiv w:val="1"/>
      <w:marLeft w:val="0"/>
      <w:marRight w:val="0"/>
      <w:marTop w:val="0"/>
      <w:marBottom w:val="0"/>
      <w:divBdr>
        <w:top w:val="none" w:sz="0" w:space="0" w:color="auto"/>
        <w:left w:val="none" w:sz="0" w:space="0" w:color="auto"/>
        <w:bottom w:val="none" w:sz="0" w:space="0" w:color="auto"/>
        <w:right w:val="none" w:sz="0" w:space="0" w:color="auto"/>
      </w:divBdr>
    </w:div>
    <w:div w:id="1071387570">
      <w:bodyDiv w:val="1"/>
      <w:marLeft w:val="0"/>
      <w:marRight w:val="0"/>
      <w:marTop w:val="0"/>
      <w:marBottom w:val="0"/>
      <w:divBdr>
        <w:top w:val="none" w:sz="0" w:space="0" w:color="auto"/>
        <w:left w:val="none" w:sz="0" w:space="0" w:color="auto"/>
        <w:bottom w:val="none" w:sz="0" w:space="0" w:color="auto"/>
        <w:right w:val="none" w:sz="0" w:space="0" w:color="auto"/>
      </w:divBdr>
    </w:div>
    <w:div w:id="1120145606">
      <w:bodyDiv w:val="1"/>
      <w:marLeft w:val="0"/>
      <w:marRight w:val="0"/>
      <w:marTop w:val="0"/>
      <w:marBottom w:val="0"/>
      <w:divBdr>
        <w:top w:val="none" w:sz="0" w:space="0" w:color="auto"/>
        <w:left w:val="none" w:sz="0" w:space="0" w:color="auto"/>
        <w:bottom w:val="none" w:sz="0" w:space="0" w:color="auto"/>
        <w:right w:val="none" w:sz="0" w:space="0" w:color="auto"/>
      </w:divBdr>
    </w:div>
    <w:div w:id="1214195748">
      <w:bodyDiv w:val="1"/>
      <w:marLeft w:val="0"/>
      <w:marRight w:val="0"/>
      <w:marTop w:val="0"/>
      <w:marBottom w:val="0"/>
      <w:divBdr>
        <w:top w:val="none" w:sz="0" w:space="0" w:color="auto"/>
        <w:left w:val="none" w:sz="0" w:space="0" w:color="auto"/>
        <w:bottom w:val="none" w:sz="0" w:space="0" w:color="auto"/>
        <w:right w:val="none" w:sz="0" w:space="0" w:color="auto"/>
      </w:divBdr>
    </w:div>
    <w:div w:id="1220050069">
      <w:bodyDiv w:val="1"/>
      <w:marLeft w:val="0"/>
      <w:marRight w:val="0"/>
      <w:marTop w:val="0"/>
      <w:marBottom w:val="0"/>
      <w:divBdr>
        <w:top w:val="none" w:sz="0" w:space="0" w:color="auto"/>
        <w:left w:val="none" w:sz="0" w:space="0" w:color="auto"/>
        <w:bottom w:val="none" w:sz="0" w:space="0" w:color="auto"/>
        <w:right w:val="none" w:sz="0" w:space="0" w:color="auto"/>
      </w:divBdr>
      <w:divsChild>
        <w:div w:id="973098902">
          <w:marLeft w:val="0"/>
          <w:marRight w:val="0"/>
          <w:marTop w:val="0"/>
          <w:marBottom w:val="0"/>
          <w:divBdr>
            <w:top w:val="none" w:sz="0" w:space="0" w:color="auto"/>
            <w:left w:val="none" w:sz="0" w:space="0" w:color="auto"/>
            <w:bottom w:val="none" w:sz="0" w:space="0" w:color="auto"/>
            <w:right w:val="none" w:sz="0" w:space="0" w:color="auto"/>
          </w:divBdr>
          <w:divsChild>
            <w:div w:id="1534197771">
              <w:marLeft w:val="0"/>
              <w:marRight w:val="0"/>
              <w:marTop w:val="0"/>
              <w:marBottom w:val="0"/>
              <w:divBdr>
                <w:top w:val="none" w:sz="0" w:space="0" w:color="auto"/>
                <w:left w:val="none" w:sz="0" w:space="0" w:color="auto"/>
                <w:bottom w:val="none" w:sz="0" w:space="0" w:color="auto"/>
                <w:right w:val="none" w:sz="0" w:space="0" w:color="auto"/>
              </w:divBdr>
              <w:divsChild>
                <w:div w:id="1428307478">
                  <w:marLeft w:val="0"/>
                  <w:marRight w:val="0"/>
                  <w:marTop w:val="0"/>
                  <w:marBottom w:val="0"/>
                  <w:divBdr>
                    <w:top w:val="none" w:sz="0" w:space="0" w:color="auto"/>
                    <w:left w:val="none" w:sz="0" w:space="0" w:color="auto"/>
                    <w:bottom w:val="none" w:sz="0" w:space="0" w:color="auto"/>
                    <w:right w:val="none" w:sz="0" w:space="0" w:color="auto"/>
                  </w:divBdr>
                  <w:divsChild>
                    <w:div w:id="1864051140">
                      <w:marLeft w:val="0"/>
                      <w:marRight w:val="0"/>
                      <w:marTop w:val="0"/>
                      <w:marBottom w:val="0"/>
                      <w:divBdr>
                        <w:top w:val="none" w:sz="0" w:space="0" w:color="auto"/>
                        <w:left w:val="none" w:sz="0" w:space="0" w:color="auto"/>
                        <w:bottom w:val="none" w:sz="0" w:space="0" w:color="auto"/>
                        <w:right w:val="none" w:sz="0" w:space="0" w:color="auto"/>
                      </w:divBdr>
                      <w:divsChild>
                        <w:div w:id="1030493111">
                          <w:marLeft w:val="0"/>
                          <w:marRight w:val="0"/>
                          <w:marTop w:val="0"/>
                          <w:marBottom w:val="0"/>
                          <w:divBdr>
                            <w:top w:val="none" w:sz="0" w:space="0" w:color="auto"/>
                            <w:left w:val="none" w:sz="0" w:space="0" w:color="auto"/>
                            <w:bottom w:val="none" w:sz="0" w:space="0" w:color="auto"/>
                            <w:right w:val="none" w:sz="0" w:space="0" w:color="auto"/>
                          </w:divBdr>
                          <w:divsChild>
                            <w:div w:id="186740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722844">
      <w:bodyDiv w:val="1"/>
      <w:marLeft w:val="0"/>
      <w:marRight w:val="0"/>
      <w:marTop w:val="0"/>
      <w:marBottom w:val="0"/>
      <w:divBdr>
        <w:top w:val="none" w:sz="0" w:space="0" w:color="auto"/>
        <w:left w:val="none" w:sz="0" w:space="0" w:color="auto"/>
        <w:bottom w:val="none" w:sz="0" w:space="0" w:color="auto"/>
        <w:right w:val="none" w:sz="0" w:space="0" w:color="auto"/>
      </w:divBdr>
    </w:div>
    <w:div w:id="1239054183">
      <w:bodyDiv w:val="1"/>
      <w:marLeft w:val="0"/>
      <w:marRight w:val="0"/>
      <w:marTop w:val="0"/>
      <w:marBottom w:val="0"/>
      <w:divBdr>
        <w:top w:val="none" w:sz="0" w:space="0" w:color="auto"/>
        <w:left w:val="none" w:sz="0" w:space="0" w:color="auto"/>
        <w:bottom w:val="none" w:sz="0" w:space="0" w:color="auto"/>
        <w:right w:val="none" w:sz="0" w:space="0" w:color="auto"/>
      </w:divBdr>
    </w:div>
    <w:div w:id="1239635251">
      <w:bodyDiv w:val="1"/>
      <w:marLeft w:val="0"/>
      <w:marRight w:val="0"/>
      <w:marTop w:val="0"/>
      <w:marBottom w:val="0"/>
      <w:divBdr>
        <w:top w:val="none" w:sz="0" w:space="0" w:color="auto"/>
        <w:left w:val="none" w:sz="0" w:space="0" w:color="auto"/>
        <w:bottom w:val="none" w:sz="0" w:space="0" w:color="auto"/>
        <w:right w:val="none" w:sz="0" w:space="0" w:color="auto"/>
      </w:divBdr>
    </w:div>
    <w:div w:id="1268848012">
      <w:bodyDiv w:val="1"/>
      <w:marLeft w:val="0"/>
      <w:marRight w:val="0"/>
      <w:marTop w:val="0"/>
      <w:marBottom w:val="0"/>
      <w:divBdr>
        <w:top w:val="none" w:sz="0" w:space="0" w:color="auto"/>
        <w:left w:val="none" w:sz="0" w:space="0" w:color="auto"/>
        <w:bottom w:val="none" w:sz="0" w:space="0" w:color="auto"/>
        <w:right w:val="none" w:sz="0" w:space="0" w:color="auto"/>
      </w:divBdr>
    </w:div>
    <w:div w:id="1290239875">
      <w:bodyDiv w:val="1"/>
      <w:marLeft w:val="0"/>
      <w:marRight w:val="0"/>
      <w:marTop w:val="0"/>
      <w:marBottom w:val="0"/>
      <w:divBdr>
        <w:top w:val="none" w:sz="0" w:space="0" w:color="auto"/>
        <w:left w:val="none" w:sz="0" w:space="0" w:color="auto"/>
        <w:bottom w:val="none" w:sz="0" w:space="0" w:color="auto"/>
        <w:right w:val="none" w:sz="0" w:space="0" w:color="auto"/>
      </w:divBdr>
    </w:div>
    <w:div w:id="1306858047">
      <w:bodyDiv w:val="1"/>
      <w:marLeft w:val="0"/>
      <w:marRight w:val="0"/>
      <w:marTop w:val="0"/>
      <w:marBottom w:val="0"/>
      <w:divBdr>
        <w:top w:val="none" w:sz="0" w:space="0" w:color="auto"/>
        <w:left w:val="none" w:sz="0" w:space="0" w:color="auto"/>
        <w:bottom w:val="none" w:sz="0" w:space="0" w:color="auto"/>
        <w:right w:val="none" w:sz="0" w:space="0" w:color="auto"/>
      </w:divBdr>
    </w:div>
    <w:div w:id="1331828481">
      <w:bodyDiv w:val="1"/>
      <w:marLeft w:val="0"/>
      <w:marRight w:val="0"/>
      <w:marTop w:val="0"/>
      <w:marBottom w:val="0"/>
      <w:divBdr>
        <w:top w:val="none" w:sz="0" w:space="0" w:color="auto"/>
        <w:left w:val="none" w:sz="0" w:space="0" w:color="auto"/>
        <w:bottom w:val="none" w:sz="0" w:space="0" w:color="auto"/>
        <w:right w:val="none" w:sz="0" w:space="0" w:color="auto"/>
      </w:divBdr>
    </w:div>
    <w:div w:id="1338116446">
      <w:bodyDiv w:val="1"/>
      <w:marLeft w:val="0"/>
      <w:marRight w:val="0"/>
      <w:marTop w:val="0"/>
      <w:marBottom w:val="0"/>
      <w:divBdr>
        <w:top w:val="none" w:sz="0" w:space="0" w:color="auto"/>
        <w:left w:val="none" w:sz="0" w:space="0" w:color="auto"/>
        <w:bottom w:val="none" w:sz="0" w:space="0" w:color="auto"/>
        <w:right w:val="none" w:sz="0" w:space="0" w:color="auto"/>
      </w:divBdr>
      <w:divsChild>
        <w:div w:id="209728925">
          <w:marLeft w:val="0"/>
          <w:marRight w:val="0"/>
          <w:marTop w:val="0"/>
          <w:marBottom w:val="0"/>
          <w:divBdr>
            <w:top w:val="none" w:sz="0" w:space="0" w:color="auto"/>
            <w:left w:val="none" w:sz="0" w:space="0" w:color="auto"/>
            <w:bottom w:val="none" w:sz="0" w:space="0" w:color="auto"/>
            <w:right w:val="none" w:sz="0" w:space="0" w:color="auto"/>
          </w:divBdr>
          <w:divsChild>
            <w:div w:id="2081905591">
              <w:marLeft w:val="0"/>
              <w:marRight w:val="0"/>
              <w:marTop w:val="0"/>
              <w:marBottom w:val="0"/>
              <w:divBdr>
                <w:top w:val="none" w:sz="0" w:space="0" w:color="auto"/>
                <w:left w:val="none" w:sz="0" w:space="0" w:color="auto"/>
                <w:bottom w:val="none" w:sz="0" w:space="0" w:color="auto"/>
                <w:right w:val="none" w:sz="0" w:space="0" w:color="auto"/>
              </w:divBdr>
              <w:divsChild>
                <w:div w:id="1651784424">
                  <w:marLeft w:val="0"/>
                  <w:marRight w:val="0"/>
                  <w:marTop w:val="0"/>
                  <w:marBottom w:val="0"/>
                  <w:divBdr>
                    <w:top w:val="none" w:sz="0" w:space="0" w:color="auto"/>
                    <w:left w:val="none" w:sz="0" w:space="0" w:color="auto"/>
                    <w:bottom w:val="none" w:sz="0" w:space="0" w:color="auto"/>
                    <w:right w:val="none" w:sz="0" w:space="0" w:color="auto"/>
                  </w:divBdr>
                  <w:divsChild>
                    <w:div w:id="430007849">
                      <w:marLeft w:val="0"/>
                      <w:marRight w:val="0"/>
                      <w:marTop w:val="0"/>
                      <w:marBottom w:val="0"/>
                      <w:divBdr>
                        <w:top w:val="none" w:sz="0" w:space="0" w:color="auto"/>
                        <w:left w:val="none" w:sz="0" w:space="0" w:color="auto"/>
                        <w:bottom w:val="none" w:sz="0" w:space="0" w:color="auto"/>
                        <w:right w:val="none" w:sz="0" w:space="0" w:color="auto"/>
                      </w:divBdr>
                      <w:divsChild>
                        <w:div w:id="1284729223">
                          <w:marLeft w:val="0"/>
                          <w:marRight w:val="0"/>
                          <w:marTop w:val="0"/>
                          <w:marBottom w:val="0"/>
                          <w:divBdr>
                            <w:top w:val="none" w:sz="0" w:space="0" w:color="auto"/>
                            <w:left w:val="none" w:sz="0" w:space="0" w:color="auto"/>
                            <w:bottom w:val="none" w:sz="0" w:space="0" w:color="auto"/>
                            <w:right w:val="none" w:sz="0" w:space="0" w:color="auto"/>
                          </w:divBdr>
                          <w:divsChild>
                            <w:div w:id="191948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623920">
      <w:bodyDiv w:val="1"/>
      <w:marLeft w:val="0"/>
      <w:marRight w:val="0"/>
      <w:marTop w:val="0"/>
      <w:marBottom w:val="0"/>
      <w:divBdr>
        <w:top w:val="none" w:sz="0" w:space="0" w:color="auto"/>
        <w:left w:val="none" w:sz="0" w:space="0" w:color="auto"/>
        <w:bottom w:val="none" w:sz="0" w:space="0" w:color="auto"/>
        <w:right w:val="none" w:sz="0" w:space="0" w:color="auto"/>
      </w:divBdr>
    </w:div>
    <w:div w:id="1351838583">
      <w:bodyDiv w:val="1"/>
      <w:marLeft w:val="0"/>
      <w:marRight w:val="0"/>
      <w:marTop w:val="0"/>
      <w:marBottom w:val="0"/>
      <w:divBdr>
        <w:top w:val="none" w:sz="0" w:space="0" w:color="auto"/>
        <w:left w:val="none" w:sz="0" w:space="0" w:color="auto"/>
        <w:bottom w:val="none" w:sz="0" w:space="0" w:color="auto"/>
        <w:right w:val="none" w:sz="0" w:space="0" w:color="auto"/>
      </w:divBdr>
    </w:div>
    <w:div w:id="1400056467">
      <w:bodyDiv w:val="1"/>
      <w:marLeft w:val="0"/>
      <w:marRight w:val="0"/>
      <w:marTop w:val="0"/>
      <w:marBottom w:val="0"/>
      <w:divBdr>
        <w:top w:val="none" w:sz="0" w:space="0" w:color="auto"/>
        <w:left w:val="none" w:sz="0" w:space="0" w:color="auto"/>
        <w:bottom w:val="none" w:sz="0" w:space="0" w:color="auto"/>
        <w:right w:val="none" w:sz="0" w:space="0" w:color="auto"/>
      </w:divBdr>
      <w:divsChild>
        <w:div w:id="846093874">
          <w:marLeft w:val="0"/>
          <w:marRight w:val="0"/>
          <w:marTop w:val="0"/>
          <w:marBottom w:val="0"/>
          <w:divBdr>
            <w:top w:val="none" w:sz="0" w:space="0" w:color="auto"/>
            <w:left w:val="none" w:sz="0" w:space="0" w:color="auto"/>
            <w:bottom w:val="none" w:sz="0" w:space="0" w:color="auto"/>
            <w:right w:val="none" w:sz="0" w:space="0" w:color="auto"/>
          </w:divBdr>
          <w:divsChild>
            <w:div w:id="2075741638">
              <w:marLeft w:val="0"/>
              <w:marRight w:val="0"/>
              <w:marTop w:val="0"/>
              <w:marBottom w:val="0"/>
              <w:divBdr>
                <w:top w:val="none" w:sz="0" w:space="0" w:color="auto"/>
                <w:left w:val="none" w:sz="0" w:space="0" w:color="auto"/>
                <w:bottom w:val="none" w:sz="0" w:space="0" w:color="auto"/>
                <w:right w:val="none" w:sz="0" w:space="0" w:color="auto"/>
              </w:divBdr>
              <w:divsChild>
                <w:div w:id="1630547834">
                  <w:marLeft w:val="0"/>
                  <w:marRight w:val="0"/>
                  <w:marTop w:val="0"/>
                  <w:marBottom w:val="0"/>
                  <w:divBdr>
                    <w:top w:val="none" w:sz="0" w:space="0" w:color="auto"/>
                    <w:left w:val="none" w:sz="0" w:space="0" w:color="auto"/>
                    <w:bottom w:val="none" w:sz="0" w:space="0" w:color="auto"/>
                    <w:right w:val="none" w:sz="0" w:space="0" w:color="auto"/>
                  </w:divBdr>
                  <w:divsChild>
                    <w:div w:id="1220632582">
                      <w:marLeft w:val="0"/>
                      <w:marRight w:val="0"/>
                      <w:marTop w:val="0"/>
                      <w:marBottom w:val="0"/>
                      <w:divBdr>
                        <w:top w:val="none" w:sz="0" w:space="0" w:color="auto"/>
                        <w:left w:val="none" w:sz="0" w:space="0" w:color="auto"/>
                        <w:bottom w:val="none" w:sz="0" w:space="0" w:color="auto"/>
                        <w:right w:val="none" w:sz="0" w:space="0" w:color="auto"/>
                      </w:divBdr>
                      <w:divsChild>
                        <w:div w:id="1034231745">
                          <w:marLeft w:val="0"/>
                          <w:marRight w:val="0"/>
                          <w:marTop w:val="0"/>
                          <w:marBottom w:val="0"/>
                          <w:divBdr>
                            <w:top w:val="none" w:sz="0" w:space="0" w:color="auto"/>
                            <w:left w:val="none" w:sz="0" w:space="0" w:color="auto"/>
                            <w:bottom w:val="none" w:sz="0" w:space="0" w:color="auto"/>
                            <w:right w:val="none" w:sz="0" w:space="0" w:color="auto"/>
                          </w:divBdr>
                          <w:divsChild>
                            <w:div w:id="206649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619469">
      <w:bodyDiv w:val="1"/>
      <w:marLeft w:val="0"/>
      <w:marRight w:val="0"/>
      <w:marTop w:val="0"/>
      <w:marBottom w:val="0"/>
      <w:divBdr>
        <w:top w:val="none" w:sz="0" w:space="0" w:color="auto"/>
        <w:left w:val="none" w:sz="0" w:space="0" w:color="auto"/>
        <w:bottom w:val="none" w:sz="0" w:space="0" w:color="auto"/>
        <w:right w:val="none" w:sz="0" w:space="0" w:color="auto"/>
      </w:divBdr>
    </w:div>
    <w:div w:id="1418596839">
      <w:bodyDiv w:val="1"/>
      <w:marLeft w:val="0"/>
      <w:marRight w:val="0"/>
      <w:marTop w:val="0"/>
      <w:marBottom w:val="0"/>
      <w:divBdr>
        <w:top w:val="none" w:sz="0" w:space="0" w:color="auto"/>
        <w:left w:val="none" w:sz="0" w:space="0" w:color="auto"/>
        <w:bottom w:val="none" w:sz="0" w:space="0" w:color="auto"/>
        <w:right w:val="none" w:sz="0" w:space="0" w:color="auto"/>
      </w:divBdr>
    </w:div>
    <w:div w:id="1476139688">
      <w:bodyDiv w:val="1"/>
      <w:marLeft w:val="0"/>
      <w:marRight w:val="0"/>
      <w:marTop w:val="0"/>
      <w:marBottom w:val="0"/>
      <w:divBdr>
        <w:top w:val="none" w:sz="0" w:space="0" w:color="auto"/>
        <w:left w:val="none" w:sz="0" w:space="0" w:color="auto"/>
        <w:bottom w:val="none" w:sz="0" w:space="0" w:color="auto"/>
        <w:right w:val="none" w:sz="0" w:space="0" w:color="auto"/>
      </w:divBdr>
    </w:div>
    <w:div w:id="1531912499">
      <w:bodyDiv w:val="1"/>
      <w:marLeft w:val="0"/>
      <w:marRight w:val="0"/>
      <w:marTop w:val="0"/>
      <w:marBottom w:val="0"/>
      <w:divBdr>
        <w:top w:val="none" w:sz="0" w:space="0" w:color="auto"/>
        <w:left w:val="none" w:sz="0" w:space="0" w:color="auto"/>
        <w:bottom w:val="none" w:sz="0" w:space="0" w:color="auto"/>
        <w:right w:val="none" w:sz="0" w:space="0" w:color="auto"/>
      </w:divBdr>
    </w:div>
    <w:div w:id="1532453405">
      <w:bodyDiv w:val="1"/>
      <w:marLeft w:val="0"/>
      <w:marRight w:val="0"/>
      <w:marTop w:val="0"/>
      <w:marBottom w:val="0"/>
      <w:divBdr>
        <w:top w:val="none" w:sz="0" w:space="0" w:color="auto"/>
        <w:left w:val="none" w:sz="0" w:space="0" w:color="auto"/>
        <w:bottom w:val="none" w:sz="0" w:space="0" w:color="auto"/>
        <w:right w:val="none" w:sz="0" w:space="0" w:color="auto"/>
      </w:divBdr>
    </w:div>
    <w:div w:id="1537504145">
      <w:bodyDiv w:val="1"/>
      <w:marLeft w:val="0"/>
      <w:marRight w:val="0"/>
      <w:marTop w:val="0"/>
      <w:marBottom w:val="0"/>
      <w:divBdr>
        <w:top w:val="none" w:sz="0" w:space="0" w:color="auto"/>
        <w:left w:val="none" w:sz="0" w:space="0" w:color="auto"/>
        <w:bottom w:val="none" w:sz="0" w:space="0" w:color="auto"/>
        <w:right w:val="none" w:sz="0" w:space="0" w:color="auto"/>
      </w:divBdr>
    </w:div>
    <w:div w:id="1600865368">
      <w:bodyDiv w:val="1"/>
      <w:marLeft w:val="0"/>
      <w:marRight w:val="0"/>
      <w:marTop w:val="0"/>
      <w:marBottom w:val="0"/>
      <w:divBdr>
        <w:top w:val="none" w:sz="0" w:space="0" w:color="auto"/>
        <w:left w:val="none" w:sz="0" w:space="0" w:color="auto"/>
        <w:bottom w:val="none" w:sz="0" w:space="0" w:color="auto"/>
        <w:right w:val="none" w:sz="0" w:space="0" w:color="auto"/>
      </w:divBdr>
    </w:div>
    <w:div w:id="1608660712">
      <w:bodyDiv w:val="1"/>
      <w:marLeft w:val="0"/>
      <w:marRight w:val="0"/>
      <w:marTop w:val="0"/>
      <w:marBottom w:val="0"/>
      <w:divBdr>
        <w:top w:val="none" w:sz="0" w:space="0" w:color="auto"/>
        <w:left w:val="none" w:sz="0" w:space="0" w:color="auto"/>
        <w:bottom w:val="none" w:sz="0" w:space="0" w:color="auto"/>
        <w:right w:val="none" w:sz="0" w:space="0" w:color="auto"/>
      </w:divBdr>
    </w:div>
    <w:div w:id="1615597034">
      <w:bodyDiv w:val="1"/>
      <w:marLeft w:val="0"/>
      <w:marRight w:val="0"/>
      <w:marTop w:val="0"/>
      <w:marBottom w:val="0"/>
      <w:divBdr>
        <w:top w:val="none" w:sz="0" w:space="0" w:color="auto"/>
        <w:left w:val="none" w:sz="0" w:space="0" w:color="auto"/>
        <w:bottom w:val="none" w:sz="0" w:space="0" w:color="auto"/>
        <w:right w:val="none" w:sz="0" w:space="0" w:color="auto"/>
      </w:divBdr>
    </w:div>
    <w:div w:id="1622492074">
      <w:bodyDiv w:val="1"/>
      <w:marLeft w:val="0"/>
      <w:marRight w:val="0"/>
      <w:marTop w:val="0"/>
      <w:marBottom w:val="0"/>
      <w:divBdr>
        <w:top w:val="none" w:sz="0" w:space="0" w:color="auto"/>
        <w:left w:val="none" w:sz="0" w:space="0" w:color="auto"/>
        <w:bottom w:val="none" w:sz="0" w:space="0" w:color="auto"/>
        <w:right w:val="none" w:sz="0" w:space="0" w:color="auto"/>
      </w:divBdr>
    </w:div>
    <w:div w:id="1624195957">
      <w:bodyDiv w:val="1"/>
      <w:marLeft w:val="0"/>
      <w:marRight w:val="0"/>
      <w:marTop w:val="0"/>
      <w:marBottom w:val="0"/>
      <w:divBdr>
        <w:top w:val="none" w:sz="0" w:space="0" w:color="auto"/>
        <w:left w:val="none" w:sz="0" w:space="0" w:color="auto"/>
        <w:bottom w:val="none" w:sz="0" w:space="0" w:color="auto"/>
        <w:right w:val="none" w:sz="0" w:space="0" w:color="auto"/>
      </w:divBdr>
      <w:divsChild>
        <w:div w:id="1611164365">
          <w:marLeft w:val="0"/>
          <w:marRight w:val="0"/>
          <w:marTop w:val="0"/>
          <w:marBottom w:val="0"/>
          <w:divBdr>
            <w:top w:val="none" w:sz="0" w:space="0" w:color="auto"/>
            <w:left w:val="none" w:sz="0" w:space="0" w:color="auto"/>
            <w:bottom w:val="none" w:sz="0" w:space="0" w:color="auto"/>
            <w:right w:val="none" w:sz="0" w:space="0" w:color="auto"/>
          </w:divBdr>
          <w:divsChild>
            <w:div w:id="1759134377">
              <w:marLeft w:val="0"/>
              <w:marRight w:val="0"/>
              <w:marTop w:val="0"/>
              <w:marBottom w:val="0"/>
              <w:divBdr>
                <w:top w:val="none" w:sz="0" w:space="0" w:color="auto"/>
                <w:left w:val="none" w:sz="0" w:space="0" w:color="auto"/>
                <w:bottom w:val="none" w:sz="0" w:space="0" w:color="auto"/>
                <w:right w:val="none" w:sz="0" w:space="0" w:color="auto"/>
              </w:divBdr>
              <w:divsChild>
                <w:div w:id="276064910">
                  <w:marLeft w:val="0"/>
                  <w:marRight w:val="0"/>
                  <w:marTop w:val="0"/>
                  <w:marBottom w:val="0"/>
                  <w:divBdr>
                    <w:top w:val="none" w:sz="0" w:space="0" w:color="auto"/>
                    <w:left w:val="none" w:sz="0" w:space="0" w:color="auto"/>
                    <w:bottom w:val="none" w:sz="0" w:space="0" w:color="auto"/>
                    <w:right w:val="none" w:sz="0" w:space="0" w:color="auto"/>
                  </w:divBdr>
                  <w:divsChild>
                    <w:div w:id="1596280144">
                      <w:marLeft w:val="0"/>
                      <w:marRight w:val="0"/>
                      <w:marTop w:val="0"/>
                      <w:marBottom w:val="0"/>
                      <w:divBdr>
                        <w:top w:val="none" w:sz="0" w:space="0" w:color="auto"/>
                        <w:left w:val="none" w:sz="0" w:space="0" w:color="auto"/>
                        <w:bottom w:val="none" w:sz="0" w:space="0" w:color="auto"/>
                        <w:right w:val="none" w:sz="0" w:space="0" w:color="auto"/>
                      </w:divBdr>
                      <w:divsChild>
                        <w:div w:id="854878251">
                          <w:marLeft w:val="0"/>
                          <w:marRight w:val="0"/>
                          <w:marTop w:val="0"/>
                          <w:marBottom w:val="0"/>
                          <w:divBdr>
                            <w:top w:val="none" w:sz="0" w:space="0" w:color="auto"/>
                            <w:left w:val="none" w:sz="0" w:space="0" w:color="auto"/>
                            <w:bottom w:val="none" w:sz="0" w:space="0" w:color="auto"/>
                            <w:right w:val="none" w:sz="0" w:space="0" w:color="auto"/>
                          </w:divBdr>
                          <w:divsChild>
                            <w:div w:id="59474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437646">
      <w:bodyDiv w:val="1"/>
      <w:marLeft w:val="0"/>
      <w:marRight w:val="0"/>
      <w:marTop w:val="0"/>
      <w:marBottom w:val="0"/>
      <w:divBdr>
        <w:top w:val="none" w:sz="0" w:space="0" w:color="auto"/>
        <w:left w:val="none" w:sz="0" w:space="0" w:color="auto"/>
        <w:bottom w:val="none" w:sz="0" w:space="0" w:color="auto"/>
        <w:right w:val="none" w:sz="0" w:space="0" w:color="auto"/>
      </w:divBdr>
    </w:div>
    <w:div w:id="1640305257">
      <w:bodyDiv w:val="1"/>
      <w:marLeft w:val="0"/>
      <w:marRight w:val="0"/>
      <w:marTop w:val="0"/>
      <w:marBottom w:val="0"/>
      <w:divBdr>
        <w:top w:val="none" w:sz="0" w:space="0" w:color="auto"/>
        <w:left w:val="none" w:sz="0" w:space="0" w:color="auto"/>
        <w:bottom w:val="none" w:sz="0" w:space="0" w:color="auto"/>
        <w:right w:val="none" w:sz="0" w:space="0" w:color="auto"/>
      </w:divBdr>
    </w:div>
    <w:div w:id="1648365507">
      <w:bodyDiv w:val="1"/>
      <w:marLeft w:val="0"/>
      <w:marRight w:val="0"/>
      <w:marTop w:val="0"/>
      <w:marBottom w:val="0"/>
      <w:divBdr>
        <w:top w:val="none" w:sz="0" w:space="0" w:color="auto"/>
        <w:left w:val="none" w:sz="0" w:space="0" w:color="auto"/>
        <w:bottom w:val="none" w:sz="0" w:space="0" w:color="auto"/>
        <w:right w:val="none" w:sz="0" w:space="0" w:color="auto"/>
      </w:divBdr>
    </w:div>
    <w:div w:id="1660108047">
      <w:bodyDiv w:val="1"/>
      <w:marLeft w:val="0"/>
      <w:marRight w:val="0"/>
      <w:marTop w:val="0"/>
      <w:marBottom w:val="0"/>
      <w:divBdr>
        <w:top w:val="none" w:sz="0" w:space="0" w:color="auto"/>
        <w:left w:val="none" w:sz="0" w:space="0" w:color="auto"/>
        <w:bottom w:val="none" w:sz="0" w:space="0" w:color="auto"/>
        <w:right w:val="none" w:sz="0" w:space="0" w:color="auto"/>
      </w:divBdr>
    </w:div>
    <w:div w:id="1676302059">
      <w:bodyDiv w:val="1"/>
      <w:marLeft w:val="0"/>
      <w:marRight w:val="0"/>
      <w:marTop w:val="0"/>
      <w:marBottom w:val="0"/>
      <w:divBdr>
        <w:top w:val="none" w:sz="0" w:space="0" w:color="auto"/>
        <w:left w:val="none" w:sz="0" w:space="0" w:color="auto"/>
        <w:bottom w:val="none" w:sz="0" w:space="0" w:color="auto"/>
        <w:right w:val="none" w:sz="0" w:space="0" w:color="auto"/>
      </w:divBdr>
    </w:div>
    <w:div w:id="1750426910">
      <w:bodyDiv w:val="1"/>
      <w:marLeft w:val="0"/>
      <w:marRight w:val="0"/>
      <w:marTop w:val="0"/>
      <w:marBottom w:val="0"/>
      <w:divBdr>
        <w:top w:val="none" w:sz="0" w:space="0" w:color="auto"/>
        <w:left w:val="none" w:sz="0" w:space="0" w:color="auto"/>
        <w:bottom w:val="none" w:sz="0" w:space="0" w:color="auto"/>
        <w:right w:val="none" w:sz="0" w:space="0" w:color="auto"/>
      </w:divBdr>
    </w:div>
    <w:div w:id="1771508618">
      <w:bodyDiv w:val="1"/>
      <w:marLeft w:val="0"/>
      <w:marRight w:val="0"/>
      <w:marTop w:val="0"/>
      <w:marBottom w:val="0"/>
      <w:divBdr>
        <w:top w:val="none" w:sz="0" w:space="0" w:color="auto"/>
        <w:left w:val="none" w:sz="0" w:space="0" w:color="auto"/>
        <w:bottom w:val="none" w:sz="0" w:space="0" w:color="auto"/>
        <w:right w:val="none" w:sz="0" w:space="0" w:color="auto"/>
      </w:divBdr>
    </w:div>
    <w:div w:id="1788811360">
      <w:bodyDiv w:val="1"/>
      <w:marLeft w:val="0"/>
      <w:marRight w:val="0"/>
      <w:marTop w:val="0"/>
      <w:marBottom w:val="0"/>
      <w:divBdr>
        <w:top w:val="none" w:sz="0" w:space="0" w:color="auto"/>
        <w:left w:val="none" w:sz="0" w:space="0" w:color="auto"/>
        <w:bottom w:val="none" w:sz="0" w:space="0" w:color="auto"/>
        <w:right w:val="none" w:sz="0" w:space="0" w:color="auto"/>
      </w:divBdr>
    </w:div>
    <w:div w:id="1789162658">
      <w:bodyDiv w:val="1"/>
      <w:marLeft w:val="0"/>
      <w:marRight w:val="0"/>
      <w:marTop w:val="0"/>
      <w:marBottom w:val="0"/>
      <w:divBdr>
        <w:top w:val="none" w:sz="0" w:space="0" w:color="auto"/>
        <w:left w:val="none" w:sz="0" w:space="0" w:color="auto"/>
        <w:bottom w:val="none" w:sz="0" w:space="0" w:color="auto"/>
        <w:right w:val="none" w:sz="0" w:space="0" w:color="auto"/>
      </w:divBdr>
    </w:div>
    <w:div w:id="1821386309">
      <w:bodyDiv w:val="1"/>
      <w:marLeft w:val="0"/>
      <w:marRight w:val="0"/>
      <w:marTop w:val="0"/>
      <w:marBottom w:val="0"/>
      <w:divBdr>
        <w:top w:val="none" w:sz="0" w:space="0" w:color="auto"/>
        <w:left w:val="none" w:sz="0" w:space="0" w:color="auto"/>
        <w:bottom w:val="none" w:sz="0" w:space="0" w:color="auto"/>
        <w:right w:val="none" w:sz="0" w:space="0" w:color="auto"/>
      </w:divBdr>
    </w:div>
    <w:div w:id="1864397927">
      <w:bodyDiv w:val="1"/>
      <w:marLeft w:val="0"/>
      <w:marRight w:val="0"/>
      <w:marTop w:val="0"/>
      <w:marBottom w:val="0"/>
      <w:divBdr>
        <w:top w:val="none" w:sz="0" w:space="0" w:color="auto"/>
        <w:left w:val="none" w:sz="0" w:space="0" w:color="auto"/>
        <w:bottom w:val="none" w:sz="0" w:space="0" w:color="auto"/>
        <w:right w:val="none" w:sz="0" w:space="0" w:color="auto"/>
      </w:divBdr>
    </w:div>
    <w:div w:id="1897276995">
      <w:bodyDiv w:val="1"/>
      <w:marLeft w:val="0"/>
      <w:marRight w:val="0"/>
      <w:marTop w:val="0"/>
      <w:marBottom w:val="0"/>
      <w:divBdr>
        <w:top w:val="none" w:sz="0" w:space="0" w:color="auto"/>
        <w:left w:val="none" w:sz="0" w:space="0" w:color="auto"/>
        <w:bottom w:val="none" w:sz="0" w:space="0" w:color="auto"/>
        <w:right w:val="none" w:sz="0" w:space="0" w:color="auto"/>
      </w:divBdr>
    </w:div>
    <w:div w:id="1900897119">
      <w:bodyDiv w:val="1"/>
      <w:marLeft w:val="0"/>
      <w:marRight w:val="0"/>
      <w:marTop w:val="0"/>
      <w:marBottom w:val="0"/>
      <w:divBdr>
        <w:top w:val="none" w:sz="0" w:space="0" w:color="auto"/>
        <w:left w:val="none" w:sz="0" w:space="0" w:color="auto"/>
        <w:bottom w:val="none" w:sz="0" w:space="0" w:color="auto"/>
        <w:right w:val="none" w:sz="0" w:space="0" w:color="auto"/>
      </w:divBdr>
    </w:div>
    <w:div w:id="1909488378">
      <w:bodyDiv w:val="1"/>
      <w:marLeft w:val="0"/>
      <w:marRight w:val="0"/>
      <w:marTop w:val="0"/>
      <w:marBottom w:val="0"/>
      <w:divBdr>
        <w:top w:val="none" w:sz="0" w:space="0" w:color="auto"/>
        <w:left w:val="none" w:sz="0" w:space="0" w:color="auto"/>
        <w:bottom w:val="none" w:sz="0" w:space="0" w:color="auto"/>
        <w:right w:val="none" w:sz="0" w:space="0" w:color="auto"/>
      </w:divBdr>
    </w:div>
    <w:div w:id="1910533330">
      <w:bodyDiv w:val="1"/>
      <w:marLeft w:val="0"/>
      <w:marRight w:val="0"/>
      <w:marTop w:val="0"/>
      <w:marBottom w:val="0"/>
      <w:divBdr>
        <w:top w:val="none" w:sz="0" w:space="0" w:color="auto"/>
        <w:left w:val="none" w:sz="0" w:space="0" w:color="auto"/>
        <w:bottom w:val="none" w:sz="0" w:space="0" w:color="auto"/>
        <w:right w:val="none" w:sz="0" w:space="0" w:color="auto"/>
      </w:divBdr>
    </w:div>
    <w:div w:id="1914929040">
      <w:bodyDiv w:val="1"/>
      <w:marLeft w:val="0"/>
      <w:marRight w:val="0"/>
      <w:marTop w:val="0"/>
      <w:marBottom w:val="0"/>
      <w:divBdr>
        <w:top w:val="none" w:sz="0" w:space="0" w:color="auto"/>
        <w:left w:val="none" w:sz="0" w:space="0" w:color="auto"/>
        <w:bottom w:val="none" w:sz="0" w:space="0" w:color="auto"/>
        <w:right w:val="none" w:sz="0" w:space="0" w:color="auto"/>
      </w:divBdr>
    </w:div>
    <w:div w:id="1929385130">
      <w:bodyDiv w:val="1"/>
      <w:marLeft w:val="0"/>
      <w:marRight w:val="0"/>
      <w:marTop w:val="0"/>
      <w:marBottom w:val="0"/>
      <w:divBdr>
        <w:top w:val="none" w:sz="0" w:space="0" w:color="auto"/>
        <w:left w:val="none" w:sz="0" w:space="0" w:color="auto"/>
        <w:bottom w:val="none" w:sz="0" w:space="0" w:color="auto"/>
        <w:right w:val="none" w:sz="0" w:space="0" w:color="auto"/>
      </w:divBdr>
    </w:div>
    <w:div w:id="1937592673">
      <w:bodyDiv w:val="1"/>
      <w:marLeft w:val="0"/>
      <w:marRight w:val="0"/>
      <w:marTop w:val="0"/>
      <w:marBottom w:val="0"/>
      <w:divBdr>
        <w:top w:val="none" w:sz="0" w:space="0" w:color="auto"/>
        <w:left w:val="none" w:sz="0" w:space="0" w:color="auto"/>
        <w:bottom w:val="none" w:sz="0" w:space="0" w:color="auto"/>
        <w:right w:val="none" w:sz="0" w:space="0" w:color="auto"/>
      </w:divBdr>
    </w:div>
    <w:div w:id="1955209034">
      <w:bodyDiv w:val="1"/>
      <w:marLeft w:val="0"/>
      <w:marRight w:val="0"/>
      <w:marTop w:val="0"/>
      <w:marBottom w:val="0"/>
      <w:divBdr>
        <w:top w:val="none" w:sz="0" w:space="0" w:color="auto"/>
        <w:left w:val="none" w:sz="0" w:space="0" w:color="auto"/>
        <w:bottom w:val="none" w:sz="0" w:space="0" w:color="auto"/>
        <w:right w:val="none" w:sz="0" w:space="0" w:color="auto"/>
      </w:divBdr>
    </w:div>
    <w:div w:id="1969431734">
      <w:bodyDiv w:val="1"/>
      <w:marLeft w:val="0"/>
      <w:marRight w:val="0"/>
      <w:marTop w:val="0"/>
      <w:marBottom w:val="0"/>
      <w:divBdr>
        <w:top w:val="none" w:sz="0" w:space="0" w:color="auto"/>
        <w:left w:val="none" w:sz="0" w:space="0" w:color="auto"/>
        <w:bottom w:val="none" w:sz="0" w:space="0" w:color="auto"/>
        <w:right w:val="none" w:sz="0" w:space="0" w:color="auto"/>
      </w:divBdr>
    </w:div>
    <w:div w:id="1970357036">
      <w:bodyDiv w:val="1"/>
      <w:marLeft w:val="0"/>
      <w:marRight w:val="0"/>
      <w:marTop w:val="0"/>
      <w:marBottom w:val="0"/>
      <w:divBdr>
        <w:top w:val="none" w:sz="0" w:space="0" w:color="auto"/>
        <w:left w:val="none" w:sz="0" w:space="0" w:color="auto"/>
        <w:bottom w:val="none" w:sz="0" w:space="0" w:color="auto"/>
        <w:right w:val="none" w:sz="0" w:space="0" w:color="auto"/>
      </w:divBdr>
    </w:div>
    <w:div w:id="2078235397">
      <w:bodyDiv w:val="1"/>
      <w:marLeft w:val="0"/>
      <w:marRight w:val="0"/>
      <w:marTop w:val="0"/>
      <w:marBottom w:val="0"/>
      <w:divBdr>
        <w:top w:val="none" w:sz="0" w:space="0" w:color="auto"/>
        <w:left w:val="none" w:sz="0" w:space="0" w:color="auto"/>
        <w:bottom w:val="none" w:sz="0" w:space="0" w:color="auto"/>
        <w:right w:val="none" w:sz="0" w:space="0" w:color="auto"/>
      </w:divBdr>
    </w:div>
    <w:div w:id="210098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17</Pages>
  <Words>4335</Words>
  <Characters>24716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Evans (0702078)</dc:creator>
  <cp:keywords/>
  <dc:description/>
  <cp:lastModifiedBy>Diane Evans (0702078)</cp:lastModifiedBy>
  <cp:revision>13</cp:revision>
  <dcterms:created xsi:type="dcterms:W3CDTF">2024-12-29T09:12:00Z</dcterms:created>
  <dcterms:modified xsi:type="dcterms:W3CDTF">2025-01-18T21:18:00Z</dcterms:modified>
</cp:coreProperties>
</file>