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CEED" w:themeColor="accent5" w:themeTint="33"/>
  <w:body>
    <w:p w14:paraId="12C154FA" w14:textId="1128C75F" w:rsidR="00B47F8A" w:rsidRDefault="00A07A0C">
      <w:r>
        <w:rPr>
          <w:noProof/>
        </w:rPr>
        <mc:AlternateContent>
          <mc:Choice Requires="wps">
            <w:drawing>
              <wp:anchor distT="0" distB="0" distL="114300" distR="114300" simplePos="0" relativeHeight="251659264" behindDoc="0" locked="0" layoutInCell="1" allowOverlap="1" wp14:anchorId="466D1BF7" wp14:editId="1569F774">
                <wp:simplePos x="0" y="0"/>
                <wp:positionH relativeFrom="column">
                  <wp:posOffset>-812800</wp:posOffset>
                </wp:positionH>
                <wp:positionV relativeFrom="paragraph">
                  <wp:posOffset>-812800</wp:posOffset>
                </wp:positionV>
                <wp:extent cx="2641600" cy="5359400"/>
                <wp:effectExtent l="0" t="0" r="12700" b="12700"/>
                <wp:wrapNone/>
                <wp:docPr id="1465521697" name="Text Box 1"/>
                <wp:cNvGraphicFramePr/>
                <a:graphic xmlns:a="http://schemas.openxmlformats.org/drawingml/2006/main">
                  <a:graphicData uri="http://schemas.microsoft.com/office/word/2010/wordprocessingShape">
                    <wps:wsp>
                      <wps:cNvSpPr txBox="1"/>
                      <wps:spPr>
                        <a:xfrm>
                          <a:off x="0" y="0"/>
                          <a:ext cx="2641600" cy="5359400"/>
                        </a:xfrm>
                        <a:prstGeom prst="rect">
                          <a:avLst/>
                        </a:prstGeom>
                        <a:solidFill>
                          <a:schemeClr val="accent2">
                            <a:lumMod val="20000"/>
                            <a:lumOff val="80000"/>
                          </a:schemeClr>
                        </a:solidFill>
                        <a:ln w="6350">
                          <a:solidFill>
                            <a:prstClr val="black"/>
                          </a:solidFill>
                        </a:ln>
                      </wps:spPr>
                      <wps:txbx>
                        <w:txbxContent>
                          <w:p w14:paraId="052CBA9A" w14:textId="612771DE" w:rsidR="00B90DDA" w:rsidRPr="003A1FB0" w:rsidRDefault="00B90DDA">
                            <w:pPr>
                              <w:rPr>
                                <w:rFonts w:ascii="Kohinoor Devanagari" w:hAnsi="Kohinoor Devanagari" w:cs="Kohinoor Devanagari"/>
                                <w:b/>
                                <w:bCs/>
                                <w:sz w:val="20"/>
                                <w:szCs w:val="20"/>
                                <w:u w:val="single"/>
                              </w:rPr>
                            </w:pPr>
                            <w:r w:rsidRPr="003A1FB0">
                              <w:rPr>
                                <w:rFonts w:ascii="Kohinoor Devanagari" w:hAnsi="Kohinoor Devanagari" w:cs="Kohinoor Devanagari"/>
                                <w:b/>
                                <w:bCs/>
                                <w:sz w:val="20"/>
                                <w:szCs w:val="20"/>
                                <w:u w:val="single"/>
                              </w:rPr>
                              <w:t xml:space="preserve">What </w:t>
                            </w:r>
                            <w:proofErr w:type="gramStart"/>
                            <w:r w:rsidRPr="003A1FB0">
                              <w:rPr>
                                <w:rFonts w:ascii="Kohinoor Devanagari" w:hAnsi="Kohinoor Devanagari" w:cs="Kohinoor Devanagari"/>
                                <w:b/>
                                <w:bCs/>
                                <w:sz w:val="20"/>
                                <w:szCs w:val="20"/>
                                <w:u w:val="single"/>
                              </w:rPr>
                              <w:t>is</w:t>
                            </w:r>
                            <w:proofErr w:type="gramEnd"/>
                            <w:r w:rsidRPr="003A1FB0">
                              <w:rPr>
                                <w:rFonts w:ascii="Kohinoor Devanagari" w:hAnsi="Kohinoor Devanagari" w:cs="Kohinoor Devanagari"/>
                                <w:b/>
                                <w:bCs/>
                                <w:sz w:val="20"/>
                                <w:szCs w:val="20"/>
                                <w:u w:val="single"/>
                              </w:rPr>
                              <w:t xml:space="preserve"> dyslexia?</w:t>
                            </w:r>
                          </w:p>
                          <w:p w14:paraId="406A1254" w14:textId="20479305" w:rsidR="002F5BEB" w:rsidRPr="00345D6B" w:rsidRDefault="00F110DF">
                            <w:pPr>
                              <w:rPr>
                                <w:rFonts w:ascii="Kohinoor Devanagari" w:hAnsi="Kohinoor Devanagari" w:cs="Kohinoor Devanagari"/>
                                <w:sz w:val="16"/>
                                <w:szCs w:val="16"/>
                              </w:rPr>
                            </w:pPr>
                            <w:r w:rsidRPr="00345D6B">
                              <w:rPr>
                                <w:rFonts w:ascii="Kohinoor Devanagari" w:hAnsi="Kohinoor Devanagari" w:cs="Kohinoor Devanagari"/>
                                <w:sz w:val="16"/>
                                <w:szCs w:val="16"/>
                              </w:rPr>
                              <w:t>Dyslexia</w:t>
                            </w:r>
                            <w:r w:rsidR="002F5BEB" w:rsidRPr="00345D6B">
                              <w:rPr>
                                <w:rFonts w:ascii="Kohinoor Devanagari" w:hAnsi="Kohinoor Devanagari" w:cs="Kohinoor Devanagari"/>
                                <w:sz w:val="16"/>
                                <w:szCs w:val="16"/>
                              </w:rPr>
                              <w:t xml:space="preserve">, a term commonly used today, </w:t>
                            </w:r>
                            <w:r w:rsidRPr="00345D6B">
                              <w:rPr>
                                <w:rFonts w:ascii="Kohinoor Devanagari" w:hAnsi="Kohinoor Devanagari" w:cs="Kohinoor Devanagari"/>
                                <w:sz w:val="16"/>
                                <w:szCs w:val="16"/>
                              </w:rPr>
                              <w:t>originates</w:t>
                            </w:r>
                            <w:r w:rsidR="002F5BEB" w:rsidRPr="00345D6B">
                              <w:rPr>
                                <w:rFonts w:ascii="Kohinoor Devanagari" w:hAnsi="Kohinoor Devanagari" w:cs="Kohinoor Devanagari"/>
                                <w:sz w:val="16"/>
                                <w:szCs w:val="16"/>
                              </w:rPr>
                              <w:t xml:space="preserve"> from Greek like many medical and scientific terms. </w:t>
                            </w:r>
                            <w:r w:rsidRPr="00345D6B">
                              <w:rPr>
                                <w:rFonts w:ascii="Kohinoor Devanagari" w:hAnsi="Kohinoor Devanagari" w:cs="Kohinoor Devanagari"/>
                                <w:sz w:val="16"/>
                                <w:szCs w:val="16"/>
                              </w:rPr>
                              <w:t>It’s prefix ‘dys’ denotes ‘difficulty’ or ‘malfunction’, while the root ‘lexis’ signifies ‘language’. Literally translated, it means ‘difficulty with words’, implying challenges not limited to reading bit also extending to spelling, writing, and various aspects of language.</w:t>
                            </w:r>
                            <w:r w:rsidR="00B45DAC" w:rsidRPr="00345D6B">
                              <w:rPr>
                                <w:rFonts w:ascii="Kohinoor Devanagari" w:hAnsi="Kohinoor Devanagari" w:cs="Kohinoor Devanagari"/>
                                <w:sz w:val="16"/>
                                <w:szCs w:val="16"/>
                              </w:rPr>
                              <w:t xml:space="preserve"> </w:t>
                            </w:r>
                          </w:p>
                          <w:p w14:paraId="49E9A310" w14:textId="77777777" w:rsidR="00792A75" w:rsidRPr="00345D6B" w:rsidRDefault="00792A75">
                            <w:pPr>
                              <w:rPr>
                                <w:rFonts w:ascii="Kohinoor Devanagari" w:hAnsi="Kohinoor Devanagari" w:cs="Kohinoor Devanagari"/>
                                <w:sz w:val="16"/>
                                <w:szCs w:val="16"/>
                              </w:rPr>
                            </w:pPr>
                          </w:p>
                          <w:p w14:paraId="4CFBF78E" w14:textId="66E1C771" w:rsidR="00792A75" w:rsidRPr="00345D6B" w:rsidRDefault="00792A75">
                            <w:pPr>
                              <w:rPr>
                                <w:rFonts w:ascii="Kohinoor Devanagari" w:hAnsi="Kohinoor Devanagari" w:cs="Kohinoor Devanagari"/>
                                <w:sz w:val="16"/>
                                <w:szCs w:val="16"/>
                              </w:rPr>
                            </w:pPr>
                            <w:r w:rsidRPr="00345D6B">
                              <w:rPr>
                                <w:rFonts w:ascii="Kohinoor Devanagari" w:hAnsi="Kohinoor Devanagari" w:cs="Kohinoor Devanagari"/>
                                <w:sz w:val="16"/>
                                <w:szCs w:val="16"/>
                              </w:rPr>
                              <w:t xml:space="preserve">Dyslexia is </w:t>
                            </w:r>
                            <w:r w:rsidR="00891BCC" w:rsidRPr="00345D6B">
                              <w:rPr>
                                <w:rFonts w:ascii="Kohinoor Devanagari" w:hAnsi="Kohinoor Devanagari" w:cs="Kohinoor Devanagari"/>
                                <w:sz w:val="16"/>
                                <w:szCs w:val="16"/>
                              </w:rPr>
                              <w:t>characterised</w:t>
                            </w:r>
                            <w:r w:rsidRPr="00345D6B">
                              <w:rPr>
                                <w:rFonts w:ascii="Kohinoor Devanagari" w:hAnsi="Kohinoor Devanagari" w:cs="Kohinoor Devanagari"/>
                                <w:sz w:val="16"/>
                                <w:szCs w:val="16"/>
                              </w:rPr>
                              <w:t xml:space="preserve"> as a blend of abilities and </w:t>
                            </w:r>
                            <w:r w:rsidR="00891BCC" w:rsidRPr="00345D6B">
                              <w:rPr>
                                <w:rFonts w:ascii="Kohinoor Devanagari" w:hAnsi="Kohinoor Devanagari" w:cs="Kohinoor Devanagari"/>
                                <w:sz w:val="16"/>
                                <w:szCs w:val="16"/>
                              </w:rPr>
                              <w:t>challenges</w:t>
                            </w:r>
                            <w:r w:rsidRPr="00345D6B">
                              <w:rPr>
                                <w:rFonts w:ascii="Kohinoor Devanagari" w:hAnsi="Kohinoor Devanagari" w:cs="Kohinoor Devanagari"/>
                                <w:sz w:val="16"/>
                                <w:szCs w:val="16"/>
                              </w:rPr>
                              <w:t xml:space="preserve"> that impact </w:t>
                            </w:r>
                            <w:r w:rsidR="00891BCC" w:rsidRPr="00345D6B">
                              <w:rPr>
                                <w:rFonts w:ascii="Kohinoor Devanagari" w:hAnsi="Kohinoor Devanagari" w:cs="Kohinoor Devanagari"/>
                                <w:sz w:val="16"/>
                                <w:szCs w:val="16"/>
                              </w:rPr>
                              <w:t>learning</w:t>
                            </w:r>
                            <w:r w:rsidRPr="00345D6B">
                              <w:rPr>
                                <w:rFonts w:ascii="Kohinoor Devanagari" w:hAnsi="Kohinoor Devanagari" w:cs="Kohinoor Devanagari"/>
                                <w:sz w:val="16"/>
                                <w:szCs w:val="16"/>
                              </w:rPr>
                              <w:t xml:space="preserve"> processes, </w:t>
                            </w:r>
                            <w:r w:rsidR="00891BCC" w:rsidRPr="00345D6B">
                              <w:rPr>
                                <w:rFonts w:ascii="Kohinoor Devanagari" w:hAnsi="Kohinoor Devanagari" w:cs="Kohinoor Devanagari"/>
                                <w:sz w:val="16"/>
                                <w:szCs w:val="16"/>
                              </w:rPr>
                              <w:t>potentially</w:t>
                            </w:r>
                            <w:r w:rsidRPr="00345D6B">
                              <w:rPr>
                                <w:rFonts w:ascii="Kohinoor Devanagari" w:hAnsi="Kohinoor Devanagari" w:cs="Kohinoor Devanagari"/>
                                <w:sz w:val="16"/>
                                <w:szCs w:val="16"/>
                              </w:rPr>
                              <w:t xml:space="preserve"> affecting reading, spelling, writing, and /or </w:t>
                            </w:r>
                            <w:r w:rsidR="00891BCC" w:rsidRPr="00345D6B">
                              <w:rPr>
                                <w:rFonts w:ascii="Kohinoor Devanagari" w:hAnsi="Kohinoor Devanagari" w:cs="Kohinoor Devanagari"/>
                                <w:sz w:val="16"/>
                                <w:szCs w:val="16"/>
                              </w:rPr>
                              <w:t>numeracy</w:t>
                            </w:r>
                            <w:r w:rsidR="008214AE">
                              <w:rPr>
                                <w:rFonts w:ascii="Kohinoor Devanagari" w:hAnsi="Kohinoor Devanagari" w:cs="Kohinoor Devanagari"/>
                                <w:sz w:val="16"/>
                                <w:szCs w:val="16"/>
                              </w:rPr>
                              <w:t xml:space="preserve"> (Shaywitz, 1998)</w:t>
                            </w:r>
                            <w:r w:rsidRPr="00345D6B">
                              <w:rPr>
                                <w:rFonts w:ascii="Kohinoor Devanagari" w:hAnsi="Kohinoor Devanagari" w:cs="Kohinoor Devanagari"/>
                                <w:sz w:val="16"/>
                                <w:szCs w:val="16"/>
                              </w:rPr>
                              <w:t xml:space="preserve">. </w:t>
                            </w:r>
                            <w:r w:rsidR="00891BCC" w:rsidRPr="00345D6B">
                              <w:rPr>
                                <w:rFonts w:ascii="Kohinoor Devanagari" w:hAnsi="Kohinoor Devanagari" w:cs="Kohinoor Devanagari"/>
                                <w:sz w:val="16"/>
                                <w:szCs w:val="16"/>
                              </w:rPr>
                              <w:t xml:space="preserve">Associated weaknesses may manifest in areas such as speed of information processing, short-term memory, sequencing, auditory and /or visual perception, spoken language and motor skills </w:t>
                            </w:r>
                            <w:r w:rsidR="007A574F" w:rsidRPr="00345D6B">
                              <w:rPr>
                                <w:rFonts w:ascii="Kohinoor Devanagari" w:hAnsi="Kohinoor Devanagari" w:cs="Kohinoor Devanagari"/>
                                <w:sz w:val="16"/>
                                <w:szCs w:val="16"/>
                              </w:rPr>
                              <w:t>(</w:t>
                            </w:r>
                            <w:r w:rsidR="00891BCC" w:rsidRPr="00345D6B">
                              <w:rPr>
                                <w:rFonts w:ascii="Kohinoor Devanagari" w:hAnsi="Kohinoor Devanagari" w:cs="Kohinoor Devanagari"/>
                                <w:sz w:val="16"/>
                                <w:szCs w:val="16"/>
                              </w:rPr>
                              <w:t xml:space="preserve">British Dyslexia Association, 2000). The British Psychological Society proposed a definition in 1999, stating that ‘Dyslexia is evident when accurate and fluent word reading and/or spelling develops </w:t>
                            </w:r>
                            <w:r w:rsidR="007A574F" w:rsidRPr="00345D6B">
                              <w:rPr>
                                <w:rFonts w:ascii="Kohinoor Devanagari" w:hAnsi="Kohinoor Devanagari" w:cs="Kohinoor Devanagari"/>
                                <w:sz w:val="16"/>
                                <w:szCs w:val="16"/>
                              </w:rPr>
                              <w:t>ve</w:t>
                            </w:r>
                            <w:r w:rsidR="00891BCC" w:rsidRPr="00345D6B">
                              <w:rPr>
                                <w:rFonts w:ascii="Kohinoor Devanagari" w:hAnsi="Kohinoor Devanagari" w:cs="Kohinoor Devanagari"/>
                                <w:sz w:val="16"/>
                                <w:szCs w:val="16"/>
                              </w:rPr>
                              <w:t>ry incompletely or with great difficulty. Dyslexia is incr</w:t>
                            </w:r>
                            <w:r w:rsidR="007A574F" w:rsidRPr="00345D6B">
                              <w:rPr>
                                <w:rFonts w:ascii="Kohinoor Devanagari" w:hAnsi="Kohinoor Devanagari" w:cs="Kohinoor Devanagari"/>
                                <w:sz w:val="16"/>
                                <w:szCs w:val="16"/>
                              </w:rPr>
                              <w:t>easingly</w:t>
                            </w:r>
                            <w:r w:rsidR="00891BCC" w:rsidRPr="00345D6B">
                              <w:rPr>
                                <w:rFonts w:ascii="Kohinoor Devanagari" w:hAnsi="Kohinoor Devanagari" w:cs="Kohinoor Devanagari"/>
                                <w:sz w:val="16"/>
                                <w:szCs w:val="16"/>
                              </w:rPr>
                              <w:t xml:space="preserve"> framed as a ‘difference in learning’ rather than a ‘learning disability’. Neurological research reveals structural and functional differences in the brains of dyslexic individuals </w:t>
                            </w:r>
                            <w:r w:rsidR="007A574F" w:rsidRPr="00345D6B">
                              <w:rPr>
                                <w:rFonts w:ascii="Kohinoor Devanagari" w:hAnsi="Kohinoor Devanagari" w:cs="Kohinoor Devanagari"/>
                                <w:sz w:val="16"/>
                                <w:szCs w:val="16"/>
                              </w:rPr>
                              <w:t>compared</w:t>
                            </w:r>
                            <w:r w:rsidR="00891BCC" w:rsidRPr="00345D6B">
                              <w:rPr>
                                <w:rFonts w:ascii="Kohinoor Devanagari" w:hAnsi="Kohinoor Devanagari" w:cs="Kohinoor Devanagari"/>
                                <w:sz w:val="16"/>
                                <w:szCs w:val="16"/>
                              </w:rPr>
                              <w:t xml:space="preserve"> to non-dyslexic ones. Consequently, it’s not </w:t>
                            </w:r>
                            <w:r w:rsidR="007A574F" w:rsidRPr="00345D6B">
                              <w:rPr>
                                <w:rFonts w:ascii="Kohinoor Devanagari" w:hAnsi="Kohinoor Devanagari" w:cs="Kohinoor Devanagari"/>
                                <w:sz w:val="16"/>
                                <w:szCs w:val="16"/>
                              </w:rPr>
                              <w:t xml:space="preserve">surprising </w:t>
                            </w:r>
                            <w:r w:rsidR="00891BCC" w:rsidRPr="00345D6B">
                              <w:rPr>
                                <w:rFonts w:ascii="Kohinoor Devanagari" w:hAnsi="Kohinoor Devanagari" w:cs="Kohinoor Devanagari"/>
                                <w:sz w:val="16"/>
                                <w:szCs w:val="16"/>
                              </w:rPr>
                              <w:t xml:space="preserve">that learning is acquired and expressed differently (Jameson,1999). </w:t>
                            </w:r>
                          </w:p>
                          <w:p w14:paraId="0AA6B295" w14:textId="77777777" w:rsidR="0005245A" w:rsidRPr="00345D6B" w:rsidRDefault="0005245A">
                            <w:pPr>
                              <w:rPr>
                                <w:rFonts w:ascii="Kohinoor Devanagari" w:hAnsi="Kohinoor Devanagari" w:cs="Kohinoor Devanagari"/>
                                <w:sz w:val="16"/>
                                <w:szCs w:val="16"/>
                              </w:rPr>
                            </w:pPr>
                          </w:p>
                          <w:p w14:paraId="143E9FCE" w14:textId="20A65890" w:rsidR="00B45DAC" w:rsidRPr="00345D6B" w:rsidRDefault="0005245A">
                            <w:pPr>
                              <w:rPr>
                                <w:rFonts w:ascii="Kohinoor Devanagari" w:hAnsi="Kohinoor Devanagari" w:cs="Kohinoor Devanagari"/>
                                <w:sz w:val="16"/>
                                <w:szCs w:val="16"/>
                              </w:rPr>
                            </w:pPr>
                            <w:r w:rsidRPr="00345D6B">
                              <w:rPr>
                                <w:rFonts w:ascii="Kohinoor Devanagari" w:hAnsi="Kohinoor Devanagari" w:cs="Kohinoor Devanagari"/>
                                <w:sz w:val="16"/>
                                <w:szCs w:val="16"/>
                              </w:rPr>
                              <w:t>Roughly 10% of the population is estimated to have dyslexia,</w:t>
                            </w:r>
                            <w:r w:rsidR="008214AE" w:rsidRPr="008214AE">
                              <w:rPr>
                                <w:rFonts w:ascii="Kohinoor Devanagari" w:hAnsi="Kohinoor Devanagari" w:cs="Kohinoor Devanagari"/>
                                <w:sz w:val="16"/>
                                <w:szCs w:val="16"/>
                              </w:rPr>
                              <w:t xml:space="preserve"> </w:t>
                            </w:r>
                            <w:r w:rsidR="008214AE">
                              <w:rPr>
                                <w:rFonts w:ascii="Kohinoor Devanagari" w:hAnsi="Kohinoor Devanagari" w:cs="Kohinoor Devanagari"/>
                                <w:sz w:val="16"/>
                                <w:szCs w:val="16"/>
                              </w:rPr>
                              <w:t xml:space="preserve">(Lerner, 1989) </w:t>
                            </w:r>
                            <w:r w:rsidRPr="00345D6B">
                              <w:rPr>
                                <w:rFonts w:ascii="Kohinoor Devanagari" w:hAnsi="Kohinoor Devanagari" w:cs="Kohinoor Devanagari"/>
                                <w:sz w:val="16"/>
                                <w:szCs w:val="16"/>
                              </w:rPr>
                              <w:t>This condition impacts approximately 1 million young individuals in educational settings (British Dyslexia Association</w:t>
                            </w:r>
                            <w:r w:rsidR="00A10851" w:rsidRPr="00345D6B">
                              <w:rPr>
                                <w:rFonts w:ascii="Kohinoor Devanagari" w:hAnsi="Kohinoor Devanagari" w:cs="Kohinoor Devanagari"/>
                                <w:sz w:val="16"/>
                                <w:szCs w:val="16"/>
                              </w:rPr>
                              <w:t xml:space="preserve"> [BDA], 2019a). </w:t>
                            </w:r>
                          </w:p>
                          <w:p w14:paraId="0EEF82B9" w14:textId="77777777" w:rsidR="00B90DDA" w:rsidRDefault="00B90D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6D1BF7" id="_x0000_t202" coordsize="21600,21600" o:spt="202" path="m,l,21600r21600,l21600,xe">
                <v:stroke joinstyle="miter"/>
                <v:path gradientshapeok="t" o:connecttype="rect"/>
              </v:shapetype>
              <v:shape id="Text Box 1" o:spid="_x0000_s1026" type="#_x0000_t202" style="position:absolute;margin-left:-64pt;margin-top:-64pt;width:208pt;height:4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" fillcolor="#fae2d5 [661]" strokeweight=".5pt">
                <v:textbox>
                  <w:txbxContent>
                    <w:p w14:paraId="052CBA9A" w14:textId="612771DE" w:rsidR="00B90DDA" w:rsidRPr="003A1FB0" w:rsidRDefault="00B90DDA">
                      <w:pPr>
                        <w:rPr>
                          <w:rFonts w:ascii="Kohinoor Devanagari" w:hAnsi="Kohinoor Devanagari" w:cs="Kohinoor Devanagari"/>
                          <w:b/>
                          <w:bCs/>
                          <w:sz w:val="20"/>
                          <w:szCs w:val="20"/>
                          <w:u w:val="single"/>
                        </w:rPr>
                      </w:pPr>
                      <w:r w:rsidRPr="003A1FB0">
                        <w:rPr>
                          <w:rFonts w:ascii="Kohinoor Devanagari" w:hAnsi="Kohinoor Devanagari" w:cs="Kohinoor Devanagari"/>
                          <w:b/>
                          <w:bCs/>
                          <w:sz w:val="20"/>
                          <w:szCs w:val="20"/>
                          <w:u w:val="single"/>
                        </w:rPr>
                        <w:t xml:space="preserve">What </w:t>
                      </w:r>
                      <w:proofErr w:type="gramStart"/>
                      <w:r w:rsidRPr="003A1FB0">
                        <w:rPr>
                          <w:rFonts w:ascii="Kohinoor Devanagari" w:hAnsi="Kohinoor Devanagari" w:cs="Kohinoor Devanagari"/>
                          <w:b/>
                          <w:bCs/>
                          <w:sz w:val="20"/>
                          <w:szCs w:val="20"/>
                          <w:u w:val="single"/>
                        </w:rPr>
                        <w:t>is</w:t>
                      </w:r>
                      <w:proofErr w:type="gramEnd"/>
                      <w:r w:rsidRPr="003A1FB0">
                        <w:rPr>
                          <w:rFonts w:ascii="Kohinoor Devanagari" w:hAnsi="Kohinoor Devanagari" w:cs="Kohinoor Devanagari"/>
                          <w:b/>
                          <w:bCs/>
                          <w:sz w:val="20"/>
                          <w:szCs w:val="20"/>
                          <w:u w:val="single"/>
                        </w:rPr>
                        <w:t xml:space="preserve"> dyslexia?</w:t>
                      </w:r>
                    </w:p>
                    <w:p w14:paraId="406A1254" w14:textId="20479305" w:rsidR="002F5BEB" w:rsidRPr="00345D6B" w:rsidRDefault="00F110DF">
                      <w:pPr>
                        <w:rPr>
                          <w:rFonts w:ascii="Kohinoor Devanagari" w:hAnsi="Kohinoor Devanagari" w:cs="Kohinoor Devanagari"/>
                          <w:sz w:val="16"/>
                          <w:szCs w:val="16"/>
                        </w:rPr>
                      </w:pPr>
                      <w:r w:rsidRPr="00345D6B">
                        <w:rPr>
                          <w:rFonts w:ascii="Kohinoor Devanagari" w:hAnsi="Kohinoor Devanagari" w:cs="Kohinoor Devanagari"/>
                          <w:sz w:val="16"/>
                          <w:szCs w:val="16"/>
                        </w:rPr>
                        <w:t>Dyslexia</w:t>
                      </w:r>
                      <w:r w:rsidR="002F5BEB" w:rsidRPr="00345D6B">
                        <w:rPr>
                          <w:rFonts w:ascii="Kohinoor Devanagari" w:hAnsi="Kohinoor Devanagari" w:cs="Kohinoor Devanagari"/>
                          <w:sz w:val="16"/>
                          <w:szCs w:val="16"/>
                        </w:rPr>
                        <w:t xml:space="preserve">, a term commonly used today, </w:t>
                      </w:r>
                      <w:r w:rsidRPr="00345D6B">
                        <w:rPr>
                          <w:rFonts w:ascii="Kohinoor Devanagari" w:hAnsi="Kohinoor Devanagari" w:cs="Kohinoor Devanagari"/>
                          <w:sz w:val="16"/>
                          <w:szCs w:val="16"/>
                        </w:rPr>
                        <w:t>originates</w:t>
                      </w:r>
                      <w:r w:rsidR="002F5BEB" w:rsidRPr="00345D6B">
                        <w:rPr>
                          <w:rFonts w:ascii="Kohinoor Devanagari" w:hAnsi="Kohinoor Devanagari" w:cs="Kohinoor Devanagari"/>
                          <w:sz w:val="16"/>
                          <w:szCs w:val="16"/>
                        </w:rPr>
                        <w:t xml:space="preserve"> from Greek like many medical and scientific terms. </w:t>
                      </w:r>
                      <w:r w:rsidRPr="00345D6B">
                        <w:rPr>
                          <w:rFonts w:ascii="Kohinoor Devanagari" w:hAnsi="Kohinoor Devanagari" w:cs="Kohinoor Devanagari"/>
                          <w:sz w:val="16"/>
                          <w:szCs w:val="16"/>
                        </w:rPr>
                        <w:t>It’s prefix ‘dys’ denotes ‘difficulty’ or ‘malfunction’, while the root ‘lexis’ signifies ‘language’. Literally translated, it means ‘difficulty with words’, implying challenges not limited to reading bit also extending to spelling, writing, and various aspects of language.</w:t>
                      </w:r>
                      <w:r w:rsidR="00B45DAC" w:rsidRPr="00345D6B">
                        <w:rPr>
                          <w:rFonts w:ascii="Kohinoor Devanagari" w:hAnsi="Kohinoor Devanagari" w:cs="Kohinoor Devanagari"/>
                          <w:sz w:val="16"/>
                          <w:szCs w:val="16"/>
                        </w:rPr>
                        <w:t xml:space="preserve"> </w:t>
                      </w:r>
                    </w:p>
                    <w:p w14:paraId="49E9A310" w14:textId="77777777" w:rsidR="00792A75" w:rsidRPr="00345D6B" w:rsidRDefault="00792A75">
                      <w:pPr>
                        <w:rPr>
                          <w:rFonts w:ascii="Kohinoor Devanagari" w:hAnsi="Kohinoor Devanagari" w:cs="Kohinoor Devanagari"/>
                          <w:sz w:val="16"/>
                          <w:szCs w:val="16"/>
                        </w:rPr>
                      </w:pPr>
                    </w:p>
                    <w:p w14:paraId="4CFBF78E" w14:textId="66E1C771" w:rsidR="00792A75" w:rsidRPr="00345D6B" w:rsidRDefault="00792A75">
                      <w:pPr>
                        <w:rPr>
                          <w:rFonts w:ascii="Kohinoor Devanagari" w:hAnsi="Kohinoor Devanagari" w:cs="Kohinoor Devanagari"/>
                          <w:sz w:val="16"/>
                          <w:szCs w:val="16"/>
                        </w:rPr>
                      </w:pPr>
                      <w:r w:rsidRPr="00345D6B">
                        <w:rPr>
                          <w:rFonts w:ascii="Kohinoor Devanagari" w:hAnsi="Kohinoor Devanagari" w:cs="Kohinoor Devanagari"/>
                          <w:sz w:val="16"/>
                          <w:szCs w:val="16"/>
                        </w:rPr>
                        <w:t xml:space="preserve">Dyslexia is </w:t>
                      </w:r>
                      <w:r w:rsidR="00891BCC" w:rsidRPr="00345D6B">
                        <w:rPr>
                          <w:rFonts w:ascii="Kohinoor Devanagari" w:hAnsi="Kohinoor Devanagari" w:cs="Kohinoor Devanagari"/>
                          <w:sz w:val="16"/>
                          <w:szCs w:val="16"/>
                        </w:rPr>
                        <w:t>characterised</w:t>
                      </w:r>
                      <w:r w:rsidRPr="00345D6B">
                        <w:rPr>
                          <w:rFonts w:ascii="Kohinoor Devanagari" w:hAnsi="Kohinoor Devanagari" w:cs="Kohinoor Devanagari"/>
                          <w:sz w:val="16"/>
                          <w:szCs w:val="16"/>
                        </w:rPr>
                        <w:t xml:space="preserve"> as a blend of abilities and </w:t>
                      </w:r>
                      <w:r w:rsidR="00891BCC" w:rsidRPr="00345D6B">
                        <w:rPr>
                          <w:rFonts w:ascii="Kohinoor Devanagari" w:hAnsi="Kohinoor Devanagari" w:cs="Kohinoor Devanagari"/>
                          <w:sz w:val="16"/>
                          <w:szCs w:val="16"/>
                        </w:rPr>
                        <w:t>challenges</w:t>
                      </w:r>
                      <w:r w:rsidRPr="00345D6B">
                        <w:rPr>
                          <w:rFonts w:ascii="Kohinoor Devanagari" w:hAnsi="Kohinoor Devanagari" w:cs="Kohinoor Devanagari"/>
                          <w:sz w:val="16"/>
                          <w:szCs w:val="16"/>
                        </w:rPr>
                        <w:t xml:space="preserve"> that impact </w:t>
                      </w:r>
                      <w:r w:rsidR="00891BCC" w:rsidRPr="00345D6B">
                        <w:rPr>
                          <w:rFonts w:ascii="Kohinoor Devanagari" w:hAnsi="Kohinoor Devanagari" w:cs="Kohinoor Devanagari"/>
                          <w:sz w:val="16"/>
                          <w:szCs w:val="16"/>
                        </w:rPr>
                        <w:t>learning</w:t>
                      </w:r>
                      <w:r w:rsidRPr="00345D6B">
                        <w:rPr>
                          <w:rFonts w:ascii="Kohinoor Devanagari" w:hAnsi="Kohinoor Devanagari" w:cs="Kohinoor Devanagari"/>
                          <w:sz w:val="16"/>
                          <w:szCs w:val="16"/>
                        </w:rPr>
                        <w:t xml:space="preserve"> processes, </w:t>
                      </w:r>
                      <w:r w:rsidR="00891BCC" w:rsidRPr="00345D6B">
                        <w:rPr>
                          <w:rFonts w:ascii="Kohinoor Devanagari" w:hAnsi="Kohinoor Devanagari" w:cs="Kohinoor Devanagari"/>
                          <w:sz w:val="16"/>
                          <w:szCs w:val="16"/>
                        </w:rPr>
                        <w:t>potentially</w:t>
                      </w:r>
                      <w:r w:rsidRPr="00345D6B">
                        <w:rPr>
                          <w:rFonts w:ascii="Kohinoor Devanagari" w:hAnsi="Kohinoor Devanagari" w:cs="Kohinoor Devanagari"/>
                          <w:sz w:val="16"/>
                          <w:szCs w:val="16"/>
                        </w:rPr>
                        <w:t xml:space="preserve"> affecting reading, spelling, writing, and /or </w:t>
                      </w:r>
                      <w:r w:rsidR="00891BCC" w:rsidRPr="00345D6B">
                        <w:rPr>
                          <w:rFonts w:ascii="Kohinoor Devanagari" w:hAnsi="Kohinoor Devanagari" w:cs="Kohinoor Devanagari"/>
                          <w:sz w:val="16"/>
                          <w:szCs w:val="16"/>
                        </w:rPr>
                        <w:t>numeracy</w:t>
                      </w:r>
                      <w:r w:rsidR="008214AE">
                        <w:rPr>
                          <w:rFonts w:ascii="Kohinoor Devanagari" w:hAnsi="Kohinoor Devanagari" w:cs="Kohinoor Devanagari"/>
                          <w:sz w:val="16"/>
                          <w:szCs w:val="16"/>
                        </w:rPr>
                        <w:t xml:space="preserve"> (Shaywitz, 1998)</w:t>
                      </w:r>
                      <w:r w:rsidRPr="00345D6B">
                        <w:rPr>
                          <w:rFonts w:ascii="Kohinoor Devanagari" w:hAnsi="Kohinoor Devanagari" w:cs="Kohinoor Devanagari"/>
                          <w:sz w:val="16"/>
                          <w:szCs w:val="16"/>
                        </w:rPr>
                        <w:t xml:space="preserve">. </w:t>
                      </w:r>
                      <w:r w:rsidR="00891BCC" w:rsidRPr="00345D6B">
                        <w:rPr>
                          <w:rFonts w:ascii="Kohinoor Devanagari" w:hAnsi="Kohinoor Devanagari" w:cs="Kohinoor Devanagari"/>
                          <w:sz w:val="16"/>
                          <w:szCs w:val="16"/>
                        </w:rPr>
                        <w:t xml:space="preserve">Associated weaknesses may manifest in areas such as speed of information processing, short-term memory, sequencing, auditory and /or visual perception, spoken language and motor skills </w:t>
                      </w:r>
                      <w:r w:rsidR="007A574F" w:rsidRPr="00345D6B">
                        <w:rPr>
                          <w:rFonts w:ascii="Kohinoor Devanagari" w:hAnsi="Kohinoor Devanagari" w:cs="Kohinoor Devanagari"/>
                          <w:sz w:val="16"/>
                          <w:szCs w:val="16"/>
                        </w:rPr>
                        <w:t>(</w:t>
                      </w:r>
                      <w:r w:rsidR="00891BCC" w:rsidRPr="00345D6B">
                        <w:rPr>
                          <w:rFonts w:ascii="Kohinoor Devanagari" w:hAnsi="Kohinoor Devanagari" w:cs="Kohinoor Devanagari"/>
                          <w:sz w:val="16"/>
                          <w:szCs w:val="16"/>
                        </w:rPr>
                        <w:t xml:space="preserve">British Dyslexia Association, 2000). The British Psychological Society proposed a definition in 1999, stating that ‘Dyslexia is evident when accurate and fluent word reading and/or spelling develops </w:t>
                      </w:r>
                      <w:r w:rsidR="007A574F" w:rsidRPr="00345D6B">
                        <w:rPr>
                          <w:rFonts w:ascii="Kohinoor Devanagari" w:hAnsi="Kohinoor Devanagari" w:cs="Kohinoor Devanagari"/>
                          <w:sz w:val="16"/>
                          <w:szCs w:val="16"/>
                        </w:rPr>
                        <w:t>ve</w:t>
                      </w:r>
                      <w:r w:rsidR="00891BCC" w:rsidRPr="00345D6B">
                        <w:rPr>
                          <w:rFonts w:ascii="Kohinoor Devanagari" w:hAnsi="Kohinoor Devanagari" w:cs="Kohinoor Devanagari"/>
                          <w:sz w:val="16"/>
                          <w:szCs w:val="16"/>
                        </w:rPr>
                        <w:t>ry incompletely or with great difficulty. Dyslexia is incr</w:t>
                      </w:r>
                      <w:r w:rsidR="007A574F" w:rsidRPr="00345D6B">
                        <w:rPr>
                          <w:rFonts w:ascii="Kohinoor Devanagari" w:hAnsi="Kohinoor Devanagari" w:cs="Kohinoor Devanagari"/>
                          <w:sz w:val="16"/>
                          <w:szCs w:val="16"/>
                        </w:rPr>
                        <w:t>easingly</w:t>
                      </w:r>
                      <w:r w:rsidR="00891BCC" w:rsidRPr="00345D6B">
                        <w:rPr>
                          <w:rFonts w:ascii="Kohinoor Devanagari" w:hAnsi="Kohinoor Devanagari" w:cs="Kohinoor Devanagari"/>
                          <w:sz w:val="16"/>
                          <w:szCs w:val="16"/>
                        </w:rPr>
                        <w:t xml:space="preserve"> framed as a ‘difference in learning’ rather than a ‘learning disability’. Neurological research reveals structural and functional differences in the brains of dyslexic individuals </w:t>
                      </w:r>
                      <w:r w:rsidR="007A574F" w:rsidRPr="00345D6B">
                        <w:rPr>
                          <w:rFonts w:ascii="Kohinoor Devanagari" w:hAnsi="Kohinoor Devanagari" w:cs="Kohinoor Devanagari"/>
                          <w:sz w:val="16"/>
                          <w:szCs w:val="16"/>
                        </w:rPr>
                        <w:t>compared</w:t>
                      </w:r>
                      <w:r w:rsidR="00891BCC" w:rsidRPr="00345D6B">
                        <w:rPr>
                          <w:rFonts w:ascii="Kohinoor Devanagari" w:hAnsi="Kohinoor Devanagari" w:cs="Kohinoor Devanagari"/>
                          <w:sz w:val="16"/>
                          <w:szCs w:val="16"/>
                        </w:rPr>
                        <w:t xml:space="preserve"> to non-dyslexic ones. Consequently, it’s not </w:t>
                      </w:r>
                      <w:r w:rsidR="007A574F" w:rsidRPr="00345D6B">
                        <w:rPr>
                          <w:rFonts w:ascii="Kohinoor Devanagari" w:hAnsi="Kohinoor Devanagari" w:cs="Kohinoor Devanagari"/>
                          <w:sz w:val="16"/>
                          <w:szCs w:val="16"/>
                        </w:rPr>
                        <w:t xml:space="preserve">surprising </w:t>
                      </w:r>
                      <w:r w:rsidR="00891BCC" w:rsidRPr="00345D6B">
                        <w:rPr>
                          <w:rFonts w:ascii="Kohinoor Devanagari" w:hAnsi="Kohinoor Devanagari" w:cs="Kohinoor Devanagari"/>
                          <w:sz w:val="16"/>
                          <w:szCs w:val="16"/>
                        </w:rPr>
                        <w:t xml:space="preserve">that learning is acquired and expressed differently (Jameson,1999). </w:t>
                      </w:r>
                    </w:p>
                    <w:p w14:paraId="0AA6B295" w14:textId="77777777" w:rsidR="0005245A" w:rsidRPr="00345D6B" w:rsidRDefault="0005245A">
                      <w:pPr>
                        <w:rPr>
                          <w:rFonts w:ascii="Kohinoor Devanagari" w:hAnsi="Kohinoor Devanagari" w:cs="Kohinoor Devanagari"/>
                          <w:sz w:val="16"/>
                          <w:szCs w:val="16"/>
                        </w:rPr>
                      </w:pPr>
                    </w:p>
                    <w:p w14:paraId="143E9FCE" w14:textId="20A65890" w:rsidR="00B45DAC" w:rsidRPr="00345D6B" w:rsidRDefault="0005245A">
                      <w:pPr>
                        <w:rPr>
                          <w:rFonts w:ascii="Kohinoor Devanagari" w:hAnsi="Kohinoor Devanagari" w:cs="Kohinoor Devanagari"/>
                          <w:sz w:val="16"/>
                          <w:szCs w:val="16"/>
                        </w:rPr>
                      </w:pPr>
                      <w:r w:rsidRPr="00345D6B">
                        <w:rPr>
                          <w:rFonts w:ascii="Kohinoor Devanagari" w:hAnsi="Kohinoor Devanagari" w:cs="Kohinoor Devanagari"/>
                          <w:sz w:val="16"/>
                          <w:szCs w:val="16"/>
                        </w:rPr>
                        <w:t>Roughly 10% of the population is estimated to have dyslexia,</w:t>
                      </w:r>
                      <w:r w:rsidR="008214AE" w:rsidRPr="008214AE">
                        <w:rPr>
                          <w:rFonts w:ascii="Kohinoor Devanagari" w:hAnsi="Kohinoor Devanagari" w:cs="Kohinoor Devanagari"/>
                          <w:sz w:val="16"/>
                          <w:szCs w:val="16"/>
                        </w:rPr>
                        <w:t xml:space="preserve"> </w:t>
                      </w:r>
                      <w:r w:rsidR="008214AE">
                        <w:rPr>
                          <w:rFonts w:ascii="Kohinoor Devanagari" w:hAnsi="Kohinoor Devanagari" w:cs="Kohinoor Devanagari"/>
                          <w:sz w:val="16"/>
                          <w:szCs w:val="16"/>
                        </w:rPr>
                        <w:t xml:space="preserve">(Lerner, 1989) </w:t>
                      </w:r>
                      <w:r w:rsidRPr="00345D6B">
                        <w:rPr>
                          <w:rFonts w:ascii="Kohinoor Devanagari" w:hAnsi="Kohinoor Devanagari" w:cs="Kohinoor Devanagari"/>
                          <w:sz w:val="16"/>
                          <w:szCs w:val="16"/>
                        </w:rPr>
                        <w:t>This condition impacts approximately 1 million young individuals in educational settings (British Dyslexia Association</w:t>
                      </w:r>
                      <w:r w:rsidR="00A10851" w:rsidRPr="00345D6B">
                        <w:rPr>
                          <w:rFonts w:ascii="Kohinoor Devanagari" w:hAnsi="Kohinoor Devanagari" w:cs="Kohinoor Devanagari"/>
                          <w:sz w:val="16"/>
                          <w:szCs w:val="16"/>
                        </w:rPr>
                        <w:t xml:space="preserve"> [BDA], 2019a). </w:t>
                      </w:r>
                    </w:p>
                    <w:p w14:paraId="0EEF82B9" w14:textId="77777777" w:rsidR="00B90DDA" w:rsidRDefault="00B90DDA"/>
                  </w:txbxContent>
                </v:textbox>
              </v:shape>
            </w:pict>
          </mc:Fallback>
        </mc:AlternateContent>
      </w:r>
      <w:r w:rsidR="00454509">
        <w:rPr>
          <w:noProof/>
        </w:rPr>
        <mc:AlternateContent>
          <mc:Choice Requires="wps">
            <w:drawing>
              <wp:anchor distT="0" distB="0" distL="114300" distR="114300" simplePos="0" relativeHeight="251662336" behindDoc="0" locked="0" layoutInCell="1" allowOverlap="1" wp14:anchorId="34DD5991" wp14:editId="2F7E2241">
                <wp:simplePos x="0" y="0"/>
                <wp:positionH relativeFrom="column">
                  <wp:posOffset>7289800</wp:posOffset>
                </wp:positionH>
                <wp:positionV relativeFrom="paragraph">
                  <wp:posOffset>-749300</wp:posOffset>
                </wp:positionV>
                <wp:extent cx="2362200" cy="3822700"/>
                <wp:effectExtent l="0" t="0" r="12700" b="12700"/>
                <wp:wrapNone/>
                <wp:docPr id="641565108" name="Text Box 4"/>
                <wp:cNvGraphicFramePr/>
                <a:graphic xmlns:a="http://schemas.openxmlformats.org/drawingml/2006/main">
                  <a:graphicData uri="http://schemas.microsoft.com/office/word/2010/wordprocessingShape">
                    <wps:wsp>
                      <wps:cNvSpPr txBox="1"/>
                      <wps:spPr>
                        <a:xfrm>
                          <a:off x="0" y="0"/>
                          <a:ext cx="2362200" cy="3822700"/>
                        </a:xfrm>
                        <a:prstGeom prst="rect">
                          <a:avLst/>
                        </a:prstGeom>
                        <a:solidFill>
                          <a:schemeClr val="accent4">
                            <a:lumMod val="20000"/>
                            <a:lumOff val="80000"/>
                          </a:schemeClr>
                        </a:solidFill>
                        <a:ln w="6350">
                          <a:solidFill>
                            <a:prstClr val="black"/>
                          </a:solidFill>
                        </a:ln>
                      </wps:spPr>
                      <wps:txbx>
                        <w:txbxContent>
                          <w:p w14:paraId="47C7516D" w14:textId="52953F17" w:rsidR="006E345B" w:rsidRPr="003A1FB0" w:rsidRDefault="008A310D">
                            <w:pPr>
                              <w:rPr>
                                <w:rFonts w:ascii="Kohinoor Devanagari" w:hAnsi="Kohinoor Devanagari" w:cs="Kohinoor Devanagari"/>
                                <w:b/>
                                <w:bCs/>
                                <w:sz w:val="20"/>
                                <w:szCs w:val="20"/>
                                <w:u w:val="single"/>
                              </w:rPr>
                            </w:pPr>
                            <w:r>
                              <w:rPr>
                                <w:rFonts w:ascii="Kohinoor Devanagari" w:hAnsi="Kohinoor Devanagari" w:cs="Kohinoor Devanagari"/>
                                <w:b/>
                                <w:bCs/>
                                <w:sz w:val="20"/>
                                <w:szCs w:val="20"/>
                                <w:u w:val="single"/>
                              </w:rPr>
                              <w:t xml:space="preserve">Supporting </w:t>
                            </w:r>
                            <w:r w:rsidR="00B14BDE" w:rsidRPr="003A1FB0">
                              <w:rPr>
                                <w:rFonts w:ascii="Kohinoor Devanagari" w:hAnsi="Kohinoor Devanagari" w:cs="Kohinoor Devanagari"/>
                                <w:b/>
                                <w:bCs/>
                                <w:sz w:val="20"/>
                                <w:szCs w:val="20"/>
                                <w:u w:val="single"/>
                              </w:rPr>
                              <w:t>St</w:t>
                            </w:r>
                            <w:r w:rsidR="00B14BDE">
                              <w:rPr>
                                <w:rFonts w:ascii="Kohinoor Devanagari" w:hAnsi="Kohinoor Devanagari" w:cs="Kohinoor Devanagari"/>
                                <w:b/>
                                <w:bCs/>
                                <w:sz w:val="20"/>
                                <w:szCs w:val="20"/>
                                <w:u w:val="single"/>
                              </w:rPr>
                              <w:t>rategy</w:t>
                            </w:r>
                          </w:p>
                          <w:p w14:paraId="2A06676F" w14:textId="46767D98" w:rsidR="006512ED" w:rsidRDefault="00454509" w:rsidP="006512ED">
                            <w:pPr>
                              <w:rPr>
                                <w:rFonts w:ascii="Kohinoor Devanagari" w:hAnsi="Kohinoor Devanagari" w:cs="Kohinoor Devanagari"/>
                                <w:color w:val="000000" w:themeColor="text1"/>
                                <w:sz w:val="16"/>
                                <w:szCs w:val="16"/>
                              </w:rPr>
                            </w:pPr>
                            <w:r w:rsidRPr="00454509">
                              <w:rPr>
                                <w:rFonts w:ascii="Kohinoor Devanagari" w:hAnsi="Kohinoor Devanagari" w:cs="Kohinoor Devanagari"/>
                                <w:sz w:val="16"/>
                                <w:szCs w:val="16"/>
                              </w:rPr>
                              <w:t>S</w:t>
                            </w:r>
                            <w:r w:rsidR="006512ED" w:rsidRPr="00454509">
                              <w:rPr>
                                <w:rFonts w:ascii="Kohinoor Devanagari" w:hAnsi="Kohinoor Devanagari" w:cs="Kohinoor Devanagari"/>
                                <w:color w:val="000000" w:themeColor="text1"/>
                                <w:sz w:val="16"/>
                                <w:szCs w:val="16"/>
                              </w:rPr>
                              <w:t>ince each dyslexic student faces different challenges, the goal of teaching should be to create a welcoming and encouraging learning environment. According to Miller and Katz (2002), inclusion is defined as "a sense of belonging: feeling respected, valued for who you are; feeling a level of supportive energy and commitment from others so that you can do your best work."</w:t>
                            </w:r>
                          </w:p>
                          <w:p w14:paraId="591C03DD" w14:textId="3B88AA13" w:rsidR="00454509" w:rsidRPr="00454509" w:rsidRDefault="00454509" w:rsidP="006512ED">
                            <w:pPr>
                              <w:rPr>
                                <w:rFonts w:ascii="Kohinoor Devanagari" w:hAnsi="Kohinoor Devanagari" w:cs="Kohinoor Devanagari"/>
                                <w:sz w:val="16"/>
                                <w:szCs w:val="16"/>
                              </w:rPr>
                            </w:pPr>
                            <w:r w:rsidRPr="00454509">
                              <w:rPr>
                                <w:rFonts w:ascii="Kohinoor Devanagari" w:hAnsi="Kohinoor Devanagari" w:cs="Kohinoor Devanagari"/>
                                <w:sz w:val="16"/>
                                <w:szCs w:val="16"/>
                              </w:rPr>
                              <w:t xml:space="preserve">Mandatory training for special education needs coordinators (SENCOs) should be part of the strategy. It is imperative that SENCOs obtain the necessary training. There is no required specialised training on dyslexia, and </w:t>
                            </w:r>
                            <w:r w:rsidRPr="00454509">
                              <w:rPr>
                                <w:rFonts w:ascii="Kohinoor Devanagari" w:hAnsi="Kohinoor Devanagari" w:cs="Kohinoor Devanagari"/>
                                <w:sz w:val="16"/>
                                <w:szCs w:val="16"/>
                              </w:rPr>
                              <w:t>most of</w:t>
                            </w:r>
                            <w:r w:rsidRPr="00454509">
                              <w:rPr>
                                <w:rFonts w:ascii="Kohinoor Devanagari" w:hAnsi="Kohinoor Devanagari" w:cs="Kohinoor Devanagari"/>
                                <w:sz w:val="16"/>
                                <w:szCs w:val="16"/>
                              </w:rPr>
                              <w:t xml:space="preserve"> the training provided now is administrative in nature with minimal guidance on how to help youngsters. </w:t>
                            </w:r>
                            <w:r>
                              <w:rPr>
                                <w:rFonts w:ascii="Kohinoor Devanagari" w:hAnsi="Kohinoor Devanagari" w:cs="Kohinoor Devanagari"/>
                                <w:sz w:val="16"/>
                                <w:szCs w:val="16"/>
                              </w:rPr>
                              <w:t>A</w:t>
                            </w:r>
                            <w:r w:rsidRPr="00454509">
                              <w:rPr>
                                <w:rFonts w:ascii="Kohinoor Devanagari" w:hAnsi="Kohinoor Devanagari" w:cs="Kohinoor Devanagari"/>
                                <w:sz w:val="16"/>
                                <w:szCs w:val="16"/>
                              </w:rPr>
                              <w:t>ll SENCOs to receive high-quality, specialised training in the most recent research and evidence of best practices on the identification and assistance of individuals with dyslexia to be strengthened and a review of SENCO training conducted.</w:t>
                            </w:r>
                          </w:p>
                          <w:p w14:paraId="0CC2D8DE" w14:textId="77777777" w:rsidR="006512ED" w:rsidRPr="00164296" w:rsidRDefault="006512ED">
                            <w:pPr>
                              <w:rPr>
                                <w:rFonts w:ascii="Kohinoor Devanagari" w:hAnsi="Kohinoor Devanagari" w:cs="Kohinoor Devanagari"/>
                                <w:i/>
                                <w:i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DD5991" id="Text Box 4" o:spid="_x0000_s1027" type="#_x0000_t202" style="position:absolute;margin-left:574pt;margin-top:-59pt;width:186pt;height:3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" fillcolor="#caedfb [663]" strokeweight=".5pt">
                <v:textbox>
                  <w:txbxContent>
                    <w:p w14:paraId="47C7516D" w14:textId="52953F17" w:rsidR="006E345B" w:rsidRPr="003A1FB0" w:rsidRDefault="008A310D">
                      <w:pPr>
                        <w:rPr>
                          <w:rFonts w:ascii="Kohinoor Devanagari" w:hAnsi="Kohinoor Devanagari" w:cs="Kohinoor Devanagari"/>
                          <w:b/>
                          <w:bCs/>
                          <w:sz w:val="20"/>
                          <w:szCs w:val="20"/>
                          <w:u w:val="single"/>
                        </w:rPr>
                      </w:pPr>
                      <w:r>
                        <w:rPr>
                          <w:rFonts w:ascii="Kohinoor Devanagari" w:hAnsi="Kohinoor Devanagari" w:cs="Kohinoor Devanagari"/>
                          <w:b/>
                          <w:bCs/>
                          <w:sz w:val="20"/>
                          <w:szCs w:val="20"/>
                          <w:u w:val="single"/>
                        </w:rPr>
                        <w:t xml:space="preserve">Supporting </w:t>
                      </w:r>
                      <w:r w:rsidR="00B14BDE" w:rsidRPr="003A1FB0">
                        <w:rPr>
                          <w:rFonts w:ascii="Kohinoor Devanagari" w:hAnsi="Kohinoor Devanagari" w:cs="Kohinoor Devanagari"/>
                          <w:b/>
                          <w:bCs/>
                          <w:sz w:val="20"/>
                          <w:szCs w:val="20"/>
                          <w:u w:val="single"/>
                        </w:rPr>
                        <w:t>St</w:t>
                      </w:r>
                      <w:r w:rsidR="00B14BDE">
                        <w:rPr>
                          <w:rFonts w:ascii="Kohinoor Devanagari" w:hAnsi="Kohinoor Devanagari" w:cs="Kohinoor Devanagari"/>
                          <w:b/>
                          <w:bCs/>
                          <w:sz w:val="20"/>
                          <w:szCs w:val="20"/>
                          <w:u w:val="single"/>
                        </w:rPr>
                        <w:t>rategy</w:t>
                      </w:r>
                    </w:p>
                    <w:p w14:paraId="2A06676F" w14:textId="46767D98" w:rsidR="006512ED" w:rsidRDefault="00454509" w:rsidP="006512ED">
                      <w:pPr>
                        <w:rPr>
                          <w:rFonts w:ascii="Kohinoor Devanagari" w:hAnsi="Kohinoor Devanagari" w:cs="Kohinoor Devanagari"/>
                          <w:color w:val="000000" w:themeColor="text1"/>
                          <w:sz w:val="16"/>
                          <w:szCs w:val="16"/>
                        </w:rPr>
                      </w:pPr>
                      <w:r w:rsidRPr="00454509">
                        <w:rPr>
                          <w:rFonts w:ascii="Kohinoor Devanagari" w:hAnsi="Kohinoor Devanagari" w:cs="Kohinoor Devanagari"/>
                          <w:sz w:val="16"/>
                          <w:szCs w:val="16"/>
                        </w:rPr>
                        <w:t>S</w:t>
                      </w:r>
                      <w:r w:rsidR="006512ED" w:rsidRPr="00454509">
                        <w:rPr>
                          <w:rFonts w:ascii="Kohinoor Devanagari" w:hAnsi="Kohinoor Devanagari" w:cs="Kohinoor Devanagari"/>
                          <w:color w:val="000000" w:themeColor="text1"/>
                          <w:sz w:val="16"/>
                          <w:szCs w:val="16"/>
                        </w:rPr>
                        <w:t>ince each dyslexic student faces different challenges, the goal of teaching should be to create a welcoming and encouraging learning environment. According to Miller and Katz (2002), inclusion is defined as "a sense of belonging: feeling respected, valued for who you are; feeling a level of supportive energy and commitment from others so that you can do your best work."</w:t>
                      </w:r>
                    </w:p>
                    <w:p w14:paraId="591C03DD" w14:textId="3B88AA13" w:rsidR="00454509" w:rsidRPr="00454509" w:rsidRDefault="00454509" w:rsidP="006512ED">
                      <w:pPr>
                        <w:rPr>
                          <w:rFonts w:ascii="Kohinoor Devanagari" w:hAnsi="Kohinoor Devanagari" w:cs="Kohinoor Devanagari"/>
                          <w:sz w:val="16"/>
                          <w:szCs w:val="16"/>
                        </w:rPr>
                      </w:pPr>
                      <w:r w:rsidRPr="00454509">
                        <w:rPr>
                          <w:rFonts w:ascii="Kohinoor Devanagari" w:hAnsi="Kohinoor Devanagari" w:cs="Kohinoor Devanagari"/>
                          <w:sz w:val="16"/>
                          <w:szCs w:val="16"/>
                        </w:rPr>
                        <w:t xml:space="preserve">Mandatory training for special education needs coordinators (SENCOs) should be part of the strategy. It is imperative that SENCOs obtain the necessary training. There is no required specialised training on dyslexia, and </w:t>
                      </w:r>
                      <w:r w:rsidRPr="00454509">
                        <w:rPr>
                          <w:rFonts w:ascii="Kohinoor Devanagari" w:hAnsi="Kohinoor Devanagari" w:cs="Kohinoor Devanagari"/>
                          <w:sz w:val="16"/>
                          <w:szCs w:val="16"/>
                        </w:rPr>
                        <w:t>most of</w:t>
                      </w:r>
                      <w:r w:rsidRPr="00454509">
                        <w:rPr>
                          <w:rFonts w:ascii="Kohinoor Devanagari" w:hAnsi="Kohinoor Devanagari" w:cs="Kohinoor Devanagari"/>
                          <w:sz w:val="16"/>
                          <w:szCs w:val="16"/>
                        </w:rPr>
                        <w:t xml:space="preserve"> the training provided now is administrative in nature with minimal guidance on how to help youngsters. </w:t>
                      </w:r>
                      <w:r>
                        <w:rPr>
                          <w:rFonts w:ascii="Kohinoor Devanagari" w:hAnsi="Kohinoor Devanagari" w:cs="Kohinoor Devanagari"/>
                          <w:sz w:val="16"/>
                          <w:szCs w:val="16"/>
                        </w:rPr>
                        <w:t>A</w:t>
                      </w:r>
                      <w:r w:rsidRPr="00454509">
                        <w:rPr>
                          <w:rFonts w:ascii="Kohinoor Devanagari" w:hAnsi="Kohinoor Devanagari" w:cs="Kohinoor Devanagari"/>
                          <w:sz w:val="16"/>
                          <w:szCs w:val="16"/>
                        </w:rPr>
                        <w:t>ll SENCOs to receive high-quality, specialised training in the most recent research and evidence of best practices on the identification and assistance of individuals with dyslexia to be strengthened and a review of SENCO training conducted.</w:t>
                      </w:r>
                    </w:p>
                    <w:p w14:paraId="0CC2D8DE" w14:textId="77777777" w:rsidR="006512ED" w:rsidRPr="00164296" w:rsidRDefault="006512ED">
                      <w:pPr>
                        <w:rPr>
                          <w:rFonts w:ascii="Kohinoor Devanagari" w:hAnsi="Kohinoor Devanagari" w:cs="Kohinoor Devanagari"/>
                          <w:i/>
                          <w:iCs/>
                          <w:sz w:val="16"/>
                          <w:szCs w:val="16"/>
                        </w:rPr>
                      </w:pPr>
                    </w:p>
                  </w:txbxContent>
                </v:textbox>
              </v:shape>
            </w:pict>
          </mc:Fallback>
        </mc:AlternateContent>
      </w:r>
      <w:r w:rsidR="00E448A2">
        <w:rPr>
          <w:noProof/>
        </w:rPr>
        <mc:AlternateContent>
          <mc:Choice Requires="wps">
            <w:drawing>
              <wp:anchor distT="0" distB="0" distL="114300" distR="114300" simplePos="0" relativeHeight="251665408" behindDoc="0" locked="0" layoutInCell="1" allowOverlap="1" wp14:anchorId="5A686713" wp14:editId="3B5DF703">
                <wp:simplePos x="0" y="0"/>
                <wp:positionH relativeFrom="column">
                  <wp:posOffset>1917700</wp:posOffset>
                </wp:positionH>
                <wp:positionV relativeFrom="paragraph">
                  <wp:posOffset>-812800</wp:posOffset>
                </wp:positionV>
                <wp:extent cx="2997200" cy="7315200"/>
                <wp:effectExtent l="0" t="0" r="12700" b="12700"/>
                <wp:wrapNone/>
                <wp:docPr id="510129766" name="Text Box 1"/>
                <wp:cNvGraphicFramePr/>
                <a:graphic xmlns:a="http://schemas.openxmlformats.org/drawingml/2006/main">
                  <a:graphicData uri="http://schemas.microsoft.com/office/word/2010/wordprocessingShape">
                    <wps:wsp>
                      <wps:cNvSpPr txBox="1"/>
                      <wps:spPr>
                        <a:xfrm>
                          <a:off x="0" y="0"/>
                          <a:ext cx="2997200" cy="7315200"/>
                        </a:xfrm>
                        <a:prstGeom prst="rect">
                          <a:avLst/>
                        </a:prstGeom>
                        <a:solidFill>
                          <a:srgbClr val="D5FC79"/>
                        </a:solidFill>
                        <a:ln w="6350">
                          <a:solidFill>
                            <a:prstClr val="black"/>
                          </a:solidFill>
                        </a:ln>
                      </wps:spPr>
                      <wps:txbx>
                        <w:txbxContent>
                          <w:p w14:paraId="70ED89B3" w14:textId="77777777" w:rsidR="00E448A2" w:rsidRPr="00E448A2" w:rsidRDefault="00E448A2" w:rsidP="00E448A2">
                            <w:pPr>
                              <w:rPr>
                                <w:rFonts w:ascii="Kohinoor Devanagari" w:hAnsi="Kohinoor Devanagari" w:cs="Kohinoor Devanagari"/>
                                <w:b/>
                                <w:bCs/>
                                <w:sz w:val="20"/>
                                <w:szCs w:val="20"/>
                                <w:u w:val="single"/>
                              </w:rPr>
                            </w:pPr>
                            <w:r w:rsidRPr="00E448A2">
                              <w:rPr>
                                <w:rFonts w:ascii="Kohinoor Devanagari" w:hAnsi="Kohinoor Devanagari" w:cs="Kohinoor Devanagari"/>
                                <w:b/>
                                <w:bCs/>
                                <w:sz w:val="20"/>
                                <w:szCs w:val="20"/>
                                <w:u w:val="single"/>
                              </w:rPr>
                              <w:t xml:space="preserve">Diagnosis/ Identification </w:t>
                            </w:r>
                          </w:p>
                          <w:p w14:paraId="63C87D8E" w14:textId="77777777" w:rsidR="00E448A2" w:rsidRPr="00E448A2" w:rsidRDefault="00E448A2" w:rsidP="00E448A2">
                            <w:pPr>
                              <w:rPr>
                                <w:rFonts w:ascii="Kohinoor Devanagari" w:hAnsi="Kohinoor Devanagari" w:cs="Kohinoor Devanagari"/>
                                <w:sz w:val="16"/>
                                <w:szCs w:val="16"/>
                              </w:rPr>
                            </w:pPr>
                            <w:r w:rsidRPr="00E448A2">
                              <w:rPr>
                                <w:rFonts w:ascii="Kohinoor Devanagari" w:hAnsi="Kohinoor Devanagari" w:cs="Kohinoor Devanagari"/>
                                <w:sz w:val="16"/>
                                <w:szCs w:val="16"/>
                              </w:rPr>
                              <w:t>Obtaining a dyslexia diagnosis is crucial for gaining access to early interventions, reading and spelling, as well as potential accommodations and specialised programs if necessary. Moreover, receiving this diagnosis can offer emotional support to children and their families by helping them understand the reasons behind any academic challenges compared to their peers (Forrest, 2019). It enables children to comprehend their strengths and weaknesses better, potentially connecting them with dyslexic role models for inspiration (Forrest, 2019). However, it’s important to acknowledge that receiving a diagnosis might also lead to feelings of being different or stigmatised. Despite this, it remains the pivotal first step in acknowledging areas of difficulty and addressing them effectively and efficiently (Forrest, 2019). Once an individual has received formal identification as dyslexic, they are regarded as having a recognised disability protected under the Equality Act 2010.</w:t>
                            </w:r>
                          </w:p>
                          <w:p w14:paraId="5F44BE8E" w14:textId="18A88315" w:rsidR="00E448A2" w:rsidRPr="00E448A2" w:rsidRDefault="00E448A2" w:rsidP="00E448A2">
                            <w:pPr>
                              <w:rPr>
                                <w:sz w:val="16"/>
                                <w:szCs w:val="16"/>
                              </w:rPr>
                            </w:pPr>
                            <w:r w:rsidRPr="00E448A2">
                              <w:rPr>
                                <w:rFonts w:ascii="Kohinoor Devanagari" w:hAnsi="Kohinoor Devanagari" w:cs="Kohinoor Devanagari"/>
                                <w:sz w:val="16"/>
                                <w:szCs w:val="16"/>
                              </w:rPr>
                              <w:t>To start, grasping the essence of a dyslexia diagnoses is crucial. Presently, the 5th edition of the Diagnostic and Statistical Manual of Mental Disorders (DSM-5), the handbook utilised by healthcare professionals for diagnosing mental disorders, classifies dyslexia as a specific learning disability (SLD) rather than under the specific term “dyslexia” (</w:t>
                            </w:r>
                            <w:proofErr w:type="spellStart"/>
                            <w:r w:rsidRPr="00E448A2">
                              <w:rPr>
                                <w:rFonts w:ascii="Kohinoor Devanagari" w:hAnsi="Kohinoor Devanagari" w:cs="Kohinoor Devanagari"/>
                                <w:sz w:val="16"/>
                                <w:szCs w:val="16"/>
                              </w:rPr>
                              <w:t>Tannock</w:t>
                            </w:r>
                            <w:proofErr w:type="spellEnd"/>
                            <w:r w:rsidRPr="00E448A2">
                              <w:rPr>
                                <w:rFonts w:ascii="Kohinoor Devanagari" w:hAnsi="Kohinoor Devanagari" w:cs="Kohinoor Devanagari"/>
                                <w:sz w:val="16"/>
                                <w:szCs w:val="16"/>
                              </w:rPr>
                              <w:t>, 2015). SLD’s are further categorised into three subtypes: reading, writing and math (</w:t>
                            </w:r>
                            <w:proofErr w:type="spellStart"/>
                            <w:r w:rsidRPr="00E448A2">
                              <w:rPr>
                                <w:rFonts w:ascii="Kohinoor Devanagari" w:hAnsi="Kohinoor Devanagari" w:cs="Kohinoor Devanagari"/>
                                <w:sz w:val="16"/>
                                <w:szCs w:val="16"/>
                              </w:rPr>
                              <w:t>Tannock</w:t>
                            </w:r>
                            <w:proofErr w:type="spellEnd"/>
                            <w:r w:rsidRPr="00E448A2">
                              <w:rPr>
                                <w:rFonts w:ascii="Kohinoor Devanagari" w:hAnsi="Kohinoor Devanagari" w:cs="Kohinoor Devanagari"/>
                                <w:sz w:val="16"/>
                                <w:szCs w:val="16"/>
                              </w:rPr>
                              <w:t>, 2015). Meeting the criteria for an SLD diagnosis involves fulfilling four conditions: 1 experiencing persistent difficulties for at least 6 months despite targeted assistance, encompassing challenges in at least one to six areas such as reading, reading comprehension, spelling, writing (including grammar and organisation), numbers, or mathematical reasoning; 2 exhibiting impairment in academic or professional performance below the expected level for their age group:: 3 encountering the onset of difficulties at a young age” and 4 confirming that these challenges are not attributable to other disorders or conditions like intellectual disability, visual impairments, or other neurological disorders (Deepak, 2018). Consequently, meeting the first and fourth criteria necessities a well-documented history of a student’s performance, strengths, and weaknesses. This often realises on school records known as Response to Intervention (RTI), which monitor students’ classroom performance and responses to various interventions. RTI’s play a crucial role in quantifying the criteria essential for diagnosis (Cavendish,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86713" id="_x0000_s1028" type="#_x0000_t202" style="position:absolute;margin-left:151pt;margin-top:-64pt;width:236pt;height:8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" fillcolor="#d5fc79" strokeweight=".5pt">
                <v:textbox>
                  <w:txbxContent>
                    <w:p w14:paraId="70ED89B3" w14:textId="77777777" w:rsidR="00E448A2" w:rsidRPr="00E448A2" w:rsidRDefault="00E448A2" w:rsidP="00E448A2">
                      <w:pPr>
                        <w:rPr>
                          <w:rFonts w:ascii="Kohinoor Devanagari" w:hAnsi="Kohinoor Devanagari" w:cs="Kohinoor Devanagari"/>
                          <w:b/>
                          <w:bCs/>
                          <w:sz w:val="20"/>
                          <w:szCs w:val="20"/>
                          <w:u w:val="single"/>
                        </w:rPr>
                      </w:pPr>
                      <w:r w:rsidRPr="00E448A2">
                        <w:rPr>
                          <w:rFonts w:ascii="Kohinoor Devanagari" w:hAnsi="Kohinoor Devanagari" w:cs="Kohinoor Devanagari"/>
                          <w:b/>
                          <w:bCs/>
                          <w:sz w:val="20"/>
                          <w:szCs w:val="20"/>
                          <w:u w:val="single"/>
                        </w:rPr>
                        <w:t xml:space="preserve">Diagnosis/ Identification </w:t>
                      </w:r>
                    </w:p>
                    <w:p w14:paraId="63C87D8E" w14:textId="77777777" w:rsidR="00E448A2" w:rsidRPr="00E448A2" w:rsidRDefault="00E448A2" w:rsidP="00E448A2">
                      <w:pPr>
                        <w:rPr>
                          <w:rFonts w:ascii="Kohinoor Devanagari" w:hAnsi="Kohinoor Devanagari" w:cs="Kohinoor Devanagari"/>
                          <w:sz w:val="16"/>
                          <w:szCs w:val="16"/>
                        </w:rPr>
                      </w:pPr>
                      <w:r w:rsidRPr="00E448A2">
                        <w:rPr>
                          <w:rFonts w:ascii="Kohinoor Devanagari" w:hAnsi="Kohinoor Devanagari" w:cs="Kohinoor Devanagari"/>
                          <w:sz w:val="16"/>
                          <w:szCs w:val="16"/>
                        </w:rPr>
                        <w:t>Obtaining a dyslexia diagnosis is crucial for gaining access to early interventions, reading and spelling, as well as potential accommodations and specialised programs if necessary. Moreover, receiving this diagnosis can offer emotional support to children and their families by helping them understand the reasons behind any academic challenges compared to their peers (Forrest, 2019). It enables children to comprehend their strengths and weaknesses better, potentially connecting them with dyslexic role models for inspiration (Forrest, 2019). However, it’s important to acknowledge that receiving a diagnosis might also lead to feelings of being different or stigmatised. Despite this, it remains the pivotal first step in acknowledging areas of difficulty and addressing them effectively and efficiently (Forrest, 2019). Once an individual has received formal identification as dyslexic, they are regarded as having a recognised disability protected under the Equality Act 2010.</w:t>
                      </w:r>
                    </w:p>
                    <w:p w14:paraId="5F44BE8E" w14:textId="18A88315" w:rsidR="00E448A2" w:rsidRPr="00E448A2" w:rsidRDefault="00E448A2" w:rsidP="00E448A2">
                      <w:pPr>
                        <w:rPr>
                          <w:sz w:val="16"/>
                          <w:szCs w:val="16"/>
                        </w:rPr>
                      </w:pPr>
                      <w:r w:rsidRPr="00E448A2">
                        <w:rPr>
                          <w:rFonts w:ascii="Kohinoor Devanagari" w:hAnsi="Kohinoor Devanagari" w:cs="Kohinoor Devanagari"/>
                          <w:sz w:val="16"/>
                          <w:szCs w:val="16"/>
                        </w:rPr>
                        <w:t>To start, grasping the essence of a dyslexia diagnoses is crucial. Presently, the 5th edition of the Diagnostic and Statistical Manual of Mental Disorders (DSM-5), the handbook utilised by healthcare professionals for diagnosing mental disorders, classifies dyslexia as a specific learning disability (SLD) rather than under the specific term “dyslexia” (</w:t>
                      </w:r>
                      <w:proofErr w:type="spellStart"/>
                      <w:r w:rsidRPr="00E448A2">
                        <w:rPr>
                          <w:rFonts w:ascii="Kohinoor Devanagari" w:hAnsi="Kohinoor Devanagari" w:cs="Kohinoor Devanagari"/>
                          <w:sz w:val="16"/>
                          <w:szCs w:val="16"/>
                        </w:rPr>
                        <w:t>Tannock</w:t>
                      </w:r>
                      <w:proofErr w:type="spellEnd"/>
                      <w:r w:rsidRPr="00E448A2">
                        <w:rPr>
                          <w:rFonts w:ascii="Kohinoor Devanagari" w:hAnsi="Kohinoor Devanagari" w:cs="Kohinoor Devanagari"/>
                          <w:sz w:val="16"/>
                          <w:szCs w:val="16"/>
                        </w:rPr>
                        <w:t>, 2015). SLD’s are further categorised into three subtypes: reading, writing and math (</w:t>
                      </w:r>
                      <w:proofErr w:type="spellStart"/>
                      <w:r w:rsidRPr="00E448A2">
                        <w:rPr>
                          <w:rFonts w:ascii="Kohinoor Devanagari" w:hAnsi="Kohinoor Devanagari" w:cs="Kohinoor Devanagari"/>
                          <w:sz w:val="16"/>
                          <w:szCs w:val="16"/>
                        </w:rPr>
                        <w:t>Tannock</w:t>
                      </w:r>
                      <w:proofErr w:type="spellEnd"/>
                      <w:r w:rsidRPr="00E448A2">
                        <w:rPr>
                          <w:rFonts w:ascii="Kohinoor Devanagari" w:hAnsi="Kohinoor Devanagari" w:cs="Kohinoor Devanagari"/>
                          <w:sz w:val="16"/>
                          <w:szCs w:val="16"/>
                        </w:rPr>
                        <w:t>, 2015). Meeting the criteria for an SLD diagnosis involves fulfilling four conditions: 1 experiencing persistent difficulties for at least 6 months despite targeted assistance, encompassing challenges in at least one to six areas such as reading, reading comprehension, spelling, writing (including grammar and organisation), numbers, or mathematical reasoning; 2 exhibiting impairment in academic or professional performance below the expected level for their age group:: 3 encountering the onset of difficulties at a young age” and 4 confirming that these challenges are not attributable to other disorders or conditions like intellectual disability, visual impairments, or other neurological disorders (Deepak, 2018). Consequently, meeting the first and fourth criteria necessities a well-documented history of a student’s performance, strengths, and weaknesses. This often realises on school records known as Response to Intervention (RTI), which monitor students’ classroom performance and responses to various interventions. RTI’s play a crucial role in quantifying the criteria essential for diagnosis (Cavendish, 2013).</w:t>
                      </w:r>
                    </w:p>
                  </w:txbxContent>
                </v:textbox>
              </v:shape>
            </w:pict>
          </mc:Fallback>
        </mc:AlternateContent>
      </w:r>
      <w:r w:rsidR="00B14BDE">
        <w:rPr>
          <w:noProof/>
        </w:rPr>
        <mc:AlternateContent>
          <mc:Choice Requires="wps">
            <w:drawing>
              <wp:anchor distT="0" distB="0" distL="114300" distR="114300" simplePos="0" relativeHeight="251661312" behindDoc="0" locked="0" layoutInCell="1" allowOverlap="1" wp14:anchorId="2AF76366" wp14:editId="2F23E3D0">
                <wp:simplePos x="0" y="0"/>
                <wp:positionH relativeFrom="column">
                  <wp:posOffset>5029200</wp:posOffset>
                </wp:positionH>
                <wp:positionV relativeFrom="paragraph">
                  <wp:posOffset>-812800</wp:posOffset>
                </wp:positionV>
                <wp:extent cx="2146300" cy="7378700"/>
                <wp:effectExtent l="0" t="0" r="12700" b="12700"/>
                <wp:wrapNone/>
                <wp:docPr id="1704509237" name="Text Box 3"/>
                <wp:cNvGraphicFramePr/>
                <a:graphic xmlns:a="http://schemas.openxmlformats.org/drawingml/2006/main">
                  <a:graphicData uri="http://schemas.microsoft.com/office/word/2010/wordprocessingShape">
                    <wps:wsp>
                      <wps:cNvSpPr txBox="1"/>
                      <wps:spPr>
                        <a:xfrm>
                          <a:off x="0" y="0"/>
                          <a:ext cx="2146300" cy="7378700"/>
                        </a:xfrm>
                        <a:prstGeom prst="rect">
                          <a:avLst/>
                        </a:prstGeom>
                        <a:solidFill>
                          <a:schemeClr val="accent6">
                            <a:lumMod val="20000"/>
                            <a:lumOff val="80000"/>
                          </a:schemeClr>
                        </a:solidFill>
                        <a:ln w="6350">
                          <a:solidFill>
                            <a:prstClr val="black"/>
                          </a:solidFill>
                        </a:ln>
                      </wps:spPr>
                      <wps:txbx>
                        <w:txbxContent>
                          <w:p w14:paraId="0E66B661" w14:textId="56B841FF" w:rsidR="006E345B" w:rsidRDefault="006E345B">
                            <w:pPr>
                              <w:rPr>
                                <w:rFonts w:ascii="Kohinoor Devanagari" w:hAnsi="Kohinoor Devanagari" w:cs="Kohinoor Devanagari"/>
                                <w:b/>
                                <w:bCs/>
                                <w:sz w:val="20"/>
                                <w:szCs w:val="20"/>
                                <w:u w:val="single"/>
                              </w:rPr>
                            </w:pPr>
                            <w:r w:rsidRPr="003A1FB0">
                              <w:rPr>
                                <w:rFonts w:ascii="Kohinoor Devanagari" w:hAnsi="Kohinoor Devanagari" w:cs="Kohinoor Devanagari"/>
                                <w:b/>
                                <w:bCs/>
                                <w:sz w:val="20"/>
                                <w:szCs w:val="20"/>
                                <w:u w:val="single"/>
                              </w:rPr>
                              <w:t xml:space="preserve">Barriers/ Challenges </w:t>
                            </w:r>
                          </w:p>
                          <w:p w14:paraId="1845F003" w14:textId="10341D11" w:rsidR="008A310D" w:rsidRDefault="008A310D">
                            <w:pPr>
                              <w:rPr>
                                <w:rFonts w:ascii="Kohinoor Devanagari" w:hAnsi="Kohinoor Devanagari" w:cs="Kohinoor Devanagari"/>
                                <w:sz w:val="16"/>
                                <w:szCs w:val="16"/>
                              </w:rPr>
                            </w:pPr>
                            <w:r w:rsidRPr="008A310D">
                              <w:rPr>
                                <w:rFonts w:ascii="Kohinoor Devanagari" w:hAnsi="Kohinoor Devanagari" w:cs="Kohinoor Devanagari"/>
                                <w:sz w:val="16"/>
                                <w:szCs w:val="16"/>
                              </w:rPr>
                              <w:t xml:space="preserve">A study </w:t>
                            </w:r>
                            <w:r w:rsidR="003B1942">
                              <w:rPr>
                                <w:rFonts w:ascii="Kohinoor Devanagari" w:hAnsi="Kohinoor Devanagari" w:cs="Kohinoor Devanagari"/>
                                <w:sz w:val="16"/>
                                <w:szCs w:val="16"/>
                              </w:rPr>
                              <w:t xml:space="preserve">by Morgan (1996) highlighted that children with low self-esteem tend to fall behind academically, which can lead to the development of inferiority complexes. It is widely recognised that insufficient support for children with dyslexia can have serious consequences. The question is whether the necessary support extends beyond academic assistance. Humphrey’s (2002a) model of the self illustrates that self-concept , ideal self, and self-esteem are crucial to a student’s well-being, with self-esteem being the most important factor. </w:t>
                            </w:r>
                          </w:p>
                          <w:p w14:paraId="5746701C" w14:textId="77777777" w:rsidR="00B14BDE" w:rsidRDefault="00B14BDE">
                            <w:pPr>
                              <w:rPr>
                                <w:rFonts w:ascii="Kohinoor Devanagari" w:hAnsi="Kohinoor Devanagari" w:cs="Kohinoor Devanagari"/>
                                <w:sz w:val="16"/>
                                <w:szCs w:val="16"/>
                              </w:rPr>
                            </w:pPr>
                          </w:p>
                          <w:p w14:paraId="07E682CC" w14:textId="77777777" w:rsidR="00B14BDE" w:rsidRPr="00985DC3" w:rsidRDefault="00B14BDE" w:rsidP="00B14BDE">
                            <w:pPr>
                              <w:rPr>
                                <w:rFonts w:ascii="Kohinoor Devanagari" w:hAnsi="Kohinoor Devanagari" w:cs="Kohinoor Devanagari"/>
                                <w:sz w:val="21"/>
                                <w:szCs w:val="21"/>
                              </w:rPr>
                            </w:pPr>
                            <w:r w:rsidRPr="00B14BDE">
                              <w:rPr>
                                <w:rFonts w:ascii="Kohinoor Devanagari" w:hAnsi="Kohinoor Devanagari" w:cs="Kohinoor Devanagari"/>
                                <w:sz w:val="16"/>
                                <w:szCs w:val="16"/>
                              </w:rPr>
                              <w:t>Another barrier is that caregiver responses to barriers their child’s dyslexic diagnosis. Many barriers centred on managing dyslexia within schools, including the lack of appropriate knowledge and</w:t>
                            </w:r>
                            <w:r w:rsidRPr="00985DC3">
                              <w:rPr>
                                <w:rFonts w:ascii="Kohinoor Devanagari" w:hAnsi="Kohinoor Devanagari" w:cs="Kohinoor Devanagari"/>
                                <w:sz w:val="21"/>
                                <w:szCs w:val="21"/>
                              </w:rPr>
                              <w:t xml:space="preserve"> </w:t>
                            </w:r>
                            <w:r w:rsidRPr="00B14BDE">
                              <w:rPr>
                                <w:rFonts w:ascii="Kohinoor Devanagari" w:hAnsi="Kohinoor Devanagari" w:cs="Kohinoor Devanagari"/>
                                <w:sz w:val="16"/>
                                <w:szCs w:val="16"/>
                              </w:rPr>
                              <w:t>resources, exemplified by comments like “Teachers in the mainstream are not adequately equipped”. The financial aspect of dyslexia management was also a significant concern, with insufficient school funding and the high cost of private assessments identified as barriers. Another theme was the school’s failure to recognise their child’s difficulties promptly, with parents noting delays in acknowledging the issue. Factors such as the child’s age and out-of-school support masking difficulties were also highlighted, as reflected in the statement, “School couldn’t do much until they reached Key Stage 2”. Additionally, some schools’ reluctance to recognise dyslexia altogether posed another barrier, with some schools unwilling to use the diagnosis to provide further support, as noted in comments like “School did not believe a diagnosis was necessary”. Finally, a lack of effective communication between parents and schools was identified as a significant issue.</w:t>
                            </w:r>
                          </w:p>
                          <w:p w14:paraId="0FC807F9" w14:textId="77777777" w:rsidR="00B14BDE" w:rsidRPr="008A310D" w:rsidRDefault="00B14BDE">
                            <w:pPr>
                              <w:rPr>
                                <w:rFonts w:ascii="Kohinoor Devanagari" w:hAnsi="Kohinoor Devanagari" w:cs="Kohinoor Devanagari"/>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76366" id="Text Box 3" o:spid="_x0000_s1029" type="#_x0000_t202" style="position:absolute;margin-left:396pt;margin-top:-64pt;width:169pt;height:5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" fillcolor="#d9f2d0 [665]" strokeweight=".5pt">
                <v:textbox>
                  <w:txbxContent>
                    <w:p w14:paraId="0E66B661" w14:textId="56B841FF" w:rsidR="006E345B" w:rsidRDefault="006E345B">
                      <w:pPr>
                        <w:rPr>
                          <w:rFonts w:ascii="Kohinoor Devanagari" w:hAnsi="Kohinoor Devanagari" w:cs="Kohinoor Devanagari"/>
                          <w:b/>
                          <w:bCs/>
                          <w:sz w:val="20"/>
                          <w:szCs w:val="20"/>
                          <w:u w:val="single"/>
                        </w:rPr>
                      </w:pPr>
                      <w:r w:rsidRPr="003A1FB0">
                        <w:rPr>
                          <w:rFonts w:ascii="Kohinoor Devanagari" w:hAnsi="Kohinoor Devanagari" w:cs="Kohinoor Devanagari"/>
                          <w:b/>
                          <w:bCs/>
                          <w:sz w:val="20"/>
                          <w:szCs w:val="20"/>
                          <w:u w:val="single"/>
                        </w:rPr>
                        <w:t xml:space="preserve">Barriers/ Challenges </w:t>
                      </w:r>
                    </w:p>
                    <w:p w14:paraId="1845F003" w14:textId="10341D11" w:rsidR="008A310D" w:rsidRDefault="008A310D">
                      <w:pPr>
                        <w:rPr>
                          <w:rFonts w:ascii="Kohinoor Devanagari" w:hAnsi="Kohinoor Devanagari" w:cs="Kohinoor Devanagari"/>
                          <w:sz w:val="16"/>
                          <w:szCs w:val="16"/>
                        </w:rPr>
                      </w:pPr>
                      <w:r w:rsidRPr="008A310D">
                        <w:rPr>
                          <w:rFonts w:ascii="Kohinoor Devanagari" w:hAnsi="Kohinoor Devanagari" w:cs="Kohinoor Devanagari"/>
                          <w:sz w:val="16"/>
                          <w:szCs w:val="16"/>
                        </w:rPr>
                        <w:t xml:space="preserve">A study </w:t>
                      </w:r>
                      <w:r w:rsidR="003B1942">
                        <w:rPr>
                          <w:rFonts w:ascii="Kohinoor Devanagari" w:hAnsi="Kohinoor Devanagari" w:cs="Kohinoor Devanagari"/>
                          <w:sz w:val="16"/>
                          <w:szCs w:val="16"/>
                        </w:rPr>
                        <w:t xml:space="preserve">by Morgan (1996) highlighted that children with low self-esteem tend to fall behind academically, which can lead to the development of inferiority complexes. It is widely recognised that insufficient support for children with dyslexia can have serious consequences. The question is whether the necessary support extends beyond academic assistance. Humphrey’s (2002a) model of the self illustrates that self-concept , ideal self, and self-esteem are crucial to a student’s well-being, with self-esteem being the most important factor. </w:t>
                      </w:r>
                    </w:p>
                    <w:p w14:paraId="5746701C" w14:textId="77777777" w:rsidR="00B14BDE" w:rsidRDefault="00B14BDE">
                      <w:pPr>
                        <w:rPr>
                          <w:rFonts w:ascii="Kohinoor Devanagari" w:hAnsi="Kohinoor Devanagari" w:cs="Kohinoor Devanagari"/>
                          <w:sz w:val="16"/>
                          <w:szCs w:val="16"/>
                        </w:rPr>
                      </w:pPr>
                    </w:p>
                    <w:p w14:paraId="07E682CC" w14:textId="77777777" w:rsidR="00B14BDE" w:rsidRPr="00985DC3" w:rsidRDefault="00B14BDE" w:rsidP="00B14BDE">
                      <w:pPr>
                        <w:rPr>
                          <w:rFonts w:ascii="Kohinoor Devanagari" w:hAnsi="Kohinoor Devanagari" w:cs="Kohinoor Devanagari"/>
                          <w:sz w:val="21"/>
                          <w:szCs w:val="21"/>
                        </w:rPr>
                      </w:pPr>
                      <w:r w:rsidRPr="00B14BDE">
                        <w:rPr>
                          <w:rFonts w:ascii="Kohinoor Devanagari" w:hAnsi="Kohinoor Devanagari" w:cs="Kohinoor Devanagari"/>
                          <w:sz w:val="16"/>
                          <w:szCs w:val="16"/>
                        </w:rPr>
                        <w:t>Another barrier is that caregiver responses to barriers their child’s dyslexic diagnosis. Many barriers centred on managing dyslexia within schools, including the lack of appropriate knowledge and</w:t>
                      </w:r>
                      <w:r w:rsidRPr="00985DC3">
                        <w:rPr>
                          <w:rFonts w:ascii="Kohinoor Devanagari" w:hAnsi="Kohinoor Devanagari" w:cs="Kohinoor Devanagari"/>
                          <w:sz w:val="21"/>
                          <w:szCs w:val="21"/>
                        </w:rPr>
                        <w:t xml:space="preserve"> </w:t>
                      </w:r>
                      <w:r w:rsidRPr="00B14BDE">
                        <w:rPr>
                          <w:rFonts w:ascii="Kohinoor Devanagari" w:hAnsi="Kohinoor Devanagari" w:cs="Kohinoor Devanagari"/>
                          <w:sz w:val="16"/>
                          <w:szCs w:val="16"/>
                        </w:rPr>
                        <w:t>resources, exemplified by comments like “Teachers in the mainstream are not adequately equipped”. The financial aspect of dyslexia management was also a significant concern, with insufficient school funding and the high cost of private assessments identified as barriers. Another theme was the school’s failure to recognise their child’s difficulties promptly, with parents noting delays in acknowledging the issue. Factors such as the child’s age and out-of-school support masking difficulties were also highlighted, as reflected in the statement, “School couldn’t do much until they reached Key Stage 2”. Additionally, some schools’ reluctance to recognise dyslexia altogether posed another barrier, with some schools unwilling to use the diagnosis to provide further support, as noted in comments like “School did not believe a diagnosis was necessary”. Finally, a lack of effective communication between parents and schools was identified as a significant issue.</w:t>
                      </w:r>
                    </w:p>
                    <w:p w14:paraId="0FC807F9" w14:textId="77777777" w:rsidR="00B14BDE" w:rsidRPr="008A310D" w:rsidRDefault="00B14BDE">
                      <w:pPr>
                        <w:rPr>
                          <w:rFonts w:ascii="Kohinoor Devanagari" w:hAnsi="Kohinoor Devanagari" w:cs="Kohinoor Devanagari"/>
                          <w:sz w:val="16"/>
                          <w:szCs w:val="16"/>
                        </w:rPr>
                      </w:pPr>
                    </w:p>
                  </w:txbxContent>
                </v:textbox>
              </v:shape>
            </w:pict>
          </mc:Fallback>
        </mc:AlternateContent>
      </w:r>
      <w:r w:rsidR="006E345B">
        <w:fldChar w:fldCharType="begin"/>
      </w:r>
      <w:r w:rsidR="006E345B">
        <w:instrText xml:space="preserve"> INCLUDEPICTURE "/Users/zahrabashir/Library/Group Containers/UBF8T346G9.ms/WebArchiveCopyPasteTempFiles/com.microsoft.Word/51PV6fPX2xL.jpg" \* MERGEFORMATINET </w:instrText>
      </w:r>
      <w:r w:rsidR="00000000">
        <w:fldChar w:fldCharType="separate"/>
      </w:r>
      <w:r w:rsidR="006E345B">
        <w:fldChar w:fldCharType="end"/>
      </w:r>
    </w:p>
    <w:p w14:paraId="0464367D" w14:textId="72682DA4" w:rsidR="00ED7C50" w:rsidRPr="00ED7C50" w:rsidRDefault="00ED7C50" w:rsidP="00ED7C50"/>
    <w:p w14:paraId="58240183" w14:textId="144DFBC2" w:rsidR="00ED7C50" w:rsidRPr="00ED7C50" w:rsidRDefault="00ED7C50" w:rsidP="00ED7C50"/>
    <w:p w14:paraId="5271B38F" w14:textId="0F52A2A3" w:rsidR="00ED7C50" w:rsidRPr="00ED7C50" w:rsidRDefault="00ED7C50" w:rsidP="00ED7C50"/>
    <w:p w14:paraId="48AC1500" w14:textId="01C5FE06" w:rsidR="00ED7C50" w:rsidRPr="00ED7C50" w:rsidRDefault="00ED7C50" w:rsidP="00ED7C50"/>
    <w:p w14:paraId="1CB6DB43" w14:textId="00394693" w:rsidR="00ED7C50" w:rsidRPr="00ED7C50" w:rsidRDefault="00ED7C50" w:rsidP="00ED7C50"/>
    <w:p w14:paraId="45F3DA9C" w14:textId="198E0B0A" w:rsidR="00ED7C50" w:rsidRPr="00ED7C50" w:rsidRDefault="00ED7C50" w:rsidP="00ED7C50"/>
    <w:p w14:paraId="73D49DAC" w14:textId="28E48F95" w:rsidR="00ED7C50" w:rsidRPr="00ED7C50" w:rsidRDefault="00ED7C50" w:rsidP="00ED7C50"/>
    <w:p w14:paraId="42E74DCF" w14:textId="52CE5368" w:rsidR="00ED7C50" w:rsidRPr="00ED7C50" w:rsidRDefault="00ED7C50" w:rsidP="00ED7C50"/>
    <w:p w14:paraId="3D729373" w14:textId="0E2C1286" w:rsidR="00ED7C50" w:rsidRPr="00ED7C50" w:rsidRDefault="00ED7C50" w:rsidP="00ED7C50"/>
    <w:p w14:paraId="6DB8360F" w14:textId="2DCD33B5" w:rsidR="00ED7C50" w:rsidRPr="00ED7C50" w:rsidRDefault="00ED7C50" w:rsidP="00ED7C50"/>
    <w:p w14:paraId="233C5966" w14:textId="7128734B" w:rsidR="00ED7C50" w:rsidRPr="00ED7C50" w:rsidRDefault="00ED7C50" w:rsidP="00ED7C50"/>
    <w:p w14:paraId="3DB8DE53" w14:textId="139FDD29" w:rsidR="00ED7C50" w:rsidRPr="00ED7C50" w:rsidRDefault="00ED7C50" w:rsidP="00ED7C50"/>
    <w:p w14:paraId="47FCD82E" w14:textId="2AF46E79" w:rsidR="00ED7C50" w:rsidRPr="00ED7C50" w:rsidRDefault="00ED7C50" w:rsidP="00ED7C50"/>
    <w:p w14:paraId="36A2665D" w14:textId="3CBD752C" w:rsidR="00ED7C50" w:rsidRPr="00ED7C50" w:rsidRDefault="00ED7C50" w:rsidP="00ED7C50"/>
    <w:p w14:paraId="517D72B2" w14:textId="6081B596" w:rsidR="00ED7C50" w:rsidRPr="00ED7C50" w:rsidRDefault="00ED7C50" w:rsidP="00ED7C50"/>
    <w:p w14:paraId="7C4A9F11" w14:textId="4B44FB4A" w:rsidR="00ED7C50" w:rsidRPr="00ED7C50" w:rsidRDefault="00454509" w:rsidP="00ED7C50">
      <w:r>
        <w:rPr>
          <w:noProof/>
        </w:rPr>
        <mc:AlternateContent>
          <mc:Choice Requires="wps">
            <w:drawing>
              <wp:anchor distT="0" distB="0" distL="114300" distR="114300" simplePos="0" relativeHeight="251663360" behindDoc="0" locked="0" layoutInCell="1" allowOverlap="1" wp14:anchorId="16B617FF" wp14:editId="073EC928">
                <wp:simplePos x="0" y="0"/>
                <wp:positionH relativeFrom="column">
                  <wp:posOffset>7289800</wp:posOffset>
                </wp:positionH>
                <wp:positionV relativeFrom="paragraph">
                  <wp:posOffset>160020</wp:posOffset>
                </wp:positionV>
                <wp:extent cx="2362200" cy="3365500"/>
                <wp:effectExtent l="0" t="0" r="12700" b="12700"/>
                <wp:wrapNone/>
                <wp:docPr id="1312669742" name="Text Box 5"/>
                <wp:cNvGraphicFramePr/>
                <a:graphic xmlns:a="http://schemas.openxmlformats.org/drawingml/2006/main">
                  <a:graphicData uri="http://schemas.microsoft.com/office/word/2010/wordprocessingShape">
                    <wps:wsp>
                      <wps:cNvSpPr txBox="1"/>
                      <wps:spPr>
                        <a:xfrm>
                          <a:off x="0" y="0"/>
                          <a:ext cx="2362200" cy="3365500"/>
                        </a:xfrm>
                        <a:prstGeom prst="rect">
                          <a:avLst/>
                        </a:prstGeom>
                        <a:solidFill>
                          <a:srgbClr val="FFFD78"/>
                        </a:solidFill>
                        <a:ln w="6350">
                          <a:solidFill>
                            <a:prstClr val="black"/>
                          </a:solidFill>
                        </a:ln>
                      </wps:spPr>
                      <wps:txbx>
                        <w:txbxContent>
                          <w:p w14:paraId="520A2CD1" w14:textId="46FABBA0" w:rsidR="006E345B" w:rsidRPr="003A1FB0" w:rsidRDefault="006E345B">
                            <w:pPr>
                              <w:rPr>
                                <w:rFonts w:ascii="Kohinoor Devanagari" w:hAnsi="Kohinoor Devanagari" w:cs="Kohinoor Devanagari"/>
                                <w:b/>
                                <w:bCs/>
                                <w:sz w:val="20"/>
                                <w:szCs w:val="20"/>
                                <w:u w:val="single"/>
                              </w:rPr>
                            </w:pPr>
                            <w:r w:rsidRPr="003A1FB0">
                              <w:rPr>
                                <w:rFonts w:ascii="Kohinoor Devanagari" w:hAnsi="Kohinoor Devanagari" w:cs="Kohinoor Devanagari"/>
                                <w:b/>
                                <w:bCs/>
                                <w:sz w:val="20"/>
                                <w:szCs w:val="20"/>
                                <w:u w:val="single"/>
                              </w:rPr>
                              <w:t xml:space="preserve">Conclusion </w:t>
                            </w:r>
                          </w:p>
                          <w:p w14:paraId="1C688BE3" w14:textId="3F886F67" w:rsidR="00F137DE" w:rsidRPr="00345D6B" w:rsidRDefault="00F137DE">
                            <w:pPr>
                              <w:rPr>
                                <w:rFonts w:ascii="Kohinoor Devanagari" w:hAnsi="Kohinoor Devanagari" w:cs="Kohinoor Devanagari"/>
                                <w:sz w:val="16"/>
                                <w:szCs w:val="16"/>
                              </w:rPr>
                            </w:pPr>
                            <w:r w:rsidRPr="00345D6B">
                              <w:rPr>
                                <w:rFonts w:ascii="Kohinoor Devanagari" w:hAnsi="Kohinoor Devanagari" w:cs="Kohinoor Devanagari"/>
                                <w:sz w:val="16"/>
                                <w:szCs w:val="16"/>
                              </w:rPr>
                              <w:t xml:space="preserve">In conclusion, dyslexia </w:t>
                            </w:r>
                            <w:proofErr w:type="gramStart"/>
                            <w:r w:rsidRPr="00345D6B">
                              <w:rPr>
                                <w:rFonts w:ascii="Kohinoor Devanagari" w:hAnsi="Kohinoor Devanagari" w:cs="Kohinoor Devanagari"/>
                                <w:sz w:val="16"/>
                                <w:szCs w:val="16"/>
                              </w:rPr>
                              <w:t>is</w:t>
                            </w:r>
                            <w:proofErr w:type="gramEnd"/>
                            <w:r w:rsidRPr="00345D6B">
                              <w:rPr>
                                <w:rFonts w:ascii="Kohinoor Devanagari" w:hAnsi="Kohinoor Devanagari" w:cs="Kohinoor Devanagari"/>
                                <w:sz w:val="16"/>
                                <w:szCs w:val="16"/>
                              </w:rPr>
                              <w:t xml:space="preserve"> a complex learning difference that impacts individuals in various ways, affecting their reading, writing, spelling, and sometimes even math skills. it’s important to recognise that dyslexia </w:t>
                            </w:r>
                            <w:proofErr w:type="gramStart"/>
                            <w:r w:rsidRPr="00345D6B">
                              <w:rPr>
                                <w:rFonts w:ascii="Kohinoor Devanagari" w:hAnsi="Kohinoor Devanagari" w:cs="Kohinoor Devanagari"/>
                                <w:sz w:val="16"/>
                                <w:szCs w:val="16"/>
                              </w:rPr>
                              <w:t>is</w:t>
                            </w:r>
                            <w:proofErr w:type="gramEnd"/>
                            <w:r w:rsidRPr="00345D6B">
                              <w:rPr>
                                <w:rFonts w:ascii="Kohinoor Devanagari" w:hAnsi="Kohinoor Devanagari" w:cs="Kohinoor Devanagari"/>
                                <w:sz w:val="16"/>
                                <w:szCs w:val="16"/>
                              </w:rPr>
                              <w:t xml:space="preserve"> not a reflection of intelligence but rather a difference in how the brain processes information. While dyslexia present challenges, it’s crucial to acknowledge the strengths and unique abilities that individuals with dyslexia often possess, such as creativity and problem-solving skills. with early detection, appropriate support, and interventions tailored to their needs, individuals with dyslexia can overcome obstacles and achieve success both academically and in life. By fostering awareness, understanding, and acceptance, we can create a more inclusive and supportive environment for individuals with dyslexia to thrive.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B617FF" id="Text Box 5" o:spid="_x0000_s1030" type="#_x0000_t202" style="position:absolute;margin-left:574pt;margin-top:12.6pt;width:186pt;height: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" fillcolor="#fffd78" strokeweight=".5pt">
                <v:textbox>
                  <w:txbxContent>
                    <w:p w14:paraId="520A2CD1" w14:textId="46FABBA0" w:rsidR="006E345B" w:rsidRPr="003A1FB0" w:rsidRDefault="006E345B">
                      <w:pPr>
                        <w:rPr>
                          <w:rFonts w:ascii="Kohinoor Devanagari" w:hAnsi="Kohinoor Devanagari" w:cs="Kohinoor Devanagari"/>
                          <w:b/>
                          <w:bCs/>
                          <w:sz w:val="20"/>
                          <w:szCs w:val="20"/>
                          <w:u w:val="single"/>
                        </w:rPr>
                      </w:pPr>
                      <w:r w:rsidRPr="003A1FB0">
                        <w:rPr>
                          <w:rFonts w:ascii="Kohinoor Devanagari" w:hAnsi="Kohinoor Devanagari" w:cs="Kohinoor Devanagari"/>
                          <w:b/>
                          <w:bCs/>
                          <w:sz w:val="20"/>
                          <w:szCs w:val="20"/>
                          <w:u w:val="single"/>
                        </w:rPr>
                        <w:t xml:space="preserve">Conclusion </w:t>
                      </w:r>
                    </w:p>
                    <w:p w14:paraId="1C688BE3" w14:textId="3F886F67" w:rsidR="00F137DE" w:rsidRPr="00345D6B" w:rsidRDefault="00F137DE">
                      <w:pPr>
                        <w:rPr>
                          <w:rFonts w:ascii="Kohinoor Devanagari" w:hAnsi="Kohinoor Devanagari" w:cs="Kohinoor Devanagari"/>
                          <w:sz w:val="16"/>
                          <w:szCs w:val="16"/>
                        </w:rPr>
                      </w:pPr>
                      <w:r w:rsidRPr="00345D6B">
                        <w:rPr>
                          <w:rFonts w:ascii="Kohinoor Devanagari" w:hAnsi="Kohinoor Devanagari" w:cs="Kohinoor Devanagari"/>
                          <w:sz w:val="16"/>
                          <w:szCs w:val="16"/>
                        </w:rPr>
                        <w:t xml:space="preserve">In conclusion, dyslexia </w:t>
                      </w:r>
                      <w:proofErr w:type="gramStart"/>
                      <w:r w:rsidRPr="00345D6B">
                        <w:rPr>
                          <w:rFonts w:ascii="Kohinoor Devanagari" w:hAnsi="Kohinoor Devanagari" w:cs="Kohinoor Devanagari"/>
                          <w:sz w:val="16"/>
                          <w:szCs w:val="16"/>
                        </w:rPr>
                        <w:t>is</w:t>
                      </w:r>
                      <w:proofErr w:type="gramEnd"/>
                      <w:r w:rsidRPr="00345D6B">
                        <w:rPr>
                          <w:rFonts w:ascii="Kohinoor Devanagari" w:hAnsi="Kohinoor Devanagari" w:cs="Kohinoor Devanagari"/>
                          <w:sz w:val="16"/>
                          <w:szCs w:val="16"/>
                        </w:rPr>
                        <w:t xml:space="preserve"> a complex learning difference that impacts individuals in various ways, affecting their reading, writing, spelling, and sometimes even math skills. it’s important to recognise that dyslexia </w:t>
                      </w:r>
                      <w:proofErr w:type="gramStart"/>
                      <w:r w:rsidRPr="00345D6B">
                        <w:rPr>
                          <w:rFonts w:ascii="Kohinoor Devanagari" w:hAnsi="Kohinoor Devanagari" w:cs="Kohinoor Devanagari"/>
                          <w:sz w:val="16"/>
                          <w:szCs w:val="16"/>
                        </w:rPr>
                        <w:t>is</w:t>
                      </w:r>
                      <w:proofErr w:type="gramEnd"/>
                      <w:r w:rsidRPr="00345D6B">
                        <w:rPr>
                          <w:rFonts w:ascii="Kohinoor Devanagari" w:hAnsi="Kohinoor Devanagari" w:cs="Kohinoor Devanagari"/>
                          <w:sz w:val="16"/>
                          <w:szCs w:val="16"/>
                        </w:rPr>
                        <w:t xml:space="preserve"> not a reflection of intelligence but rather a difference in how the brain processes information. While dyslexia present challenges, it’s crucial to acknowledge the strengths and unique abilities that individuals with dyslexia often possess, such as creativity and problem-solving skills. with early detection, appropriate support, and interventions tailored to their needs, individuals with dyslexia can overcome obstacles and achieve success both academically and in life. By fostering awareness, understanding, and acceptance, we can create a more inclusive and supportive environment for individuals with dyslexia to thrive.</w:t>
                      </w:r>
                    </w:p>
                  </w:txbxContent>
                </v:textbox>
              </v:shape>
            </w:pict>
          </mc:Fallback>
        </mc:AlternateContent>
      </w:r>
    </w:p>
    <w:p w14:paraId="0DF608D1" w14:textId="63D22E9D" w:rsidR="00ED7C50" w:rsidRPr="00ED7C50" w:rsidRDefault="00ED7C50" w:rsidP="00ED7C50"/>
    <w:p w14:paraId="14318280" w14:textId="2928C172" w:rsidR="00ED7C50" w:rsidRPr="00ED7C50" w:rsidRDefault="00ED7C50" w:rsidP="00ED7C50"/>
    <w:p w14:paraId="16DAF96F" w14:textId="48B9FAA2" w:rsidR="00ED7C50" w:rsidRPr="00ED7C50" w:rsidRDefault="00ED7C50" w:rsidP="00ED7C50"/>
    <w:p w14:paraId="35A66471" w14:textId="7E346BB4" w:rsidR="00ED7C50" w:rsidRPr="00ED7C50" w:rsidRDefault="00ED7C50" w:rsidP="00ED7C50"/>
    <w:p w14:paraId="743787DA" w14:textId="461A2D7A" w:rsidR="00ED7C50" w:rsidRPr="00ED7C50" w:rsidRDefault="00ED7C50" w:rsidP="00ED7C50"/>
    <w:p w14:paraId="36317D38" w14:textId="3517CCC0" w:rsidR="00ED7C50" w:rsidRPr="00ED7C50" w:rsidRDefault="00ED7C50" w:rsidP="00ED7C50"/>
    <w:p w14:paraId="6F7A4665" w14:textId="5029B027" w:rsidR="00ED7C50" w:rsidRPr="00ED7C50" w:rsidRDefault="00ED7C50" w:rsidP="00ED7C50"/>
    <w:p w14:paraId="24F4F777" w14:textId="7C9CAD30" w:rsidR="00ED7C50" w:rsidRPr="00ED7C50" w:rsidRDefault="004673CD" w:rsidP="00ED7C50">
      <w:r>
        <w:rPr>
          <w:noProof/>
        </w:rPr>
        <w:drawing>
          <wp:anchor distT="0" distB="0" distL="114300" distR="114300" simplePos="0" relativeHeight="251666432" behindDoc="0" locked="0" layoutInCell="1" allowOverlap="1" wp14:anchorId="2CE7FA8D" wp14:editId="593848A8">
            <wp:simplePos x="0" y="0"/>
            <wp:positionH relativeFrom="column">
              <wp:posOffset>-495300</wp:posOffset>
            </wp:positionH>
            <wp:positionV relativeFrom="page">
              <wp:posOffset>5549900</wp:posOffset>
            </wp:positionV>
            <wp:extent cx="1930400" cy="1930400"/>
            <wp:effectExtent l="0" t="0" r="0" b="0"/>
            <wp:wrapSquare wrapText="bothSides"/>
            <wp:docPr id="1531545340" name="Picture 1" descr="Dyslexia: The Intrinsic Details of a Dyslexic Brain Explained by David  Copperson - Audiobook - Audible.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slexia: The Intrinsic Details of a Dyslexic Brain Explained by David  Copperson - Audiobook - Audible.co.u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30400" cy="193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5C4EB1" w14:textId="61C924FB" w:rsidR="00ED7C50" w:rsidRPr="00ED7C50" w:rsidRDefault="00ED7C50" w:rsidP="00ED7C50"/>
    <w:p w14:paraId="0D734E7D" w14:textId="424EEF50" w:rsidR="00ED7C50" w:rsidRPr="00ED7C50" w:rsidRDefault="004673CD" w:rsidP="00ED7C50">
      <w:r>
        <w:fldChar w:fldCharType="begin"/>
      </w:r>
      <w:r>
        <w:instrText xml:space="preserve"> INCLUDEPICTURE "/Users/zahrabashir/Library/Group Containers/UBF8T346G9.ms/WebArchiveCopyPasteTempFiles/com.microsoft.Word/51PV6fPX2xL._SL500_.jpg" \* MERGEFORMATINET </w:instrText>
      </w:r>
      <w:r>
        <w:fldChar w:fldCharType="separate"/>
      </w:r>
      <w:r>
        <w:fldChar w:fldCharType="end"/>
      </w:r>
    </w:p>
    <w:p w14:paraId="042591F5" w14:textId="5976735E" w:rsidR="00ED7C50" w:rsidRPr="00ED7C50" w:rsidRDefault="00ED7C50" w:rsidP="00ED7C50"/>
    <w:p w14:paraId="7DC801F3" w14:textId="61B9209E" w:rsidR="00ED7C50" w:rsidRPr="00ED7C50" w:rsidRDefault="00ED7C50" w:rsidP="00ED7C50"/>
    <w:p w14:paraId="31CEE7AB" w14:textId="77777777" w:rsidR="00BA1BD8" w:rsidRDefault="00ED7C50" w:rsidP="003A18AF">
      <w:pPr>
        <w:tabs>
          <w:tab w:val="left" w:pos="1100"/>
        </w:tabs>
      </w:pPr>
      <w:r>
        <w:tab/>
      </w:r>
    </w:p>
    <w:p w14:paraId="4B8E93A9" w14:textId="3AED0468" w:rsidR="004F096D" w:rsidRPr="003A18AF" w:rsidRDefault="004F096D" w:rsidP="003A18AF">
      <w:pPr>
        <w:tabs>
          <w:tab w:val="left" w:pos="1100"/>
        </w:tabs>
      </w:pPr>
      <w:r w:rsidRPr="004F096D">
        <w:rPr>
          <w:rFonts w:ascii="Kohinoor Devanagari" w:hAnsi="Kohinoor Devanagari" w:cs="Kohinoor Devanagari"/>
          <w:b/>
          <w:bCs/>
          <w:color w:val="000000"/>
          <w:sz w:val="28"/>
          <w:szCs w:val="28"/>
          <w:u w:val="single"/>
        </w:rPr>
        <w:lastRenderedPageBreak/>
        <w:t xml:space="preserve">Referencing </w:t>
      </w:r>
    </w:p>
    <w:p w14:paraId="146DEA19" w14:textId="2B0C2EBB" w:rsidR="004F096D" w:rsidRDefault="004F096D" w:rsidP="004F096D">
      <w:pPr>
        <w:pStyle w:val="NormalWeb"/>
        <w:rPr>
          <w:color w:val="000000"/>
        </w:rPr>
      </w:pPr>
      <w:r>
        <w:rPr>
          <w:color w:val="000000"/>
        </w:rPr>
        <w:t>British Dyslexia Association (no date)</w:t>
      </w:r>
      <w:r>
        <w:rPr>
          <w:rStyle w:val="apple-converted-space"/>
          <w:rFonts w:eastAsiaTheme="majorEastAsia"/>
          <w:color w:val="000000"/>
        </w:rPr>
        <w:t> </w:t>
      </w:r>
      <w:r>
        <w:rPr>
          <w:i/>
          <w:iCs/>
          <w:color w:val="000000"/>
        </w:rPr>
        <w:t xml:space="preserve">What is </w:t>
      </w:r>
      <w:proofErr w:type="gramStart"/>
      <w:r>
        <w:rPr>
          <w:i/>
          <w:iCs/>
          <w:color w:val="000000"/>
        </w:rPr>
        <w:t>dyslexia?</w:t>
      </w:r>
      <w:r>
        <w:rPr>
          <w:color w:val="000000"/>
        </w:rPr>
        <w:t>,</w:t>
      </w:r>
      <w:proofErr w:type="gramEnd"/>
      <w:r>
        <w:rPr>
          <w:rStyle w:val="apple-converted-space"/>
          <w:rFonts w:eastAsiaTheme="majorEastAsia"/>
          <w:color w:val="000000"/>
        </w:rPr>
        <w:t> </w:t>
      </w:r>
      <w:r>
        <w:rPr>
          <w:i/>
          <w:iCs/>
          <w:color w:val="000000"/>
        </w:rPr>
        <w:t>British Dyslexia Association</w:t>
      </w:r>
      <w:r>
        <w:rPr>
          <w:color w:val="000000"/>
        </w:rPr>
        <w:t>. Available at: https://www.bdadyslexia.org.uk/dyslexia/about-dyslexia/what-is-dyslexia (Accessed: 13 May 2024).</w:t>
      </w:r>
      <w:r>
        <w:rPr>
          <w:rStyle w:val="apple-converted-space"/>
          <w:rFonts w:eastAsiaTheme="majorEastAsia"/>
          <w:color w:val="000000"/>
        </w:rPr>
        <w:t> </w:t>
      </w:r>
    </w:p>
    <w:p w14:paraId="2691FFE7" w14:textId="77777777" w:rsidR="004673CD" w:rsidRDefault="004673CD" w:rsidP="004673CD">
      <w:pPr>
        <w:pStyle w:val="NormalWeb"/>
        <w:rPr>
          <w:color w:val="000000"/>
        </w:rPr>
      </w:pPr>
      <w:r>
        <w:rPr>
          <w:color w:val="000000"/>
        </w:rPr>
        <w:t>Copperson , D. (no date)</w:t>
      </w:r>
      <w:r>
        <w:rPr>
          <w:rStyle w:val="apple-converted-space"/>
          <w:rFonts w:eastAsiaTheme="majorEastAsia"/>
          <w:color w:val="000000"/>
        </w:rPr>
        <w:t> </w:t>
      </w:r>
      <w:r>
        <w:rPr>
          <w:i/>
          <w:iCs/>
          <w:color w:val="000000"/>
        </w:rPr>
        <w:t>Get your imagination going</w:t>
      </w:r>
      <w:r>
        <w:rPr>
          <w:color w:val="000000"/>
        </w:rPr>
        <w:t>,</w:t>
      </w:r>
      <w:r>
        <w:rPr>
          <w:rStyle w:val="apple-converted-space"/>
          <w:rFonts w:eastAsiaTheme="majorEastAsia"/>
          <w:color w:val="000000"/>
        </w:rPr>
        <w:t> </w:t>
      </w:r>
      <w:r>
        <w:rPr>
          <w:i/>
          <w:iCs/>
          <w:color w:val="000000"/>
        </w:rPr>
        <w:t>Audible.com</w:t>
      </w:r>
      <w:r>
        <w:rPr>
          <w:color w:val="000000"/>
        </w:rPr>
        <w:t>. Available at: https://www.audible.co.uk/pd/Dyslexia-The-Intrinsic-Details-of-a-Dyslexic-Brain-Explained-Audiobook/B084QGSVKM (Accessed: 16 May 2024).</w:t>
      </w:r>
      <w:r>
        <w:rPr>
          <w:rStyle w:val="apple-converted-space"/>
          <w:rFonts w:eastAsiaTheme="majorEastAsia"/>
          <w:color w:val="000000"/>
        </w:rPr>
        <w:t> </w:t>
      </w:r>
    </w:p>
    <w:p w14:paraId="610919EA" w14:textId="0B2E29B5" w:rsidR="00FD4CC6" w:rsidRDefault="00FD4CC6" w:rsidP="00FD4CC6">
      <w:pPr>
        <w:pStyle w:val="NormalWeb"/>
        <w:rPr>
          <w:color w:val="000000"/>
        </w:rPr>
      </w:pPr>
      <w:r>
        <w:rPr>
          <w:color w:val="000000"/>
        </w:rPr>
        <w:t>Cunningham , M. (2021)</w:t>
      </w:r>
      <w:r>
        <w:rPr>
          <w:rStyle w:val="apple-converted-space"/>
          <w:rFonts w:eastAsiaTheme="majorEastAsia"/>
          <w:color w:val="000000"/>
        </w:rPr>
        <w:t> </w:t>
      </w:r>
      <w:r>
        <w:rPr>
          <w:i/>
          <w:iCs/>
          <w:color w:val="000000"/>
        </w:rPr>
        <w:t xml:space="preserve">Barriers to the diagnosis of dyslexia in children - </w:t>
      </w:r>
      <w:proofErr w:type="spellStart"/>
      <w:r>
        <w:rPr>
          <w:i/>
          <w:iCs/>
          <w:color w:val="000000"/>
        </w:rPr>
        <w:t>elischolar</w:t>
      </w:r>
      <w:proofErr w:type="spellEnd"/>
      <w:r>
        <w:rPr>
          <w:color w:val="000000"/>
        </w:rPr>
        <w:t>,</w:t>
      </w:r>
      <w:r>
        <w:rPr>
          <w:rStyle w:val="apple-converted-space"/>
          <w:rFonts w:eastAsiaTheme="majorEastAsia"/>
          <w:color w:val="000000"/>
        </w:rPr>
        <w:t> </w:t>
      </w:r>
      <w:r>
        <w:rPr>
          <w:i/>
          <w:iCs/>
          <w:color w:val="000000"/>
        </w:rPr>
        <w:t>Barriers to the Diagnosis of Dyslexia in Children Barriers to the Diagnosis of Dyslexia in Children</w:t>
      </w:r>
      <w:r>
        <w:rPr>
          <w:color w:val="000000"/>
        </w:rPr>
        <w:t>. Available at: https://elischolar.library.yale.edu/cgi/viewcontent.cgi?article=1058&amp;context=yurj (Accessed: 15 May 2024).</w:t>
      </w:r>
      <w:r>
        <w:rPr>
          <w:rStyle w:val="apple-converted-space"/>
          <w:rFonts w:eastAsiaTheme="majorEastAsia"/>
          <w:color w:val="000000"/>
        </w:rPr>
        <w:t> </w:t>
      </w:r>
    </w:p>
    <w:p w14:paraId="5E73ADF6" w14:textId="24598B4D" w:rsidR="00164296" w:rsidRDefault="00164296" w:rsidP="00164296">
      <w:pPr>
        <w:pStyle w:val="NormalWeb"/>
        <w:rPr>
          <w:color w:val="000000"/>
        </w:rPr>
      </w:pPr>
      <w:r>
        <w:rPr>
          <w:color w:val="000000"/>
        </w:rPr>
        <w:t>Hawthorne, H. (2024)</w:t>
      </w:r>
      <w:r>
        <w:rPr>
          <w:rStyle w:val="apple-converted-space"/>
          <w:rFonts w:eastAsiaTheme="majorEastAsia"/>
          <w:color w:val="000000"/>
        </w:rPr>
        <w:t> </w:t>
      </w:r>
      <w:r>
        <w:rPr>
          <w:i/>
          <w:iCs/>
          <w:color w:val="000000"/>
        </w:rPr>
        <w:t>How to help a child with dyslexia in the classroom</w:t>
      </w:r>
      <w:r>
        <w:rPr>
          <w:color w:val="000000"/>
        </w:rPr>
        <w:t>,</w:t>
      </w:r>
      <w:r>
        <w:rPr>
          <w:rStyle w:val="apple-converted-space"/>
          <w:rFonts w:eastAsiaTheme="majorEastAsia"/>
          <w:color w:val="000000"/>
        </w:rPr>
        <w:t> </w:t>
      </w:r>
      <w:r>
        <w:rPr>
          <w:i/>
          <w:iCs/>
          <w:color w:val="000000"/>
        </w:rPr>
        <w:t>The Hub | High Speed Training</w:t>
      </w:r>
      <w:r>
        <w:rPr>
          <w:color w:val="000000"/>
        </w:rPr>
        <w:t>. Available at: https://www.highspeedtraining.co.uk/hub/how-to-help-a-child-with-dyslexia-in-the-classroom/ (Accessed: 16 May 2024).</w:t>
      </w:r>
      <w:r>
        <w:rPr>
          <w:rStyle w:val="apple-converted-space"/>
          <w:rFonts w:eastAsiaTheme="majorEastAsia"/>
          <w:color w:val="000000"/>
        </w:rPr>
        <w:t> </w:t>
      </w:r>
    </w:p>
    <w:p w14:paraId="556E9E71" w14:textId="1AC19C14" w:rsidR="004F096D" w:rsidRDefault="004F096D" w:rsidP="004F096D">
      <w:pPr>
        <w:pStyle w:val="NormalWeb"/>
        <w:rPr>
          <w:color w:val="000000"/>
        </w:rPr>
      </w:pPr>
      <w:proofErr w:type="spellStart"/>
      <w:r>
        <w:rPr>
          <w:color w:val="000000"/>
        </w:rPr>
        <w:t>Stampoltzis</w:t>
      </w:r>
      <w:proofErr w:type="spellEnd"/>
      <w:r>
        <w:rPr>
          <w:color w:val="000000"/>
        </w:rPr>
        <w:t xml:space="preserve">, A., Paradisi, A.E. and </w:t>
      </w:r>
      <w:proofErr w:type="spellStart"/>
      <w:r>
        <w:rPr>
          <w:color w:val="000000"/>
        </w:rPr>
        <w:t>Theodosakis</w:t>
      </w:r>
      <w:proofErr w:type="spellEnd"/>
      <w:r>
        <w:rPr>
          <w:color w:val="000000"/>
        </w:rPr>
        <w:t>, D. (2023)</w:t>
      </w:r>
      <w:r>
        <w:rPr>
          <w:rStyle w:val="apple-converted-space"/>
          <w:rFonts w:eastAsiaTheme="majorEastAsia"/>
          <w:color w:val="000000"/>
        </w:rPr>
        <w:t> </w:t>
      </w:r>
      <w:r>
        <w:rPr>
          <w:i/>
          <w:iCs/>
          <w:color w:val="000000"/>
        </w:rPr>
        <w:t>(PDF) resilience, mental flourishing, character strengths and job satisfaction of adults with dyslexia compared to a control group</w:t>
      </w:r>
      <w:r>
        <w:rPr>
          <w:color w:val="000000"/>
        </w:rPr>
        <w:t>,</w:t>
      </w:r>
      <w:r>
        <w:rPr>
          <w:rStyle w:val="apple-converted-space"/>
          <w:rFonts w:eastAsiaTheme="majorEastAsia"/>
          <w:color w:val="000000"/>
        </w:rPr>
        <w:t> </w:t>
      </w:r>
      <w:r>
        <w:rPr>
          <w:i/>
          <w:iCs/>
          <w:color w:val="000000"/>
        </w:rPr>
        <w:t>Resilience, Mental Flourishing, Character Strengths and Job Satisfaction of Adults with Dyslexia Compared to a Control Group</w:t>
      </w:r>
      <w:r>
        <w:rPr>
          <w:color w:val="000000"/>
        </w:rPr>
        <w:t>. Available at: https://www.researchgate.net/publication/373989847_Resilience_Mental_Flourishing_Character_Strengths_and_Job_Satisfaction_of_Adults_with_Dyslexia_Compared_to_a_Control_Group (Accessed: 12 May 2024).</w:t>
      </w:r>
      <w:r>
        <w:rPr>
          <w:rStyle w:val="apple-converted-space"/>
          <w:rFonts w:eastAsiaTheme="majorEastAsia"/>
          <w:color w:val="000000"/>
        </w:rPr>
        <w:t> </w:t>
      </w:r>
    </w:p>
    <w:p w14:paraId="2EA4E5A0" w14:textId="2C160735" w:rsidR="00ED7C50" w:rsidRPr="00ED7C50" w:rsidRDefault="00ED7C50" w:rsidP="00B35614"/>
    <w:sectPr w:rsidR="00ED7C50" w:rsidRPr="00ED7C50" w:rsidSect="00B10DF3">
      <w:headerReference w:type="even" r:id="rId8"/>
      <w:headerReference w:type="default" r:id="rId9"/>
      <w:headerReference w:type="first" r:id="rId10"/>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73D76" w14:textId="77777777" w:rsidR="00B10DF3" w:rsidRDefault="00B10DF3" w:rsidP="00E8254E">
      <w:r>
        <w:separator/>
      </w:r>
    </w:p>
  </w:endnote>
  <w:endnote w:type="continuationSeparator" w:id="0">
    <w:p w14:paraId="24F0D0A5" w14:textId="77777777" w:rsidR="00B10DF3" w:rsidRDefault="00B10DF3" w:rsidP="00E82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Kohinoor Devanagari">
    <w:panose1 w:val="02000000000000000000"/>
    <w:charset w:val="4D"/>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5644B" w14:textId="77777777" w:rsidR="00B10DF3" w:rsidRDefault="00B10DF3" w:rsidP="00E8254E">
      <w:r>
        <w:separator/>
      </w:r>
    </w:p>
  </w:footnote>
  <w:footnote w:type="continuationSeparator" w:id="0">
    <w:p w14:paraId="4DBC02FC" w14:textId="77777777" w:rsidR="00B10DF3" w:rsidRDefault="00B10DF3" w:rsidP="00E825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E1A90" w14:textId="77777777" w:rsidR="00B35614" w:rsidRDefault="00B356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926CF" w14:textId="77777777" w:rsidR="00B35614" w:rsidRDefault="00B356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84AD4" w14:textId="77777777" w:rsidR="00B35614" w:rsidRDefault="00B356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54E"/>
    <w:rsid w:val="00020793"/>
    <w:rsid w:val="0005245A"/>
    <w:rsid w:val="00076D17"/>
    <w:rsid w:val="000D5284"/>
    <w:rsid w:val="001618F6"/>
    <w:rsid w:val="00164296"/>
    <w:rsid w:val="001A54C8"/>
    <w:rsid w:val="001D6F1C"/>
    <w:rsid w:val="001E1716"/>
    <w:rsid w:val="002A6790"/>
    <w:rsid w:val="002F5BEB"/>
    <w:rsid w:val="00345D6B"/>
    <w:rsid w:val="00366047"/>
    <w:rsid w:val="0037529E"/>
    <w:rsid w:val="003A18AF"/>
    <w:rsid w:val="003A1FB0"/>
    <w:rsid w:val="003B1942"/>
    <w:rsid w:val="003F455C"/>
    <w:rsid w:val="00454509"/>
    <w:rsid w:val="004673CD"/>
    <w:rsid w:val="004A246B"/>
    <w:rsid w:val="004C35A2"/>
    <w:rsid w:val="004F096D"/>
    <w:rsid w:val="005401B5"/>
    <w:rsid w:val="00573F52"/>
    <w:rsid w:val="00592F72"/>
    <w:rsid w:val="006512ED"/>
    <w:rsid w:val="00673480"/>
    <w:rsid w:val="006E345B"/>
    <w:rsid w:val="00792A75"/>
    <w:rsid w:val="007A574F"/>
    <w:rsid w:val="007D1B41"/>
    <w:rsid w:val="0080124F"/>
    <w:rsid w:val="008214AE"/>
    <w:rsid w:val="008475A9"/>
    <w:rsid w:val="00891BCC"/>
    <w:rsid w:val="008A310D"/>
    <w:rsid w:val="009072D7"/>
    <w:rsid w:val="00941DD2"/>
    <w:rsid w:val="00987E7F"/>
    <w:rsid w:val="00992413"/>
    <w:rsid w:val="00A07A0C"/>
    <w:rsid w:val="00A10851"/>
    <w:rsid w:val="00A168C8"/>
    <w:rsid w:val="00A54D28"/>
    <w:rsid w:val="00B07E94"/>
    <w:rsid w:val="00B10DF3"/>
    <w:rsid w:val="00B14BDE"/>
    <w:rsid w:val="00B35614"/>
    <w:rsid w:val="00B446CE"/>
    <w:rsid w:val="00B45DAC"/>
    <w:rsid w:val="00B47F8A"/>
    <w:rsid w:val="00B76804"/>
    <w:rsid w:val="00B90DDA"/>
    <w:rsid w:val="00B93AA5"/>
    <w:rsid w:val="00B95F52"/>
    <w:rsid w:val="00BA1BD8"/>
    <w:rsid w:val="00BB5692"/>
    <w:rsid w:val="00BD1DDA"/>
    <w:rsid w:val="00C2748A"/>
    <w:rsid w:val="00C5472F"/>
    <w:rsid w:val="00C96384"/>
    <w:rsid w:val="00C9662E"/>
    <w:rsid w:val="00D83BF6"/>
    <w:rsid w:val="00DD13C3"/>
    <w:rsid w:val="00E448A2"/>
    <w:rsid w:val="00E8254E"/>
    <w:rsid w:val="00ED1D47"/>
    <w:rsid w:val="00ED7C50"/>
    <w:rsid w:val="00F110DF"/>
    <w:rsid w:val="00F137DE"/>
    <w:rsid w:val="00F54D88"/>
    <w:rsid w:val="00F56A40"/>
    <w:rsid w:val="00F8716A"/>
    <w:rsid w:val="00FD4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75AE7"/>
  <w15:chartTrackingRefBased/>
  <w15:docId w15:val="{3F5CFD8A-7C93-9646-A571-ABA518E5B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25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25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25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25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25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254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254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254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254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5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25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25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25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25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25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25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25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254E"/>
    <w:rPr>
      <w:rFonts w:eastAsiaTheme="majorEastAsia" w:cstheme="majorBidi"/>
      <w:color w:val="272727" w:themeColor="text1" w:themeTint="D8"/>
    </w:rPr>
  </w:style>
  <w:style w:type="paragraph" w:styleId="Title">
    <w:name w:val="Title"/>
    <w:basedOn w:val="Normal"/>
    <w:next w:val="Normal"/>
    <w:link w:val="TitleChar"/>
    <w:uiPriority w:val="10"/>
    <w:qFormat/>
    <w:rsid w:val="00E8254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25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254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25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254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8254E"/>
    <w:rPr>
      <w:i/>
      <w:iCs/>
      <w:color w:val="404040" w:themeColor="text1" w:themeTint="BF"/>
    </w:rPr>
  </w:style>
  <w:style w:type="paragraph" w:styleId="ListParagraph">
    <w:name w:val="List Paragraph"/>
    <w:basedOn w:val="Normal"/>
    <w:uiPriority w:val="34"/>
    <w:qFormat/>
    <w:rsid w:val="00E8254E"/>
    <w:pPr>
      <w:ind w:left="720"/>
      <w:contextualSpacing/>
    </w:pPr>
  </w:style>
  <w:style w:type="character" w:styleId="IntenseEmphasis">
    <w:name w:val="Intense Emphasis"/>
    <w:basedOn w:val="DefaultParagraphFont"/>
    <w:uiPriority w:val="21"/>
    <w:qFormat/>
    <w:rsid w:val="00E8254E"/>
    <w:rPr>
      <w:i/>
      <w:iCs/>
      <w:color w:val="0F4761" w:themeColor="accent1" w:themeShade="BF"/>
    </w:rPr>
  </w:style>
  <w:style w:type="paragraph" w:styleId="IntenseQuote">
    <w:name w:val="Intense Quote"/>
    <w:basedOn w:val="Normal"/>
    <w:next w:val="Normal"/>
    <w:link w:val="IntenseQuoteChar"/>
    <w:uiPriority w:val="30"/>
    <w:qFormat/>
    <w:rsid w:val="00E825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254E"/>
    <w:rPr>
      <w:i/>
      <w:iCs/>
      <w:color w:val="0F4761" w:themeColor="accent1" w:themeShade="BF"/>
    </w:rPr>
  </w:style>
  <w:style w:type="character" w:styleId="IntenseReference">
    <w:name w:val="Intense Reference"/>
    <w:basedOn w:val="DefaultParagraphFont"/>
    <w:uiPriority w:val="32"/>
    <w:qFormat/>
    <w:rsid w:val="00E8254E"/>
    <w:rPr>
      <w:b/>
      <w:bCs/>
      <w:smallCaps/>
      <w:color w:val="0F4761" w:themeColor="accent1" w:themeShade="BF"/>
      <w:spacing w:val="5"/>
    </w:rPr>
  </w:style>
  <w:style w:type="paragraph" w:styleId="Header">
    <w:name w:val="header"/>
    <w:basedOn w:val="Normal"/>
    <w:link w:val="HeaderChar"/>
    <w:uiPriority w:val="99"/>
    <w:unhideWhenUsed/>
    <w:rsid w:val="00E8254E"/>
    <w:pPr>
      <w:tabs>
        <w:tab w:val="center" w:pos="4513"/>
        <w:tab w:val="right" w:pos="9026"/>
      </w:tabs>
    </w:pPr>
  </w:style>
  <w:style w:type="character" w:customStyle="1" w:styleId="HeaderChar">
    <w:name w:val="Header Char"/>
    <w:basedOn w:val="DefaultParagraphFont"/>
    <w:link w:val="Header"/>
    <w:uiPriority w:val="99"/>
    <w:rsid w:val="00E8254E"/>
  </w:style>
  <w:style w:type="paragraph" w:styleId="Footer">
    <w:name w:val="footer"/>
    <w:basedOn w:val="Normal"/>
    <w:link w:val="FooterChar"/>
    <w:uiPriority w:val="99"/>
    <w:unhideWhenUsed/>
    <w:rsid w:val="00E8254E"/>
    <w:pPr>
      <w:tabs>
        <w:tab w:val="center" w:pos="4513"/>
        <w:tab w:val="right" w:pos="9026"/>
      </w:tabs>
    </w:pPr>
  </w:style>
  <w:style w:type="character" w:customStyle="1" w:styleId="FooterChar">
    <w:name w:val="Footer Char"/>
    <w:basedOn w:val="DefaultParagraphFont"/>
    <w:link w:val="Footer"/>
    <w:uiPriority w:val="99"/>
    <w:rsid w:val="00E8254E"/>
  </w:style>
  <w:style w:type="paragraph" w:styleId="NormalWeb">
    <w:name w:val="Normal (Web)"/>
    <w:basedOn w:val="Normal"/>
    <w:uiPriority w:val="99"/>
    <w:semiHidden/>
    <w:unhideWhenUsed/>
    <w:rsid w:val="00B446C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F09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5891">
      <w:bodyDiv w:val="1"/>
      <w:marLeft w:val="0"/>
      <w:marRight w:val="0"/>
      <w:marTop w:val="0"/>
      <w:marBottom w:val="0"/>
      <w:divBdr>
        <w:top w:val="none" w:sz="0" w:space="0" w:color="auto"/>
        <w:left w:val="none" w:sz="0" w:space="0" w:color="auto"/>
        <w:bottom w:val="none" w:sz="0" w:space="0" w:color="auto"/>
        <w:right w:val="none" w:sz="0" w:space="0" w:color="auto"/>
      </w:divBdr>
    </w:div>
    <w:div w:id="115686856">
      <w:bodyDiv w:val="1"/>
      <w:marLeft w:val="0"/>
      <w:marRight w:val="0"/>
      <w:marTop w:val="0"/>
      <w:marBottom w:val="0"/>
      <w:divBdr>
        <w:top w:val="none" w:sz="0" w:space="0" w:color="auto"/>
        <w:left w:val="none" w:sz="0" w:space="0" w:color="auto"/>
        <w:bottom w:val="none" w:sz="0" w:space="0" w:color="auto"/>
        <w:right w:val="none" w:sz="0" w:space="0" w:color="auto"/>
      </w:divBdr>
    </w:div>
    <w:div w:id="672032456">
      <w:bodyDiv w:val="1"/>
      <w:marLeft w:val="0"/>
      <w:marRight w:val="0"/>
      <w:marTop w:val="0"/>
      <w:marBottom w:val="0"/>
      <w:divBdr>
        <w:top w:val="none" w:sz="0" w:space="0" w:color="auto"/>
        <w:left w:val="none" w:sz="0" w:space="0" w:color="auto"/>
        <w:bottom w:val="none" w:sz="0" w:space="0" w:color="auto"/>
        <w:right w:val="none" w:sz="0" w:space="0" w:color="auto"/>
      </w:divBdr>
    </w:div>
    <w:div w:id="785582917">
      <w:bodyDiv w:val="1"/>
      <w:marLeft w:val="0"/>
      <w:marRight w:val="0"/>
      <w:marTop w:val="0"/>
      <w:marBottom w:val="0"/>
      <w:divBdr>
        <w:top w:val="none" w:sz="0" w:space="0" w:color="auto"/>
        <w:left w:val="none" w:sz="0" w:space="0" w:color="auto"/>
        <w:bottom w:val="none" w:sz="0" w:space="0" w:color="auto"/>
        <w:right w:val="none" w:sz="0" w:space="0" w:color="auto"/>
      </w:divBdr>
    </w:div>
    <w:div w:id="840193019">
      <w:bodyDiv w:val="1"/>
      <w:marLeft w:val="0"/>
      <w:marRight w:val="0"/>
      <w:marTop w:val="0"/>
      <w:marBottom w:val="0"/>
      <w:divBdr>
        <w:top w:val="none" w:sz="0" w:space="0" w:color="auto"/>
        <w:left w:val="none" w:sz="0" w:space="0" w:color="auto"/>
        <w:bottom w:val="none" w:sz="0" w:space="0" w:color="auto"/>
        <w:right w:val="none" w:sz="0" w:space="0" w:color="auto"/>
      </w:divBdr>
    </w:div>
    <w:div w:id="1056121297">
      <w:bodyDiv w:val="1"/>
      <w:marLeft w:val="0"/>
      <w:marRight w:val="0"/>
      <w:marTop w:val="0"/>
      <w:marBottom w:val="0"/>
      <w:divBdr>
        <w:top w:val="none" w:sz="0" w:space="0" w:color="auto"/>
        <w:left w:val="none" w:sz="0" w:space="0" w:color="auto"/>
        <w:bottom w:val="none" w:sz="0" w:space="0" w:color="auto"/>
        <w:right w:val="none" w:sz="0" w:space="0" w:color="auto"/>
      </w:divBdr>
    </w:div>
    <w:div w:id="1105926097">
      <w:bodyDiv w:val="1"/>
      <w:marLeft w:val="0"/>
      <w:marRight w:val="0"/>
      <w:marTop w:val="0"/>
      <w:marBottom w:val="0"/>
      <w:divBdr>
        <w:top w:val="none" w:sz="0" w:space="0" w:color="auto"/>
        <w:left w:val="none" w:sz="0" w:space="0" w:color="auto"/>
        <w:bottom w:val="none" w:sz="0" w:space="0" w:color="auto"/>
        <w:right w:val="none" w:sz="0" w:space="0" w:color="auto"/>
      </w:divBdr>
    </w:div>
    <w:div w:id="1688750871">
      <w:bodyDiv w:val="1"/>
      <w:marLeft w:val="0"/>
      <w:marRight w:val="0"/>
      <w:marTop w:val="0"/>
      <w:marBottom w:val="0"/>
      <w:divBdr>
        <w:top w:val="none" w:sz="0" w:space="0" w:color="auto"/>
        <w:left w:val="none" w:sz="0" w:space="0" w:color="auto"/>
        <w:bottom w:val="none" w:sz="0" w:space="0" w:color="auto"/>
        <w:right w:val="none" w:sz="0" w:space="0" w:color="auto"/>
      </w:divBdr>
      <w:divsChild>
        <w:div w:id="501358380">
          <w:marLeft w:val="0"/>
          <w:marRight w:val="0"/>
          <w:marTop w:val="0"/>
          <w:marBottom w:val="0"/>
          <w:divBdr>
            <w:top w:val="none" w:sz="0" w:space="0" w:color="auto"/>
            <w:left w:val="single" w:sz="48" w:space="15" w:color="D14900"/>
            <w:bottom w:val="none" w:sz="0" w:space="0" w:color="auto"/>
            <w:right w:val="none" w:sz="0" w:space="0" w:color="auto"/>
          </w:divBdr>
        </w:div>
      </w:divsChild>
    </w:div>
    <w:div w:id="1710563796">
      <w:bodyDiv w:val="1"/>
      <w:marLeft w:val="0"/>
      <w:marRight w:val="0"/>
      <w:marTop w:val="0"/>
      <w:marBottom w:val="0"/>
      <w:divBdr>
        <w:top w:val="none" w:sz="0" w:space="0" w:color="auto"/>
        <w:left w:val="none" w:sz="0" w:space="0" w:color="auto"/>
        <w:bottom w:val="none" w:sz="0" w:space="0" w:color="auto"/>
        <w:right w:val="none" w:sz="0" w:space="0" w:color="auto"/>
      </w:divBdr>
    </w:div>
    <w:div w:id="175034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A4B30-93DB-BF43-A96F-CD7DECB96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2</Pages>
  <Words>280</Words>
  <Characters>1597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bashir</dc:creator>
  <cp:keywords/>
  <dc:description/>
  <cp:lastModifiedBy>zahra bashir</cp:lastModifiedBy>
  <cp:revision>28</cp:revision>
  <dcterms:created xsi:type="dcterms:W3CDTF">2024-05-08T15:38:00Z</dcterms:created>
  <dcterms:modified xsi:type="dcterms:W3CDTF">2024-05-16T21:57:00Z</dcterms:modified>
</cp:coreProperties>
</file>