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20258538"/>
        <w:docPartObj>
          <w:docPartGallery w:val="Cover Pages"/>
          <w:docPartUnique/>
        </w:docPartObj>
      </w:sdtPr>
      <w:sdtContent>
        <w:p w14:paraId="7072F064" w14:textId="139CBAE1" w:rsidR="00436A03" w:rsidRDefault="00436A03">
          <w:r>
            <w:rPr>
              <w:noProof/>
            </w:rPr>
            <mc:AlternateContent>
              <mc:Choice Requires="wps">
                <w:drawing>
                  <wp:anchor distT="0" distB="0" distL="114300" distR="114300" simplePos="0" relativeHeight="251663360" behindDoc="1" locked="0" layoutInCell="1" allowOverlap="1" wp14:anchorId="1A278F15" wp14:editId="7EB9F54E">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526F969" w14:textId="77777777" w:rsidR="00DD6882" w:rsidRPr="00DD6882" w:rsidRDefault="00DD6882" w:rsidP="00DD6882">
                                <w:pPr>
                                  <w:rPr>
                                    <w:rFonts w:ascii="Arial" w:hAnsi="Arial" w:cs="Arial"/>
                                    <w:color w:val="000000" w:themeColor="text1"/>
                                  </w:rPr>
                                </w:pPr>
                                <w:sdt>
                                  <w:sdtPr>
                                    <w:rPr>
                                      <w:rFonts w:ascii="Arial" w:hAnsi="Arial" w:cs="Arial"/>
                                      <w:color w:val="000000" w:themeColor="text1"/>
                                    </w:rPr>
                                    <w:alias w:val="Abstract"/>
                                    <w:id w:val="8276291"/>
                                    <w:showingPlcHdr/>
                                    <w:dataBinding w:prefixMappings="xmlns:ns0='http://schemas.microsoft.com/office/2006/coverPageProps'" w:xpath="/ns0:CoverPageProperties[1]/ns0:Abstract[1]" w:storeItemID="{55AF091B-3C7A-41E3-B477-F2FDAA23CFDA}"/>
                                    <w:text/>
                                  </w:sdtPr>
                                  <w:sdtContent>
                                    <w:r w:rsidRPr="00DD6882">
                                      <w:rPr>
                                        <w:rFonts w:ascii="Arial" w:hAnsi="Arial" w:cs="Arial"/>
                                        <w:color w:val="000000" w:themeColor="text1"/>
                                      </w:rPr>
                                      <w:t xml:space="preserve">     </w:t>
                                    </w:r>
                                  </w:sdtContent>
                                </w:sdt>
                                <w:r w:rsidRPr="00DD6882">
                                  <w:rPr>
                                    <w:rFonts w:ascii="Arial" w:hAnsi="Arial" w:cs="Arial"/>
                                    <w:color w:val="000000" w:themeColor="text1"/>
                                  </w:rPr>
                                  <w:t xml:space="preserve">MSc Public Health and Social Care in Practice Module: Population Health and Digital Health Promotion Module code: LCHS7009 Contribution to Lecturer: Diola </w:t>
                                </w:r>
                                <w:proofErr w:type="spellStart"/>
                                <w:r w:rsidRPr="00DD6882">
                                  <w:rPr>
                                    <w:rFonts w:ascii="Arial" w:hAnsi="Arial" w:cs="Arial"/>
                                    <w:color w:val="000000" w:themeColor="text1"/>
                                  </w:rPr>
                                  <w:t>Bijlhout</w:t>
                                </w:r>
                                <w:proofErr w:type="spellEnd"/>
                                <w:r w:rsidRPr="00DD6882">
                                  <w:rPr>
                                    <w:rFonts w:ascii="Arial" w:hAnsi="Arial" w:cs="Arial"/>
                                    <w:color w:val="000000" w:themeColor="text1"/>
                                  </w:rPr>
                                  <w:t xml:space="preserve">` Dr Ping Wu </w:t>
                                </w:r>
                              </w:p>
                              <w:p w14:paraId="633AF6E7" w14:textId="77777777" w:rsidR="00DD6882" w:rsidRPr="00DD6882" w:rsidRDefault="00DD6882" w:rsidP="00DD6882">
                                <w:pPr>
                                  <w:rPr>
                                    <w:rFonts w:ascii="Arial" w:hAnsi="Arial" w:cs="Arial"/>
                                    <w:color w:val="000000" w:themeColor="text1"/>
                                  </w:rPr>
                                </w:pPr>
                                <w:r w:rsidRPr="00DD6882">
                                  <w:rPr>
                                    <w:rFonts w:ascii="Arial" w:hAnsi="Arial" w:cs="Arial"/>
                                    <w:color w:val="000000" w:themeColor="text1"/>
                                  </w:rPr>
                                  <w:t xml:space="preserve"> Assignment Title: Component 2 Poster</w:t>
                                </w:r>
                              </w:p>
                              <w:p w14:paraId="75562D87" w14:textId="77777777" w:rsidR="00DD6882" w:rsidRPr="00DD6882" w:rsidRDefault="00DD6882" w:rsidP="00DD6882">
                                <w:pPr>
                                  <w:rPr>
                                    <w:rFonts w:ascii="Arial" w:hAnsi="Arial" w:cs="Arial"/>
                                    <w:color w:val="000000" w:themeColor="text1"/>
                                  </w:rPr>
                                </w:pPr>
                                <w:proofErr w:type="spellStart"/>
                                <w:r w:rsidRPr="00DD6882">
                                  <w:rPr>
                                    <w:rFonts w:ascii="Arial" w:hAnsi="Arial" w:cs="Arial"/>
                                    <w:color w:val="000000" w:themeColor="text1"/>
                                  </w:rPr>
                                  <w:t>CamAPS</w:t>
                                </w:r>
                                <w:proofErr w:type="spellEnd"/>
                                <w:r w:rsidRPr="00DD6882">
                                  <w:rPr>
                                    <w:rFonts w:ascii="Arial" w:hAnsi="Arial" w:cs="Arial"/>
                                    <w:color w:val="000000" w:themeColor="text1"/>
                                  </w:rPr>
                                  <w:t xml:space="preserve"> FX+: Promoting Healthy Ageing and Reducing Digital Health Inequalities Through Artificial Intelligence in Older Adults with Type 1 Diabetes</w:t>
                                </w:r>
                              </w:p>
                              <w:p w14:paraId="0F996622" w14:textId="77777777" w:rsidR="00436A03" w:rsidRPr="00DD6882" w:rsidRDefault="00436A03">
                                <w:pPr>
                                  <w:rPr>
                                    <w:rFonts w:ascii="Arial" w:hAnsi="Arial" w:cs="Arial"/>
                                    <w:color w:val="000000" w:themeColor="text1"/>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278F15"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2526F969" w14:textId="77777777" w:rsidR="00DD6882" w:rsidRPr="00DD6882" w:rsidRDefault="00DD6882" w:rsidP="00DD6882">
                          <w:pPr>
                            <w:rPr>
                              <w:rFonts w:ascii="Arial" w:hAnsi="Arial" w:cs="Arial"/>
                              <w:color w:val="000000" w:themeColor="text1"/>
                            </w:rPr>
                          </w:pPr>
                          <w:sdt>
                            <w:sdtPr>
                              <w:rPr>
                                <w:rFonts w:ascii="Arial" w:hAnsi="Arial" w:cs="Arial"/>
                                <w:color w:val="000000" w:themeColor="text1"/>
                              </w:rPr>
                              <w:alias w:val="Abstract"/>
                              <w:id w:val="8276291"/>
                              <w:showingPlcHdr/>
                              <w:dataBinding w:prefixMappings="xmlns:ns0='http://schemas.microsoft.com/office/2006/coverPageProps'" w:xpath="/ns0:CoverPageProperties[1]/ns0:Abstract[1]" w:storeItemID="{55AF091B-3C7A-41E3-B477-F2FDAA23CFDA}"/>
                              <w:text/>
                            </w:sdtPr>
                            <w:sdtContent>
                              <w:r w:rsidRPr="00DD6882">
                                <w:rPr>
                                  <w:rFonts w:ascii="Arial" w:hAnsi="Arial" w:cs="Arial"/>
                                  <w:color w:val="000000" w:themeColor="text1"/>
                                </w:rPr>
                                <w:t xml:space="preserve">     </w:t>
                              </w:r>
                            </w:sdtContent>
                          </w:sdt>
                          <w:r w:rsidRPr="00DD6882">
                            <w:rPr>
                              <w:rFonts w:ascii="Arial" w:hAnsi="Arial" w:cs="Arial"/>
                              <w:color w:val="000000" w:themeColor="text1"/>
                            </w:rPr>
                            <w:t xml:space="preserve">MSc Public Health and Social Care in Practice Module: Population Health and Digital Health Promotion Module code: LCHS7009 Contribution to Lecturer: Diola </w:t>
                          </w:r>
                          <w:proofErr w:type="spellStart"/>
                          <w:r w:rsidRPr="00DD6882">
                            <w:rPr>
                              <w:rFonts w:ascii="Arial" w:hAnsi="Arial" w:cs="Arial"/>
                              <w:color w:val="000000" w:themeColor="text1"/>
                            </w:rPr>
                            <w:t>Bijlhout</w:t>
                          </w:r>
                          <w:proofErr w:type="spellEnd"/>
                          <w:r w:rsidRPr="00DD6882">
                            <w:rPr>
                              <w:rFonts w:ascii="Arial" w:hAnsi="Arial" w:cs="Arial"/>
                              <w:color w:val="000000" w:themeColor="text1"/>
                            </w:rPr>
                            <w:t xml:space="preserve">` Dr Ping Wu </w:t>
                          </w:r>
                        </w:p>
                        <w:p w14:paraId="633AF6E7" w14:textId="77777777" w:rsidR="00DD6882" w:rsidRPr="00DD6882" w:rsidRDefault="00DD6882" w:rsidP="00DD6882">
                          <w:pPr>
                            <w:rPr>
                              <w:rFonts w:ascii="Arial" w:hAnsi="Arial" w:cs="Arial"/>
                              <w:color w:val="000000" w:themeColor="text1"/>
                            </w:rPr>
                          </w:pPr>
                          <w:r w:rsidRPr="00DD6882">
                            <w:rPr>
                              <w:rFonts w:ascii="Arial" w:hAnsi="Arial" w:cs="Arial"/>
                              <w:color w:val="000000" w:themeColor="text1"/>
                            </w:rPr>
                            <w:t xml:space="preserve"> Assignment Title: Component 2 Poster</w:t>
                          </w:r>
                        </w:p>
                        <w:p w14:paraId="75562D87" w14:textId="77777777" w:rsidR="00DD6882" w:rsidRPr="00DD6882" w:rsidRDefault="00DD6882" w:rsidP="00DD6882">
                          <w:pPr>
                            <w:rPr>
                              <w:rFonts w:ascii="Arial" w:hAnsi="Arial" w:cs="Arial"/>
                              <w:color w:val="000000" w:themeColor="text1"/>
                            </w:rPr>
                          </w:pPr>
                          <w:proofErr w:type="spellStart"/>
                          <w:r w:rsidRPr="00DD6882">
                            <w:rPr>
                              <w:rFonts w:ascii="Arial" w:hAnsi="Arial" w:cs="Arial"/>
                              <w:color w:val="000000" w:themeColor="text1"/>
                            </w:rPr>
                            <w:t>CamAPS</w:t>
                          </w:r>
                          <w:proofErr w:type="spellEnd"/>
                          <w:r w:rsidRPr="00DD6882">
                            <w:rPr>
                              <w:rFonts w:ascii="Arial" w:hAnsi="Arial" w:cs="Arial"/>
                              <w:color w:val="000000" w:themeColor="text1"/>
                            </w:rPr>
                            <w:t xml:space="preserve"> FX+: Promoting Healthy Ageing and Reducing Digital Health Inequalities Through Artificial Intelligence in Older Adults with Type 1 Diabetes</w:t>
                          </w:r>
                        </w:p>
                        <w:p w14:paraId="0F996622" w14:textId="77777777" w:rsidR="00436A03" w:rsidRPr="00DD6882" w:rsidRDefault="00436A03">
                          <w:pPr>
                            <w:rPr>
                              <w:rFonts w:ascii="Arial" w:hAnsi="Arial" w:cs="Arial"/>
                              <w:color w:val="000000" w:themeColor="text1"/>
                            </w:rP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13C0C4A" wp14:editId="17B03832">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69000</wp14:pctPosVOffset>
                        </wp:positionV>
                      </mc:Choice>
                      <mc:Fallback>
                        <wp:positionV relativeFrom="page">
                          <wp:posOffset>5216525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2D149DC"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00A44457" w14:textId="716166EE" w:rsidR="00436A03" w:rsidRDefault="00DD6882">
          <w:r>
            <w:rPr>
              <w:noProof/>
            </w:rPr>
            <mc:AlternateContent>
              <mc:Choice Requires="wps">
                <w:drawing>
                  <wp:anchor distT="0" distB="0" distL="114300" distR="114300" simplePos="0" relativeHeight="251661312" behindDoc="0" locked="0" layoutInCell="1" allowOverlap="1" wp14:anchorId="5E688A50" wp14:editId="250C9A4A">
                    <wp:simplePos x="0" y="0"/>
                    <wp:positionH relativeFrom="page">
                      <wp:posOffset>6660417</wp:posOffset>
                    </wp:positionH>
                    <wp:positionV relativeFrom="page">
                      <wp:posOffset>4139272</wp:posOffset>
                    </wp:positionV>
                    <wp:extent cx="2511669" cy="2475230"/>
                    <wp:effectExtent l="0" t="0" r="0" b="6350"/>
                    <wp:wrapSquare wrapText="bothSides"/>
                    <wp:docPr id="470" name="Text Box 265"/>
                    <wp:cNvGraphicFramePr/>
                    <a:graphic xmlns:a="http://schemas.openxmlformats.org/drawingml/2006/main">
                      <a:graphicData uri="http://schemas.microsoft.com/office/word/2010/wordprocessingShape">
                        <wps:wsp>
                          <wps:cNvSpPr txBox="1"/>
                          <wps:spPr>
                            <a:xfrm>
                              <a:off x="0" y="0"/>
                              <a:ext cx="2511669" cy="2475230"/>
                            </a:xfrm>
                            <a:prstGeom prst="rect">
                              <a:avLst/>
                            </a:prstGeom>
                            <a:noFill/>
                            <a:ln w="6350">
                              <a:noFill/>
                            </a:ln>
                            <a:effectLst/>
                          </wps:spPr>
                          <wps:txbx>
                            <w:txbxContent>
                              <w:p w14:paraId="76D74A63" w14:textId="77777777" w:rsidR="00DD6882" w:rsidRPr="00DD6882" w:rsidRDefault="00DD6882" w:rsidP="00DD6882">
                                <w:pPr>
                                  <w:rPr>
                                    <w:rFonts w:ascii="Arial" w:eastAsiaTheme="majorEastAsia" w:hAnsi="Arial" w:cs="Arial"/>
                                    <w:noProof/>
                                    <w:color w:val="FFFFFF" w:themeColor="background1"/>
                                    <w:szCs w:val="32"/>
                                  </w:rPr>
                                </w:pPr>
                                <w:r w:rsidRPr="00DD6882">
                                  <w:rPr>
                                    <w:rFonts w:ascii="Arial" w:eastAsiaTheme="majorEastAsia" w:hAnsi="Arial" w:cs="Arial"/>
                                    <w:noProof/>
                                    <w:color w:val="FFFFFF" w:themeColor="background1"/>
                                    <w:szCs w:val="32"/>
                                  </w:rPr>
                                  <w:t>Patience Edo</w:t>
                                </w:r>
                              </w:p>
                              <w:p w14:paraId="3C4DA0B7" w14:textId="77777777" w:rsidR="00DD6882" w:rsidRPr="00DD6882" w:rsidRDefault="00DD6882" w:rsidP="00DD6882">
                                <w:pPr>
                                  <w:rPr>
                                    <w:rFonts w:ascii="Arial" w:eastAsiaTheme="majorEastAsia" w:hAnsi="Arial" w:cs="Arial"/>
                                    <w:noProof/>
                                    <w:color w:val="FFFFFF" w:themeColor="background1"/>
                                    <w:szCs w:val="32"/>
                                  </w:rPr>
                                </w:pPr>
                                <w:r w:rsidRPr="00DD6882">
                                  <w:rPr>
                                    <w:rFonts w:ascii="Arial" w:eastAsiaTheme="majorEastAsia" w:hAnsi="Arial" w:cs="Arial"/>
                                    <w:noProof/>
                                    <w:color w:val="FFFFFF" w:themeColor="background1"/>
                                    <w:szCs w:val="32"/>
                                  </w:rPr>
                                  <w:t>Student ID: 2220883</w:t>
                                </w:r>
                              </w:p>
                              <w:p w14:paraId="0D868445" w14:textId="1A3AD046" w:rsidR="00384CBD" w:rsidRPr="00616FE5" w:rsidRDefault="00384CBD">
                                <w:pPr>
                                  <w:rPr>
                                    <w:rFonts w:ascii="Arial" w:eastAsiaTheme="majorEastAsia" w:hAnsi="Arial" w:cs="Arial"/>
                                    <w:noProof/>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5E688A50" id="_x0000_t202" coordsize="21600,21600" o:spt="202" path="m,l,21600r21600,l21600,xe">
                    <v:stroke joinstyle="miter"/>
                    <v:path gradientshapeok="t" o:connecttype="rect"/>
                  </v:shapetype>
                  <v:shape id="Text Box 265" o:spid="_x0000_s1027" type="#_x0000_t202" style="position:absolute;margin-left:524.45pt;margin-top:325.95pt;width:197.7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" filled="f" stroked="f" strokeweight=".5pt">
                    <v:textbox style="mso-fit-shape-to-text:t">
                      <w:txbxContent>
                        <w:p w14:paraId="76D74A63" w14:textId="77777777" w:rsidR="00DD6882" w:rsidRPr="00DD6882" w:rsidRDefault="00DD6882" w:rsidP="00DD6882">
                          <w:pPr>
                            <w:rPr>
                              <w:rFonts w:ascii="Arial" w:eastAsiaTheme="majorEastAsia" w:hAnsi="Arial" w:cs="Arial"/>
                              <w:noProof/>
                              <w:color w:val="FFFFFF" w:themeColor="background1"/>
                              <w:szCs w:val="32"/>
                            </w:rPr>
                          </w:pPr>
                          <w:r w:rsidRPr="00DD6882">
                            <w:rPr>
                              <w:rFonts w:ascii="Arial" w:eastAsiaTheme="majorEastAsia" w:hAnsi="Arial" w:cs="Arial"/>
                              <w:noProof/>
                              <w:color w:val="FFFFFF" w:themeColor="background1"/>
                              <w:szCs w:val="32"/>
                            </w:rPr>
                            <w:t>Patience Edo</w:t>
                          </w:r>
                        </w:p>
                        <w:p w14:paraId="3C4DA0B7" w14:textId="77777777" w:rsidR="00DD6882" w:rsidRPr="00DD6882" w:rsidRDefault="00DD6882" w:rsidP="00DD6882">
                          <w:pPr>
                            <w:rPr>
                              <w:rFonts w:ascii="Arial" w:eastAsiaTheme="majorEastAsia" w:hAnsi="Arial" w:cs="Arial"/>
                              <w:noProof/>
                              <w:color w:val="FFFFFF" w:themeColor="background1"/>
                              <w:szCs w:val="32"/>
                            </w:rPr>
                          </w:pPr>
                          <w:r w:rsidRPr="00DD6882">
                            <w:rPr>
                              <w:rFonts w:ascii="Arial" w:eastAsiaTheme="majorEastAsia" w:hAnsi="Arial" w:cs="Arial"/>
                              <w:noProof/>
                              <w:color w:val="FFFFFF" w:themeColor="background1"/>
                              <w:szCs w:val="32"/>
                            </w:rPr>
                            <w:t>Student ID: 2220883</w:t>
                          </w:r>
                        </w:p>
                        <w:p w14:paraId="0D868445" w14:textId="1A3AD046" w:rsidR="00384CBD" w:rsidRPr="00616FE5" w:rsidRDefault="00384CBD">
                          <w:pPr>
                            <w:rPr>
                              <w:rFonts w:ascii="Arial" w:eastAsiaTheme="majorEastAsia" w:hAnsi="Arial" w:cs="Arial"/>
                              <w:noProof/>
                              <w:sz w:val="32"/>
                              <w:szCs w:val="40"/>
                            </w:rPr>
                          </w:pPr>
                        </w:p>
                      </w:txbxContent>
                    </v:textbox>
                    <w10:wrap type="square" anchorx="page" anchory="page"/>
                  </v:shape>
                </w:pict>
              </mc:Fallback>
            </mc:AlternateContent>
          </w:r>
          <w:r w:rsidR="00436A03">
            <w:br w:type="page"/>
          </w:r>
        </w:p>
      </w:sdtContent>
    </w:sdt>
    <w:p w14:paraId="49BBEEC1" w14:textId="189CE3E0" w:rsidR="00436A03" w:rsidRDefault="00436A03"/>
    <w:tbl>
      <w:tblPr>
        <w:tblW w:w="5436"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Pr>
      <w:tblGrid>
        <w:gridCol w:w="1980"/>
        <w:gridCol w:w="425"/>
        <w:gridCol w:w="4820"/>
        <w:gridCol w:w="283"/>
        <w:gridCol w:w="7656"/>
      </w:tblGrid>
      <w:tr w:rsidR="002E7D22" w:rsidRPr="001658A3" w14:paraId="62050831" w14:textId="77777777" w:rsidTr="00E7097D">
        <w:trPr>
          <w:trHeight w:val="2393"/>
          <w:jc w:val="center"/>
        </w:trPr>
        <w:tc>
          <w:tcPr>
            <w:tcW w:w="1980" w:type="dxa"/>
          </w:tcPr>
          <w:p w14:paraId="44E776F0" w14:textId="5AF975E9" w:rsidR="002E7D22" w:rsidRPr="001658A3" w:rsidRDefault="002E7D22" w:rsidP="002E7D22">
            <w:pPr>
              <w:rPr>
                <w:rFonts w:ascii="Arial" w:hAnsi="Arial" w:cs="Arial"/>
              </w:rPr>
            </w:pPr>
            <w:r w:rsidRPr="001658A3">
              <w:rPr>
                <w:rFonts w:ascii="Arial" w:hAnsi="Arial" w:cs="Arial"/>
              </w:rPr>
              <w:drawing>
                <wp:inline distT="0" distB="0" distL="0" distR="0" wp14:anchorId="2F2D6328" wp14:editId="7B41C481">
                  <wp:extent cx="1494927" cy="954156"/>
                  <wp:effectExtent l="0" t="0" r="0" b="0"/>
                  <wp:docPr id="953643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643593" name=""/>
                          <pic:cNvPicPr/>
                        </pic:nvPicPr>
                        <pic:blipFill>
                          <a:blip r:embed="rId6"/>
                          <a:stretch>
                            <a:fillRect/>
                          </a:stretch>
                        </pic:blipFill>
                        <pic:spPr>
                          <a:xfrm>
                            <a:off x="0" y="0"/>
                            <a:ext cx="1506770" cy="961715"/>
                          </a:xfrm>
                          <a:prstGeom prst="rect">
                            <a:avLst/>
                          </a:prstGeom>
                        </pic:spPr>
                      </pic:pic>
                    </a:graphicData>
                  </a:graphic>
                </wp:inline>
              </w:drawing>
            </w:r>
          </w:p>
          <w:p w14:paraId="0DB7A6EA" w14:textId="0B0E7692" w:rsidR="002E7D22" w:rsidRPr="001658A3" w:rsidRDefault="002E7D22" w:rsidP="002E7D22">
            <w:pPr>
              <w:rPr>
                <w:rFonts w:ascii="Arial" w:hAnsi="Arial" w:cs="Arial"/>
                <w:b/>
                <w:bCs/>
              </w:rPr>
            </w:pPr>
            <w:r w:rsidRPr="001658A3">
              <w:rPr>
                <w:rFonts w:ascii="Arial" w:hAnsi="Arial" w:cs="Arial"/>
                <w:b/>
                <w:bCs/>
              </w:rPr>
              <w:t>Aim:</w:t>
            </w:r>
          </w:p>
          <w:p w14:paraId="598B104F" w14:textId="77777777" w:rsidR="002E7D22" w:rsidRPr="001658A3" w:rsidRDefault="002E7D22" w:rsidP="002E7D22">
            <w:pPr>
              <w:rPr>
                <w:rFonts w:ascii="Arial" w:hAnsi="Arial" w:cs="Arial"/>
              </w:rPr>
            </w:pPr>
            <w:r w:rsidRPr="001658A3">
              <w:rPr>
                <w:rFonts w:ascii="Arial" w:hAnsi="Arial" w:cs="Arial"/>
              </w:rPr>
              <w:t xml:space="preserve">This poster critically evaluates how an improved </w:t>
            </w:r>
            <w:proofErr w:type="spellStart"/>
            <w:r w:rsidRPr="001658A3">
              <w:rPr>
                <w:rFonts w:ascii="Arial" w:hAnsi="Arial" w:cs="Arial"/>
              </w:rPr>
              <w:t>CamAPS</w:t>
            </w:r>
            <w:proofErr w:type="spellEnd"/>
            <w:r w:rsidRPr="001658A3">
              <w:rPr>
                <w:rFonts w:ascii="Arial" w:hAnsi="Arial" w:cs="Arial"/>
              </w:rPr>
              <w:t xml:space="preserve"> FX hybrid closed-loop system (</w:t>
            </w:r>
            <w:proofErr w:type="spellStart"/>
            <w:r w:rsidRPr="001658A3">
              <w:rPr>
                <w:rFonts w:ascii="Arial" w:hAnsi="Arial" w:cs="Arial"/>
              </w:rPr>
              <w:t>CamAPS</w:t>
            </w:r>
            <w:proofErr w:type="spellEnd"/>
            <w:r w:rsidRPr="001658A3">
              <w:rPr>
                <w:rFonts w:ascii="Arial" w:hAnsi="Arial" w:cs="Arial"/>
              </w:rPr>
              <w:t xml:space="preserve"> FX+) could combine automated insulin delivery with health promotion, behaviour-change support and inclusive digital design to enhance diabetes self-</w:t>
            </w:r>
            <w:r w:rsidRPr="001658A3">
              <w:rPr>
                <w:rFonts w:ascii="Arial" w:hAnsi="Arial" w:cs="Arial"/>
              </w:rPr>
              <w:lastRenderedPageBreak/>
              <w:t>management, promote healthy ageing and reduce digital health inequalities among older adults living with Type 1 diabetes.</w:t>
            </w:r>
          </w:p>
          <w:p w14:paraId="46FD9478" w14:textId="77777777" w:rsidR="002E7D22" w:rsidRPr="001658A3" w:rsidRDefault="002E7D22" w:rsidP="002E7D22">
            <w:pPr>
              <w:rPr>
                <w:rFonts w:ascii="Arial" w:hAnsi="Arial" w:cs="Arial"/>
              </w:rPr>
            </w:pPr>
          </w:p>
          <w:p w14:paraId="09359D68" w14:textId="77777777" w:rsidR="002E7D22" w:rsidRPr="001658A3" w:rsidRDefault="002E7D22" w:rsidP="002E7D22">
            <w:pPr>
              <w:rPr>
                <w:rFonts w:ascii="Arial" w:hAnsi="Arial" w:cs="Arial"/>
              </w:rPr>
            </w:pPr>
          </w:p>
          <w:p w14:paraId="115D33AB" w14:textId="6A4DD6BE" w:rsidR="002E7D22" w:rsidRPr="001658A3" w:rsidRDefault="002E7D22" w:rsidP="002E7D22">
            <w:pPr>
              <w:rPr>
                <w:rFonts w:ascii="Arial" w:hAnsi="Arial" w:cs="Arial"/>
              </w:rPr>
            </w:pPr>
          </w:p>
        </w:tc>
        <w:tc>
          <w:tcPr>
            <w:tcW w:w="425" w:type="dxa"/>
          </w:tcPr>
          <w:p w14:paraId="3F93D2F4" w14:textId="77777777" w:rsidR="002E7D22" w:rsidRPr="001658A3" w:rsidRDefault="002E7D22" w:rsidP="002E7D22">
            <w:pPr>
              <w:rPr>
                <w:rFonts w:ascii="Arial" w:hAnsi="Arial" w:cs="Arial"/>
              </w:rPr>
            </w:pPr>
          </w:p>
        </w:tc>
        <w:tc>
          <w:tcPr>
            <w:tcW w:w="4820" w:type="dxa"/>
          </w:tcPr>
          <w:p w14:paraId="325E067E" w14:textId="77777777" w:rsidR="002E7D22" w:rsidRPr="001658A3" w:rsidRDefault="002E7D22" w:rsidP="002E7D22">
            <w:pPr>
              <w:rPr>
                <w:rFonts w:ascii="Arial" w:hAnsi="Arial" w:cs="Arial"/>
              </w:rPr>
            </w:pPr>
            <w:r w:rsidRPr="001658A3">
              <w:rPr>
                <w:rFonts w:ascii="Arial" w:hAnsi="Arial" w:cs="Arial"/>
                <w:b/>
                <w:bCs/>
              </w:rPr>
              <w:t>Background</w:t>
            </w:r>
            <w:r w:rsidRPr="001658A3">
              <w:rPr>
                <w:rFonts w:ascii="Arial" w:hAnsi="Arial" w:cs="Arial"/>
              </w:rPr>
              <w:t>:</w:t>
            </w:r>
          </w:p>
          <w:p w14:paraId="1A988179" w14:textId="77777777" w:rsidR="00CF01A0" w:rsidRPr="001658A3" w:rsidRDefault="002E7D22" w:rsidP="002E7D22">
            <w:pPr>
              <w:rPr>
                <w:rFonts w:ascii="Arial" w:hAnsi="Arial" w:cs="Arial"/>
              </w:rPr>
            </w:pPr>
            <w:r w:rsidRPr="001658A3">
              <w:rPr>
                <w:rFonts w:ascii="Arial" w:hAnsi="Arial" w:cs="Arial"/>
              </w:rPr>
              <w:t xml:space="preserve">Type 1 diabetes (T1D) is a lifelong autoimmune disease with loss of pancreatic β-cells and therefore absolute insulin deficiency and lifelong dependence on insulin therapy (NICE, 2022; American Diabetes Association, 2024). Although T1D was associated with childhood, advances in survival have led to a growing number of people living in older age with T1D (Tomic et al., 2025; Yang </w:t>
            </w:r>
            <w:r w:rsidRPr="001658A3">
              <w:rPr>
                <w:rFonts w:ascii="Arial" w:hAnsi="Arial" w:cs="Arial"/>
                <w:i/>
                <w:iCs/>
              </w:rPr>
              <w:t>et al.,</w:t>
            </w:r>
            <w:r w:rsidRPr="001658A3">
              <w:rPr>
                <w:rFonts w:ascii="Arial" w:hAnsi="Arial" w:cs="Arial"/>
              </w:rPr>
              <w:t xml:space="preserve"> 2024).</w:t>
            </w:r>
          </w:p>
          <w:p w14:paraId="5C2BEF15" w14:textId="5A200CD1" w:rsidR="002E7D22" w:rsidRPr="001658A3" w:rsidRDefault="002E7D22" w:rsidP="002E7D22">
            <w:pPr>
              <w:rPr>
                <w:rFonts w:ascii="Arial" w:hAnsi="Arial" w:cs="Arial"/>
              </w:rPr>
            </w:pPr>
            <w:r w:rsidRPr="001658A3">
              <w:rPr>
                <w:rFonts w:ascii="Arial" w:hAnsi="Arial" w:cs="Arial"/>
              </w:rPr>
              <w:t xml:space="preserve"> The 11th International Diabetes Federation (IDF) Diabetes Atlas estimates that 8.9 million people globally were living with T1D in 2024, which will increase to 12.3 million by 2050 and approximately 1.2 million adults aged ≥65 years were living with T1D in 2021 (</w:t>
            </w:r>
            <w:proofErr w:type="spellStart"/>
            <w:r w:rsidRPr="001658A3">
              <w:rPr>
                <w:rFonts w:ascii="Arial" w:hAnsi="Arial" w:cs="Arial"/>
              </w:rPr>
              <w:t>Genitsaridi</w:t>
            </w:r>
            <w:proofErr w:type="spellEnd"/>
            <w:r w:rsidRPr="001658A3">
              <w:rPr>
                <w:rFonts w:ascii="Arial" w:hAnsi="Arial" w:cs="Arial"/>
              </w:rPr>
              <w:t xml:space="preserve"> et al., 2025; Yang </w:t>
            </w:r>
            <w:r w:rsidRPr="001658A3">
              <w:rPr>
                <w:rFonts w:ascii="Arial" w:hAnsi="Arial" w:cs="Arial"/>
                <w:i/>
                <w:iCs/>
              </w:rPr>
              <w:t>et al</w:t>
            </w:r>
            <w:r w:rsidRPr="001658A3">
              <w:rPr>
                <w:rFonts w:ascii="Arial" w:hAnsi="Arial" w:cs="Arial"/>
              </w:rPr>
              <w:t xml:space="preserve">., 2024). Older people are at increasing risk for severe hypoglycaemia, cardiovascular disease, chronic kidney disease, visual impairment, frailty, cognitive decline and diabetes distress, and it has become more challenging to </w:t>
            </w:r>
            <w:r w:rsidRPr="001658A3">
              <w:rPr>
                <w:rFonts w:ascii="Arial" w:hAnsi="Arial" w:cs="Arial"/>
              </w:rPr>
              <w:lastRenderedPageBreak/>
              <w:t>manage their daily life (Huang et al., 2023; Maltese et al., 2024; Tomic et al., 2025).</w:t>
            </w:r>
          </w:p>
          <w:p w14:paraId="3DC0924B" w14:textId="4D472493" w:rsidR="002E7D22" w:rsidRPr="001658A3" w:rsidRDefault="002E7D22" w:rsidP="002E7D22">
            <w:pPr>
              <w:rPr>
                <w:rFonts w:ascii="Arial" w:hAnsi="Arial" w:cs="Arial"/>
              </w:rPr>
            </w:pPr>
            <w:r w:rsidRPr="001658A3">
              <w:rPr>
                <w:rFonts w:ascii="Arial" w:hAnsi="Arial" w:cs="Arial"/>
              </w:rPr>
              <w:t xml:space="preserve">Conventional management has been based on finger-prick glucose monitoring, multiple daily insulin injections, and structured diabetes education. More recently, continuous glucose monitoring (CGM), insulin pumps and hybrid closed loop (HCL) systems have made an impact on glucose control and treatment burden (NICE, 2023; NHS England, 2024; Sherr et al., 2022). </w:t>
            </w:r>
            <w:proofErr w:type="spellStart"/>
            <w:r w:rsidRPr="001658A3">
              <w:rPr>
                <w:rFonts w:ascii="Arial" w:hAnsi="Arial" w:cs="Arial"/>
              </w:rPr>
              <w:t>CamAPS</w:t>
            </w:r>
            <w:proofErr w:type="spellEnd"/>
            <w:r w:rsidRPr="001658A3">
              <w:rPr>
                <w:rFonts w:ascii="Arial" w:hAnsi="Arial" w:cs="Arial"/>
              </w:rPr>
              <w:t xml:space="preserve"> FX is an NHS-approved HCL system that uses a CGM sensor, adaptive algorithm and insulin pump to automate insulin delivery. This poster proposes </w:t>
            </w:r>
            <w:proofErr w:type="spellStart"/>
            <w:r w:rsidRPr="001658A3">
              <w:rPr>
                <w:rFonts w:ascii="Arial" w:hAnsi="Arial" w:cs="Arial"/>
              </w:rPr>
              <w:t>CamAPS</w:t>
            </w:r>
            <w:proofErr w:type="spellEnd"/>
            <w:r w:rsidRPr="001658A3">
              <w:rPr>
                <w:rFonts w:ascii="Arial" w:hAnsi="Arial" w:cs="Arial"/>
              </w:rPr>
              <w:t xml:space="preserve"> FX+, a new version that integrates health promotion, behaviour change support and accessible digital design to address the wider needs of older adults.</w:t>
            </w:r>
          </w:p>
          <w:p w14:paraId="447BF46B" w14:textId="4D3D24FB" w:rsidR="002E7D22" w:rsidRPr="001658A3" w:rsidRDefault="002E7D22" w:rsidP="002E7D22">
            <w:pPr>
              <w:rPr>
                <w:rFonts w:ascii="Arial" w:hAnsi="Arial" w:cs="Arial"/>
                <w:b/>
                <w:bCs/>
              </w:rPr>
            </w:pPr>
            <w:r w:rsidRPr="001658A3">
              <w:rPr>
                <w:rFonts w:ascii="Arial" w:hAnsi="Arial" w:cs="Arial"/>
                <w:b/>
                <w:bCs/>
              </w:rPr>
              <w:t xml:space="preserve">Why </w:t>
            </w:r>
            <w:proofErr w:type="spellStart"/>
            <w:r w:rsidRPr="001658A3">
              <w:rPr>
                <w:rFonts w:ascii="Arial" w:hAnsi="Arial" w:cs="Arial"/>
                <w:b/>
                <w:bCs/>
              </w:rPr>
              <w:t>CamAPS</w:t>
            </w:r>
            <w:proofErr w:type="spellEnd"/>
            <w:r w:rsidRPr="001658A3">
              <w:rPr>
                <w:rFonts w:ascii="Arial" w:hAnsi="Arial" w:cs="Arial"/>
                <w:b/>
                <w:bCs/>
              </w:rPr>
              <w:t xml:space="preserve"> FX+? </w:t>
            </w:r>
            <w:r w:rsidRPr="001658A3">
              <w:rPr>
                <w:rFonts w:ascii="Arial" w:hAnsi="Arial" w:cs="Arial"/>
                <w:b/>
                <w:bCs/>
              </w:rPr>
              <w:t>:</w:t>
            </w:r>
          </w:p>
          <w:p w14:paraId="2DC329E9" w14:textId="77777777" w:rsidR="0047666A" w:rsidRPr="001658A3" w:rsidRDefault="0047666A" w:rsidP="0047666A">
            <w:pPr>
              <w:rPr>
                <w:rFonts w:ascii="Arial" w:hAnsi="Arial" w:cs="Arial"/>
              </w:rPr>
            </w:pPr>
            <w:r w:rsidRPr="001658A3">
              <w:rPr>
                <w:rFonts w:ascii="Arial" w:hAnsi="Arial" w:cs="Arial"/>
              </w:rPr>
              <w:t xml:space="preserve">Hybrid closed loop (HCL) systems are primarily designed to manage glycaemic control. However, many older adults with Type 1 diabetes experience age-related barriers including reduced vision, cognitive </w:t>
            </w:r>
            <w:r w:rsidRPr="001658A3">
              <w:rPr>
                <w:rFonts w:ascii="Arial" w:hAnsi="Arial" w:cs="Arial"/>
              </w:rPr>
              <w:lastRenderedPageBreak/>
              <w:t>decline, impaired manual dexterity, limited digital confidence and lower health literacy which cannot be overcome by automated insulin delivery alone (</w:t>
            </w:r>
            <w:proofErr w:type="spellStart"/>
            <w:r w:rsidRPr="001658A3">
              <w:rPr>
                <w:rFonts w:ascii="Arial" w:hAnsi="Arial" w:cs="Arial"/>
              </w:rPr>
              <w:t>Wildenbos</w:t>
            </w:r>
            <w:proofErr w:type="spellEnd"/>
            <w:r w:rsidRPr="001658A3">
              <w:rPr>
                <w:rFonts w:ascii="Arial" w:hAnsi="Arial" w:cs="Arial"/>
              </w:rPr>
              <w:t xml:space="preserve"> et al., 2018; Moody et al., 2022; Thomas et al., 2024).</w:t>
            </w:r>
          </w:p>
          <w:p w14:paraId="5199807A" w14:textId="31DA77AF" w:rsidR="0047666A" w:rsidRPr="001658A3" w:rsidRDefault="0047666A" w:rsidP="0047666A">
            <w:pPr>
              <w:rPr>
                <w:rFonts w:ascii="Arial" w:hAnsi="Arial" w:cs="Arial"/>
              </w:rPr>
            </w:pPr>
            <w:r w:rsidRPr="001658A3">
              <w:rPr>
                <w:rFonts w:ascii="Arial" w:hAnsi="Arial" w:cs="Arial"/>
              </w:rPr>
              <w:t xml:space="preserve">The proposed </w:t>
            </w:r>
            <w:proofErr w:type="spellStart"/>
            <w:r w:rsidRPr="001658A3">
              <w:rPr>
                <w:rFonts w:ascii="Arial" w:hAnsi="Arial" w:cs="Arial"/>
              </w:rPr>
              <w:t>CamAPS</w:t>
            </w:r>
            <w:proofErr w:type="spellEnd"/>
            <w:r w:rsidRPr="001658A3">
              <w:rPr>
                <w:rFonts w:ascii="Arial" w:hAnsi="Arial" w:cs="Arial"/>
              </w:rPr>
              <w:t xml:space="preserve"> FX+ system is based on the existing </w:t>
            </w:r>
            <w:proofErr w:type="spellStart"/>
            <w:r w:rsidRPr="001658A3">
              <w:rPr>
                <w:rFonts w:ascii="Arial" w:hAnsi="Arial" w:cs="Arial"/>
              </w:rPr>
              <w:t>CamAPS</w:t>
            </w:r>
            <w:proofErr w:type="spellEnd"/>
            <w:r w:rsidRPr="001658A3">
              <w:rPr>
                <w:rFonts w:ascii="Arial" w:hAnsi="Arial" w:cs="Arial"/>
              </w:rPr>
              <w:t xml:space="preserve"> FX system and features evidence-based health promotion and accessibility features, including voice-guided navigation, large text display options, medication and appointment reminders, AI-enabled lifestyle coaching, interactive diabetes education, multilingual support, and family or carer connectivity. </w:t>
            </w:r>
            <w:r w:rsidRPr="001658A3">
              <w:rPr>
                <w:rFonts w:ascii="Arial" w:hAnsi="Arial" w:cs="Arial"/>
              </w:rPr>
              <w:drawing>
                <wp:inline distT="0" distB="0" distL="0" distR="0" wp14:anchorId="252E42E0" wp14:editId="73CEACEF">
                  <wp:extent cx="2458916" cy="1639754"/>
                  <wp:effectExtent l="0" t="0" r="0" b="0"/>
                  <wp:docPr id="68707508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68604" cy="1646215"/>
                          </a:xfrm>
                          <a:prstGeom prst="rect">
                            <a:avLst/>
                          </a:prstGeom>
                          <a:noFill/>
                          <a:ln>
                            <a:noFill/>
                          </a:ln>
                        </pic:spPr>
                      </pic:pic>
                    </a:graphicData>
                  </a:graphic>
                </wp:inline>
              </w:drawing>
            </w:r>
          </w:p>
          <w:p w14:paraId="59817692" w14:textId="1944FD3B" w:rsidR="0047666A" w:rsidRPr="001658A3" w:rsidRDefault="0047666A" w:rsidP="0047666A">
            <w:pPr>
              <w:rPr>
                <w:rFonts w:ascii="Arial" w:hAnsi="Arial" w:cs="Arial"/>
              </w:rPr>
            </w:pPr>
            <w:r w:rsidRPr="001658A3">
              <w:rPr>
                <w:rFonts w:ascii="Arial" w:hAnsi="Arial" w:cs="Arial"/>
              </w:rPr>
              <w:t xml:space="preserve">These features are intended to complement existing hybrid closed-loop </w:t>
            </w:r>
            <w:r w:rsidRPr="001658A3">
              <w:rPr>
                <w:rFonts w:ascii="Arial" w:hAnsi="Arial" w:cs="Arial"/>
              </w:rPr>
              <w:lastRenderedPageBreak/>
              <w:t xml:space="preserve">technology in the sense they enhance usability, support self-management and promote digital inclusion. By integrating behaviour change strategies and person-centred care, </w:t>
            </w:r>
            <w:proofErr w:type="spellStart"/>
            <w:r w:rsidRPr="001658A3">
              <w:rPr>
                <w:rFonts w:ascii="Arial" w:hAnsi="Arial" w:cs="Arial"/>
              </w:rPr>
              <w:t>CamAPS</w:t>
            </w:r>
            <w:proofErr w:type="spellEnd"/>
            <w:r w:rsidRPr="001658A3">
              <w:rPr>
                <w:rFonts w:ascii="Arial" w:hAnsi="Arial" w:cs="Arial"/>
              </w:rPr>
              <w:t xml:space="preserve"> FX+ aims to enhance the focus beyond glycaemic management towards prevention, patient empowerment, healthy ageing and the reduction of digital health inequalities.</w:t>
            </w:r>
          </w:p>
          <w:p w14:paraId="419BA31B" w14:textId="03F5E701" w:rsidR="004231ED" w:rsidRPr="001658A3" w:rsidRDefault="004231ED" w:rsidP="004231ED">
            <w:pPr>
              <w:rPr>
                <w:rFonts w:ascii="Arial" w:hAnsi="Arial" w:cs="Arial"/>
                <w:b/>
                <w:bCs/>
              </w:rPr>
            </w:pPr>
            <w:r w:rsidRPr="001658A3">
              <w:rPr>
                <w:rFonts w:ascii="Arial" w:hAnsi="Arial" w:cs="Arial"/>
                <w:b/>
                <w:bCs/>
              </w:rPr>
              <w:t xml:space="preserve">Health Promotion Values and Principles </w:t>
            </w:r>
          </w:p>
          <w:p w14:paraId="5BA95246" w14:textId="228DA350" w:rsidR="001C5170" w:rsidRPr="001658A3" w:rsidRDefault="00F03C2A" w:rsidP="001C5170">
            <w:pPr>
              <w:rPr>
                <w:rFonts w:ascii="Arial" w:hAnsi="Arial" w:cs="Arial"/>
              </w:rPr>
            </w:pPr>
            <w:r w:rsidRPr="001658A3">
              <w:rPr>
                <w:rFonts w:ascii="Arial" w:hAnsi="Arial" w:cs="Arial"/>
              </w:rPr>
              <w:drawing>
                <wp:anchor distT="0" distB="0" distL="114300" distR="114300" simplePos="0" relativeHeight="251678720" behindDoc="0" locked="0" layoutInCell="1" allowOverlap="1" wp14:anchorId="2FF1D4D0" wp14:editId="6FCAA803">
                  <wp:simplePos x="0" y="0"/>
                  <wp:positionH relativeFrom="column">
                    <wp:posOffset>-69602</wp:posOffset>
                  </wp:positionH>
                  <wp:positionV relativeFrom="page">
                    <wp:posOffset>4129350</wp:posOffset>
                  </wp:positionV>
                  <wp:extent cx="2178050" cy="1548765"/>
                  <wp:effectExtent l="0" t="0" r="0" b="0"/>
                  <wp:wrapTopAndBottom/>
                  <wp:docPr id="1452514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72473" t="-1855" b="60477"/>
                          <a:stretch>
                            <a:fillRect/>
                          </a:stretch>
                        </pic:blipFill>
                        <pic:spPr bwMode="auto">
                          <a:xfrm>
                            <a:off x="0" y="0"/>
                            <a:ext cx="2178050" cy="15487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5170" w:rsidRPr="001658A3">
              <w:rPr>
                <w:rFonts w:ascii="Arial" w:hAnsi="Arial" w:cs="Arial"/>
              </w:rPr>
              <w:t xml:space="preserve">Health promotion is the process of enabling people to increase control over the determinants of their health through empowerment, participation, equity and prevention (WHO, 1986; WHO, 2025). </w:t>
            </w:r>
            <w:proofErr w:type="spellStart"/>
            <w:r w:rsidR="001C5170" w:rsidRPr="001658A3">
              <w:rPr>
                <w:rFonts w:ascii="Arial" w:hAnsi="Arial" w:cs="Arial"/>
              </w:rPr>
              <w:t>CamAPS</w:t>
            </w:r>
            <w:proofErr w:type="spellEnd"/>
            <w:r w:rsidR="001C5170" w:rsidRPr="001658A3">
              <w:rPr>
                <w:rFonts w:ascii="Arial" w:hAnsi="Arial" w:cs="Arial"/>
              </w:rPr>
              <w:t xml:space="preserve"> FX+ is a digital health promotion tool based on these values as it makes automated insulin delivery a part of the health promotion process.</w:t>
            </w:r>
          </w:p>
          <w:p w14:paraId="79DE8BDE" w14:textId="151596C0" w:rsidR="0046051D" w:rsidRPr="001658A3" w:rsidRDefault="00EA5899" w:rsidP="0046051D">
            <w:pPr>
              <w:rPr>
                <w:rFonts w:ascii="Arial" w:hAnsi="Arial" w:cs="Arial"/>
              </w:rPr>
            </w:pPr>
            <w:r w:rsidRPr="001658A3">
              <w:rPr>
                <w:rFonts w:ascii="Arial" w:hAnsi="Arial" w:cs="Arial"/>
              </w:rPr>
              <w:lastRenderedPageBreak/>
              <w:t>Interactive education, AI-backed coaching and multilingual content and large-text accessibility build a supportive environment for older adults</w:t>
            </w:r>
            <w:r w:rsidR="0046051D" w:rsidRPr="001658A3">
              <w:rPr>
                <w:rFonts w:ascii="Arial" w:hAnsi="Arial" w:cs="Arial"/>
              </w:rPr>
              <w:t xml:space="preserve">. </w:t>
            </w:r>
            <w:r w:rsidR="0046051D" w:rsidRPr="001658A3">
              <w:rPr>
                <w:rFonts w:ascii="Arial" w:hAnsi="Arial" w:cs="Arial"/>
              </w:rPr>
              <w:t xml:space="preserve">Optional family monitoring encourages shared care and participation and integration with NHS diabetes services supports a shift in the way health services are being delivered towards proactive, person-centred care. </w:t>
            </w:r>
          </w:p>
          <w:p w14:paraId="69A8AB0C" w14:textId="77777777" w:rsidR="0046051D" w:rsidRPr="001658A3" w:rsidRDefault="0046051D" w:rsidP="0046051D">
            <w:pPr>
              <w:rPr>
                <w:rFonts w:ascii="Arial" w:hAnsi="Arial" w:cs="Arial"/>
              </w:rPr>
            </w:pPr>
            <w:r w:rsidRPr="001658A3">
              <w:rPr>
                <w:rFonts w:ascii="Arial" w:hAnsi="Arial" w:cs="Arial"/>
              </w:rPr>
              <w:t>Equitable implementation, co-production with older adults and ongoing face-to-face support are necessary for digital innovation to reduce and not exacerbate health inequalities (Good Things Foundation, 2025; King's Fund, 2025; NHS England, 2025).</w:t>
            </w:r>
          </w:p>
          <w:p w14:paraId="35B8F7C8" w14:textId="00EBE503" w:rsidR="00F736AA" w:rsidRPr="001658A3" w:rsidRDefault="00F736AA" w:rsidP="00F736AA">
            <w:pPr>
              <w:rPr>
                <w:rFonts w:ascii="Arial" w:hAnsi="Arial" w:cs="Arial"/>
                <w:b/>
                <w:bCs/>
              </w:rPr>
            </w:pPr>
            <w:r w:rsidRPr="001658A3">
              <w:rPr>
                <w:rFonts w:ascii="Arial" w:hAnsi="Arial" w:cs="Arial"/>
                <w:b/>
                <w:bCs/>
              </w:rPr>
              <w:t xml:space="preserve">Behavioural Change Theory </w:t>
            </w:r>
          </w:p>
          <w:p w14:paraId="59697E93" w14:textId="3AD7F009" w:rsidR="00F736AA" w:rsidRPr="001658A3" w:rsidRDefault="00F736AA" w:rsidP="00F736AA">
            <w:pPr>
              <w:rPr>
                <w:rFonts w:ascii="Arial" w:hAnsi="Arial" w:cs="Arial"/>
              </w:rPr>
            </w:pPr>
            <w:r w:rsidRPr="001658A3">
              <w:rPr>
                <w:rFonts w:ascii="Arial" w:hAnsi="Arial" w:cs="Arial"/>
              </w:rPr>
              <w:t xml:space="preserve">Social Cognitive Theory (Bandura, 1986) is the right framework to understand how </w:t>
            </w:r>
            <w:proofErr w:type="spellStart"/>
            <w:r w:rsidRPr="001658A3">
              <w:rPr>
                <w:rFonts w:ascii="Arial" w:hAnsi="Arial" w:cs="Arial"/>
              </w:rPr>
              <w:t>CamAPS</w:t>
            </w:r>
            <w:proofErr w:type="spellEnd"/>
            <w:r w:rsidRPr="001658A3">
              <w:rPr>
                <w:rFonts w:ascii="Arial" w:hAnsi="Arial" w:cs="Arial"/>
              </w:rPr>
              <w:t xml:space="preserve"> FX+ may drive long-term behaviour change. The theory suggests behaviour is influenced by reciprocal </w:t>
            </w:r>
            <w:r w:rsidRPr="001658A3">
              <w:rPr>
                <w:rFonts w:ascii="Arial" w:hAnsi="Arial" w:cs="Arial"/>
              </w:rPr>
              <w:lastRenderedPageBreak/>
              <w:t xml:space="preserve">interactions between individual beliefs, behaviour and </w:t>
            </w:r>
            <w:r w:rsidR="009724CF" w:rsidRPr="001658A3">
              <w:rPr>
                <w:rFonts w:ascii="Arial" w:hAnsi="Arial" w:cs="Arial"/>
                <w:b/>
                <w:bCs/>
                <w:noProof/>
              </w:rPr>
              <w:drawing>
                <wp:anchor distT="0" distB="0" distL="114300" distR="114300" simplePos="0" relativeHeight="251680768" behindDoc="0" locked="0" layoutInCell="1" allowOverlap="1" wp14:anchorId="76E98292" wp14:editId="7BD4455A">
                  <wp:simplePos x="0" y="0"/>
                  <wp:positionH relativeFrom="column">
                    <wp:posOffset>104140</wp:posOffset>
                  </wp:positionH>
                  <wp:positionV relativeFrom="page">
                    <wp:posOffset>465870</wp:posOffset>
                  </wp:positionV>
                  <wp:extent cx="2631440" cy="1494155"/>
                  <wp:effectExtent l="0" t="0" r="0" b="0"/>
                  <wp:wrapTopAndBottom/>
                  <wp:docPr id="10933259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1440" cy="1494155"/>
                          </a:xfrm>
                          <a:prstGeom prst="rect">
                            <a:avLst/>
                          </a:prstGeom>
                          <a:noFill/>
                        </pic:spPr>
                      </pic:pic>
                    </a:graphicData>
                  </a:graphic>
                  <wp14:sizeRelH relativeFrom="margin">
                    <wp14:pctWidth>0</wp14:pctWidth>
                  </wp14:sizeRelH>
                  <wp14:sizeRelV relativeFrom="margin">
                    <wp14:pctHeight>0</wp14:pctHeight>
                  </wp14:sizeRelV>
                </wp:anchor>
              </w:drawing>
            </w:r>
            <w:r w:rsidRPr="001658A3">
              <w:rPr>
                <w:rFonts w:ascii="Arial" w:hAnsi="Arial" w:cs="Arial"/>
              </w:rPr>
              <w:t xml:space="preserve">the environment. </w:t>
            </w:r>
          </w:p>
          <w:p w14:paraId="0E66F329" w14:textId="5F9A3B0B" w:rsidR="002E7D22" w:rsidRPr="001658A3" w:rsidRDefault="002E7D22" w:rsidP="002E7D22">
            <w:pPr>
              <w:rPr>
                <w:rFonts w:ascii="Arial" w:hAnsi="Arial" w:cs="Arial"/>
              </w:rPr>
            </w:pPr>
          </w:p>
        </w:tc>
        <w:tc>
          <w:tcPr>
            <w:tcW w:w="283" w:type="dxa"/>
          </w:tcPr>
          <w:p w14:paraId="1E8B13E9" w14:textId="77777777" w:rsidR="002E7D22" w:rsidRPr="001658A3" w:rsidRDefault="002E7D22" w:rsidP="002E7D22">
            <w:pPr>
              <w:rPr>
                <w:rFonts w:ascii="Arial" w:hAnsi="Arial" w:cs="Arial"/>
              </w:rPr>
            </w:pPr>
          </w:p>
        </w:tc>
        <w:tc>
          <w:tcPr>
            <w:tcW w:w="7655" w:type="dxa"/>
          </w:tcPr>
          <w:p w14:paraId="09E6B2EC" w14:textId="77777777" w:rsidR="000818A8" w:rsidRPr="001658A3" w:rsidRDefault="000818A8" w:rsidP="0016050E">
            <w:pPr>
              <w:jc w:val="center"/>
              <w:rPr>
                <w:rFonts w:ascii="Arial" w:hAnsi="Arial" w:cs="Arial"/>
                <w:b/>
                <w:bCs/>
              </w:rPr>
            </w:pPr>
            <w:proofErr w:type="spellStart"/>
            <w:r w:rsidRPr="001658A3">
              <w:rPr>
                <w:rFonts w:ascii="Arial" w:hAnsi="Arial" w:cs="Arial"/>
                <w:b/>
                <w:bCs/>
              </w:rPr>
              <w:t>CamAPS</w:t>
            </w:r>
            <w:proofErr w:type="spellEnd"/>
            <w:r w:rsidRPr="001658A3">
              <w:rPr>
                <w:rFonts w:ascii="Arial" w:hAnsi="Arial" w:cs="Arial"/>
                <w:b/>
                <w:bCs/>
              </w:rPr>
              <w:t xml:space="preserve"> FX+</w:t>
            </w:r>
          </w:p>
          <w:p w14:paraId="325544FF" w14:textId="3FAEC072" w:rsidR="0016050E" w:rsidRPr="0016050E" w:rsidRDefault="00AB56B7" w:rsidP="008A6B41">
            <w:pPr>
              <w:pStyle w:val="NormalWeb"/>
              <w:rPr>
                <w:noProof/>
              </w:rPr>
            </w:pPr>
            <w:r>
              <w:rPr>
                <w:noProof/>
              </w:rPr>
              <w:drawing>
                <wp:inline distT="0" distB="0" distL="0" distR="0" wp14:anchorId="6EEB1574" wp14:editId="67E5F992">
                  <wp:extent cx="4162097" cy="2773827"/>
                  <wp:effectExtent l="0" t="0" r="0" b="76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91652" cy="2793524"/>
                          </a:xfrm>
                          <a:prstGeom prst="rect">
                            <a:avLst/>
                          </a:prstGeom>
                          <a:noFill/>
                          <a:ln>
                            <a:noFill/>
                          </a:ln>
                        </pic:spPr>
                      </pic:pic>
                    </a:graphicData>
                  </a:graphic>
                </wp:inline>
              </w:drawing>
            </w:r>
          </w:p>
          <w:p w14:paraId="726ABF24" w14:textId="65D296A0" w:rsidR="000818A8" w:rsidRPr="0016050E" w:rsidRDefault="0016050E" w:rsidP="000818A8">
            <w:pPr>
              <w:rPr>
                <w:rFonts w:ascii="Times New Roman" w:eastAsia="Times New Roman" w:hAnsi="Times New Roman" w:cs="Times New Roman"/>
                <w:noProof/>
                <w:kern w:val="0"/>
                <w:lang w:eastAsia="en-GB"/>
                <w14:ligatures w14:val="none"/>
              </w:rPr>
            </w:pPr>
            <w:r w:rsidRPr="001658A3">
              <w:rPr>
                <w:rFonts w:ascii="Arial" w:hAnsi="Arial" w:cs="Arial"/>
              </w:rPr>
              <w:t xml:space="preserve">builds self-efficacy through personalised glucose feedback, AI-driven education and user-friendly navigation, which helps the user develop confidence in diabetes self-management (McSharry </w:t>
            </w:r>
            <w:r w:rsidRPr="001658A3">
              <w:rPr>
                <w:rFonts w:ascii="Arial" w:hAnsi="Arial" w:cs="Arial"/>
                <w:i/>
                <w:iCs/>
              </w:rPr>
              <w:t>et al</w:t>
            </w:r>
            <w:r w:rsidRPr="001658A3">
              <w:rPr>
                <w:rFonts w:ascii="Arial" w:hAnsi="Arial" w:cs="Arial"/>
              </w:rPr>
              <w:t xml:space="preserve">., 2020). Continuous glucose monitoring promotes self-monitoring by showing how insulin, diet and physical activity are related to each other and reinforcing daily habits. Additional family or carer support further contributes to behaviour change. However, behavioural interventions alone can’t overcome structural barriers such as poverty, lack of internet access or poor digital literacy. Sustainable behaviour change </w:t>
            </w:r>
            <w:r w:rsidRPr="001658A3">
              <w:rPr>
                <w:rFonts w:ascii="Arial" w:hAnsi="Arial" w:cs="Arial"/>
              </w:rPr>
              <w:lastRenderedPageBreak/>
              <w:t xml:space="preserve">is therefore based on equitable implementation, patient education and </w:t>
            </w:r>
            <w:r w:rsidR="004D035B" w:rsidRPr="001658A3">
              <w:rPr>
                <w:rFonts w:ascii="Arial" w:hAnsi="Arial" w:cs="Arial"/>
                <w:b/>
                <w:bCs/>
              </w:rPr>
              <w:drawing>
                <wp:anchor distT="0" distB="0" distL="114300" distR="114300" simplePos="0" relativeHeight="251681792" behindDoc="0" locked="0" layoutInCell="1" allowOverlap="1" wp14:anchorId="36DEE224" wp14:editId="48490B11">
                  <wp:simplePos x="0" y="0"/>
                  <wp:positionH relativeFrom="column">
                    <wp:posOffset>240030</wp:posOffset>
                  </wp:positionH>
                  <wp:positionV relativeFrom="page">
                    <wp:posOffset>749935</wp:posOffset>
                  </wp:positionV>
                  <wp:extent cx="4177665" cy="2682240"/>
                  <wp:effectExtent l="0" t="0" r="0" b="3810"/>
                  <wp:wrapTopAndBottom/>
                  <wp:docPr id="33732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324513" name=""/>
                          <pic:cNvPicPr/>
                        </pic:nvPicPr>
                        <pic:blipFill>
                          <a:blip r:embed="rId11">
                            <a:extLst>
                              <a:ext uri="{28A0092B-C50C-407E-A947-70E740481C1C}">
                                <a14:useLocalDpi xmlns:a14="http://schemas.microsoft.com/office/drawing/2010/main" val="0"/>
                              </a:ext>
                            </a:extLst>
                          </a:blip>
                          <a:stretch>
                            <a:fillRect/>
                          </a:stretch>
                        </pic:blipFill>
                        <pic:spPr>
                          <a:xfrm>
                            <a:off x="0" y="0"/>
                            <a:ext cx="4177665" cy="2682240"/>
                          </a:xfrm>
                          <a:prstGeom prst="rect">
                            <a:avLst/>
                          </a:prstGeom>
                        </pic:spPr>
                      </pic:pic>
                    </a:graphicData>
                  </a:graphic>
                  <wp14:sizeRelH relativeFrom="margin">
                    <wp14:pctWidth>0</wp14:pctWidth>
                  </wp14:sizeRelH>
                  <wp14:sizeRelV relativeFrom="margin">
                    <wp14:pctHeight>0</wp14:pctHeight>
                  </wp14:sizeRelV>
                </wp:anchor>
              </w:drawing>
            </w:r>
            <w:r w:rsidRPr="001658A3">
              <w:rPr>
                <w:rFonts w:ascii="Arial" w:hAnsi="Arial" w:cs="Arial"/>
              </w:rPr>
              <w:t>ongoing professional support alongside digital technology.</w:t>
            </w:r>
          </w:p>
          <w:p w14:paraId="3A09D1C0" w14:textId="0EFB91DC" w:rsidR="000818A8" w:rsidRPr="001658A3" w:rsidRDefault="000818A8" w:rsidP="002E7D22">
            <w:pPr>
              <w:rPr>
                <w:rFonts w:ascii="Arial" w:hAnsi="Arial" w:cs="Arial"/>
              </w:rPr>
            </w:pPr>
          </w:p>
          <w:p w14:paraId="3D136133" w14:textId="38F2A554" w:rsidR="002E7D22" w:rsidRPr="001658A3" w:rsidRDefault="002E7D22" w:rsidP="002E7D22">
            <w:pPr>
              <w:rPr>
                <w:rFonts w:ascii="Arial" w:hAnsi="Arial" w:cs="Arial"/>
              </w:rPr>
            </w:pPr>
            <w:r w:rsidRPr="001658A3">
              <w:rPr>
                <w:rFonts w:ascii="Arial" w:hAnsi="Arial" w:cs="Arial"/>
              </w:rPr>
              <w:t xml:space="preserve">Digital technologies can lead to improved diabetes outcomes, but unequal access has the potential to exacerbate existing health inequalities if not properly implemented (King's Fund, 2025; NHS England, 2025). Older people may face challenges such as visual impairment, reduced manual dexterity, cognitive decline, language barriers, socioeconomic disadvantage, limited internet access and low digital confidence (Moody et al., 2022; Thomas </w:t>
            </w:r>
            <w:r w:rsidRPr="001658A3">
              <w:rPr>
                <w:rFonts w:ascii="Arial" w:hAnsi="Arial" w:cs="Arial"/>
                <w:i/>
                <w:iCs/>
              </w:rPr>
              <w:t>et al</w:t>
            </w:r>
            <w:r w:rsidRPr="001658A3">
              <w:rPr>
                <w:rFonts w:ascii="Arial" w:hAnsi="Arial" w:cs="Arial"/>
              </w:rPr>
              <w:t xml:space="preserve">., 2024; </w:t>
            </w:r>
            <w:proofErr w:type="spellStart"/>
            <w:r w:rsidRPr="001658A3">
              <w:rPr>
                <w:rFonts w:ascii="Arial" w:hAnsi="Arial" w:cs="Arial"/>
              </w:rPr>
              <w:t>Wildenbos</w:t>
            </w:r>
            <w:proofErr w:type="spellEnd"/>
            <w:r w:rsidRPr="001658A3">
              <w:rPr>
                <w:rFonts w:ascii="Arial" w:hAnsi="Arial" w:cs="Arial"/>
              </w:rPr>
              <w:t xml:space="preserve"> </w:t>
            </w:r>
            <w:r w:rsidRPr="001658A3">
              <w:rPr>
                <w:rFonts w:ascii="Arial" w:hAnsi="Arial" w:cs="Arial"/>
                <w:i/>
                <w:iCs/>
              </w:rPr>
              <w:t>et al</w:t>
            </w:r>
            <w:r w:rsidRPr="001658A3">
              <w:rPr>
                <w:rFonts w:ascii="Arial" w:hAnsi="Arial" w:cs="Arial"/>
              </w:rPr>
              <w:t xml:space="preserve">., 2018). </w:t>
            </w:r>
            <w:proofErr w:type="spellStart"/>
            <w:r w:rsidRPr="001658A3">
              <w:rPr>
                <w:rFonts w:ascii="Arial" w:hAnsi="Arial" w:cs="Arial"/>
              </w:rPr>
              <w:t>CamAPS</w:t>
            </w:r>
            <w:proofErr w:type="spellEnd"/>
            <w:r w:rsidRPr="001658A3">
              <w:rPr>
                <w:rFonts w:ascii="Arial" w:hAnsi="Arial" w:cs="Arial"/>
              </w:rPr>
              <w:t xml:space="preserve"> FX+ addresses these barriers through voice-guided navigation, high-contrast large-text interfaces, multilingual information, personalised reminders and optional family support. NHS-funded digital skills training, accessibility design </w:t>
            </w:r>
            <w:r w:rsidRPr="001658A3">
              <w:rPr>
                <w:rFonts w:ascii="Arial" w:hAnsi="Arial" w:cs="Arial"/>
              </w:rPr>
              <w:lastRenderedPageBreak/>
              <w:t xml:space="preserve">standards and continuing face-to-face diabetes services are all equally important to ensure people unable or unwilling to use digital technology </w:t>
            </w:r>
            <w:proofErr w:type="gramStart"/>
            <w:r w:rsidRPr="001658A3">
              <w:rPr>
                <w:rFonts w:ascii="Arial" w:hAnsi="Arial" w:cs="Arial"/>
              </w:rPr>
              <w:t>are able to</w:t>
            </w:r>
            <w:proofErr w:type="gramEnd"/>
            <w:r w:rsidRPr="001658A3">
              <w:rPr>
                <w:rFonts w:ascii="Arial" w:hAnsi="Arial" w:cs="Arial"/>
              </w:rPr>
              <w:t xml:space="preserve"> receive high-quality care. Digital inclusion should therefore be seen as a core component of equitable health </w:t>
            </w:r>
            <w:r w:rsidR="00E065FB" w:rsidRPr="001658A3">
              <w:rPr>
                <w:rFonts w:ascii="Arial" w:hAnsi="Arial" w:cs="Arial"/>
                <w:b/>
                <w:bCs/>
              </w:rPr>
              <w:drawing>
                <wp:anchor distT="0" distB="0" distL="114300" distR="114300" simplePos="0" relativeHeight="251674624" behindDoc="0" locked="0" layoutInCell="1" allowOverlap="1" wp14:anchorId="15D56B0D" wp14:editId="738EA002">
                  <wp:simplePos x="0" y="0"/>
                  <wp:positionH relativeFrom="column">
                    <wp:posOffset>584835</wp:posOffset>
                  </wp:positionH>
                  <wp:positionV relativeFrom="page">
                    <wp:posOffset>1179195</wp:posOffset>
                  </wp:positionV>
                  <wp:extent cx="2750185" cy="1552575"/>
                  <wp:effectExtent l="0" t="0" r="0" b="9525"/>
                  <wp:wrapTopAndBottom/>
                  <wp:docPr id="1631525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25666" name=""/>
                          <pic:cNvPicPr/>
                        </pic:nvPicPr>
                        <pic:blipFill>
                          <a:blip r:embed="rId12">
                            <a:extLst>
                              <a:ext uri="{28A0092B-C50C-407E-A947-70E740481C1C}">
                                <a14:useLocalDpi xmlns:a14="http://schemas.microsoft.com/office/drawing/2010/main" val="0"/>
                              </a:ext>
                            </a:extLst>
                          </a:blip>
                          <a:stretch>
                            <a:fillRect/>
                          </a:stretch>
                        </pic:blipFill>
                        <pic:spPr>
                          <a:xfrm>
                            <a:off x="0" y="0"/>
                            <a:ext cx="2750185" cy="1552575"/>
                          </a:xfrm>
                          <a:prstGeom prst="rect">
                            <a:avLst/>
                          </a:prstGeom>
                        </pic:spPr>
                      </pic:pic>
                    </a:graphicData>
                  </a:graphic>
                  <wp14:sizeRelH relativeFrom="margin">
                    <wp14:pctWidth>0</wp14:pctWidth>
                  </wp14:sizeRelH>
                </wp:anchor>
              </w:drawing>
            </w:r>
            <w:r w:rsidRPr="001658A3">
              <w:rPr>
                <w:rFonts w:ascii="Arial" w:hAnsi="Arial" w:cs="Arial"/>
              </w:rPr>
              <w:t>promotion and not just a technological one.</w:t>
            </w:r>
          </w:p>
          <w:p w14:paraId="2B84AD5B" w14:textId="6FEAD90E" w:rsidR="002E7D22" w:rsidRPr="001658A3" w:rsidRDefault="002E7D22" w:rsidP="002E7D22">
            <w:pPr>
              <w:rPr>
                <w:rFonts w:ascii="Arial" w:hAnsi="Arial" w:cs="Arial"/>
              </w:rPr>
            </w:pPr>
          </w:p>
          <w:p w14:paraId="1312B621" w14:textId="1EF1F5DB" w:rsidR="002E7D22" w:rsidRPr="001658A3" w:rsidRDefault="002E7D22" w:rsidP="002E7D22">
            <w:pPr>
              <w:rPr>
                <w:rFonts w:ascii="Arial" w:hAnsi="Arial" w:cs="Arial"/>
                <w:b/>
                <w:bCs/>
              </w:rPr>
            </w:pPr>
            <w:r w:rsidRPr="001658A3">
              <w:rPr>
                <w:rFonts w:ascii="Arial" w:hAnsi="Arial" w:cs="Arial"/>
                <w:b/>
                <w:bCs/>
              </w:rPr>
              <w:t>Expected Outcomes</w:t>
            </w:r>
          </w:p>
          <w:p w14:paraId="3C014232" w14:textId="2258A1E9" w:rsidR="007A0B15" w:rsidRPr="001658A3" w:rsidRDefault="002E7D22" w:rsidP="002E7D22">
            <w:pPr>
              <w:rPr>
                <w:rFonts w:ascii="Arial" w:hAnsi="Arial" w:cs="Arial"/>
              </w:rPr>
            </w:pPr>
            <w:r w:rsidRPr="001658A3">
              <w:rPr>
                <w:rFonts w:ascii="Arial" w:hAnsi="Arial" w:cs="Arial"/>
              </w:rPr>
              <w:t xml:space="preserve">With behaviour-change support integrated with automated insulin delivery, </w:t>
            </w:r>
            <w:proofErr w:type="spellStart"/>
            <w:r w:rsidRPr="001658A3">
              <w:rPr>
                <w:rFonts w:ascii="Arial" w:hAnsi="Arial" w:cs="Arial"/>
              </w:rPr>
              <w:t>CamAPS</w:t>
            </w:r>
            <w:proofErr w:type="spellEnd"/>
            <w:r w:rsidRPr="001658A3">
              <w:rPr>
                <w:rFonts w:ascii="Arial" w:hAnsi="Arial" w:cs="Arial"/>
              </w:rPr>
              <w:t xml:space="preserve"> FX+ will help to improve behavioural, clinical and population health outcomes. Better self-efficacy and health literacy may promote better treatment adherence, healthier diet, physical activity and involvement with diabetes self-management. These behavioural shifts may result in higher time in range, lower HbA1c, fewer hypoglycaemic episodes and a better quality of life (Crabtree et al., 2023; </w:t>
            </w:r>
            <w:proofErr w:type="spellStart"/>
            <w:r w:rsidRPr="001658A3">
              <w:rPr>
                <w:rFonts w:ascii="Arial" w:hAnsi="Arial" w:cs="Arial"/>
              </w:rPr>
              <w:t>Liarakos</w:t>
            </w:r>
            <w:proofErr w:type="spellEnd"/>
            <w:r w:rsidRPr="001658A3">
              <w:rPr>
                <w:rFonts w:ascii="Arial" w:hAnsi="Arial" w:cs="Arial"/>
              </w:rPr>
              <w:t xml:space="preserve"> et al., 2025; Sherr et al., 2022).</w:t>
            </w:r>
          </w:p>
          <w:p w14:paraId="2256C671" w14:textId="2EE59785" w:rsidR="002E7D22" w:rsidRPr="001658A3" w:rsidRDefault="002E7D22" w:rsidP="002E7D22">
            <w:pPr>
              <w:rPr>
                <w:rFonts w:ascii="Arial" w:hAnsi="Arial" w:cs="Arial"/>
              </w:rPr>
            </w:pPr>
            <w:r w:rsidRPr="001658A3">
              <w:rPr>
                <w:rFonts w:ascii="Arial" w:hAnsi="Arial" w:cs="Arial"/>
              </w:rPr>
              <w:t xml:space="preserve"> At the population level, better accessibility may decrease digital exclusion, promote healthy living, and reduce unnecessary hospital admissions. However, the proposed accessibility features require </w:t>
            </w:r>
            <w:r w:rsidRPr="001658A3">
              <w:rPr>
                <w:rFonts w:ascii="Arial" w:hAnsi="Arial" w:cs="Arial"/>
              </w:rPr>
              <w:lastRenderedPageBreak/>
              <w:t>prospective evaluation before their clinical effectiveness and cost-effectiveness can be confirmed.</w:t>
            </w:r>
          </w:p>
          <w:p w14:paraId="76079385" w14:textId="043F93AC" w:rsidR="002E7D22" w:rsidRPr="001658A3" w:rsidRDefault="002E7D22" w:rsidP="002E7D22">
            <w:pPr>
              <w:rPr>
                <w:rFonts w:ascii="Arial" w:hAnsi="Arial" w:cs="Arial"/>
                <w:b/>
                <w:bCs/>
              </w:rPr>
            </w:pPr>
            <w:r w:rsidRPr="001658A3">
              <w:rPr>
                <w:rFonts w:ascii="Arial" w:hAnsi="Arial" w:cs="Arial"/>
                <w:b/>
                <w:bCs/>
              </w:rPr>
              <w:t xml:space="preserve">Critical Discussion </w:t>
            </w:r>
          </w:p>
          <w:p w14:paraId="1BB3578B" w14:textId="76E38034" w:rsidR="002E7D22" w:rsidRPr="001658A3" w:rsidRDefault="002E7D22" w:rsidP="002E7D22">
            <w:pPr>
              <w:rPr>
                <w:rFonts w:ascii="Arial" w:hAnsi="Arial" w:cs="Arial"/>
              </w:rPr>
            </w:pPr>
            <w:r w:rsidRPr="001658A3">
              <w:rPr>
                <w:rFonts w:ascii="Arial" w:hAnsi="Arial" w:cs="Arial"/>
              </w:rPr>
              <w:t xml:space="preserve">A hybrid closed loop system is an important step forward in diabetes management but does not eliminate carbohydrate counting, device maintenance or regular clinical review (Sherr et al., 2022). Artificial intelligence must therefore complement rather than replace professional judgement and person-centred care. And older adults are a heterogeneous population with different cognitive capabilities, functional limitations and digital confidence, and it is unlikely that any digital solution will be very suited for all (Huang et al., 2023; Maltese et al., 2024). Financial difficulties, unequal access to smartphones, internet connection and specialist diabetes services may also limit the availability of equitable digital solutions (Good Things Foundation, 2025; King's Fund, 2025). </w:t>
            </w:r>
            <w:proofErr w:type="spellStart"/>
            <w:r w:rsidRPr="001658A3">
              <w:rPr>
                <w:rFonts w:ascii="Arial" w:hAnsi="Arial" w:cs="Arial"/>
              </w:rPr>
              <w:t>CamAPS</w:t>
            </w:r>
            <w:proofErr w:type="spellEnd"/>
            <w:r w:rsidRPr="001658A3">
              <w:rPr>
                <w:rFonts w:ascii="Arial" w:hAnsi="Arial" w:cs="Arial"/>
              </w:rPr>
              <w:t xml:space="preserve"> FX+ should therefore be implemented in conjunction with co-designed education programmes, inclusive digital design, NHS-funded digital inclusion initiatives and continued face-to-face support to ensure that technological innovation is not reinforcing existing health inequalities.</w:t>
            </w:r>
          </w:p>
          <w:p w14:paraId="4A323DA5" w14:textId="4FC2A935" w:rsidR="002E7D22" w:rsidRPr="001658A3" w:rsidRDefault="008A0C65" w:rsidP="002E7D22">
            <w:pPr>
              <w:rPr>
                <w:rFonts w:ascii="Arial" w:hAnsi="Arial" w:cs="Arial"/>
                <w:b/>
                <w:bCs/>
              </w:rPr>
            </w:pPr>
            <w:r w:rsidRPr="001658A3">
              <w:rPr>
                <w:rFonts w:ascii="Arial" w:hAnsi="Arial" w:cs="Arial"/>
                <w:b/>
                <w:bCs/>
                <w:noProof/>
              </w:rPr>
              <w:lastRenderedPageBreak/>
              <w:drawing>
                <wp:anchor distT="0" distB="0" distL="114300" distR="114300" simplePos="0" relativeHeight="251683840" behindDoc="0" locked="0" layoutInCell="1" allowOverlap="1" wp14:anchorId="79E23436" wp14:editId="75F9F346">
                  <wp:simplePos x="0" y="0"/>
                  <wp:positionH relativeFrom="column">
                    <wp:posOffset>-2540</wp:posOffset>
                  </wp:positionH>
                  <wp:positionV relativeFrom="page">
                    <wp:posOffset>314960</wp:posOffset>
                  </wp:positionV>
                  <wp:extent cx="3579114" cy="1990725"/>
                  <wp:effectExtent l="0" t="0" r="2540" b="0"/>
                  <wp:wrapTopAndBottom/>
                  <wp:docPr id="4462706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79114" cy="1990725"/>
                          </a:xfrm>
                          <a:prstGeom prst="rect">
                            <a:avLst/>
                          </a:prstGeom>
                          <a:noFill/>
                        </pic:spPr>
                      </pic:pic>
                    </a:graphicData>
                  </a:graphic>
                  <wp14:sizeRelH relativeFrom="margin">
                    <wp14:pctWidth>0</wp14:pctWidth>
                  </wp14:sizeRelH>
                  <wp14:sizeRelV relativeFrom="margin">
                    <wp14:pctHeight>0</wp14:pctHeight>
                  </wp14:sizeRelV>
                </wp:anchor>
              </w:drawing>
            </w:r>
          </w:p>
          <w:p w14:paraId="0473CE18" w14:textId="3B9F1C87" w:rsidR="002E7D22" w:rsidRPr="001658A3" w:rsidRDefault="002E7D22" w:rsidP="002E7D22">
            <w:pPr>
              <w:rPr>
                <w:rFonts w:ascii="Arial" w:hAnsi="Arial" w:cs="Arial"/>
                <w:b/>
                <w:bCs/>
              </w:rPr>
            </w:pPr>
            <w:r w:rsidRPr="001658A3">
              <w:rPr>
                <w:rFonts w:ascii="Arial" w:hAnsi="Arial" w:cs="Arial"/>
                <w:b/>
                <w:bCs/>
              </w:rPr>
              <w:t>Conclusion</w:t>
            </w:r>
          </w:p>
          <w:p w14:paraId="69B61874" w14:textId="035A4890" w:rsidR="002E7D22" w:rsidRPr="001658A3" w:rsidRDefault="002E7D22" w:rsidP="002E7D22">
            <w:pPr>
              <w:rPr>
                <w:rFonts w:ascii="Arial" w:hAnsi="Arial" w:cs="Arial"/>
              </w:rPr>
            </w:pPr>
            <w:proofErr w:type="spellStart"/>
            <w:r w:rsidRPr="001658A3">
              <w:rPr>
                <w:rFonts w:ascii="Arial" w:hAnsi="Arial" w:cs="Arial"/>
              </w:rPr>
              <w:t>CamAPS</w:t>
            </w:r>
            <w:proofErr w:type="spellEnd"/>
            <w:r w:rsidRPr="001658A3">
              <w:rPr>
                <w:rFonts w:ascii="Arial" w:hAnsi="Arial" w:cs="Arial"/>
              </w:rPr>
              <w:t xml:space="preserve"> FX+ illustrates how artificial intelligence can evolve from automatic insulin delivery to a more inclusive digital health promotion tool that supports healthy ageing. By integrating health promotion in the framework of behaviour-change theory and accessible digital design, this intervention will play a role in promoting diabetes self-management and reducing digital health disparities. The implementation process will require equitable NHS access, structured education, patient and public participation, accessible technologies and ongoing clinical support. Future studies need to examine the clinical effectiveness, usability, acceptability and cost-effectiveness of </w:t>
            </w:r>
            <w:proofErr w:type="spellStart"/>
            <w:r w:rsidRPr="001658A3">
              <w:rPr>
                <w:rFonts w:ascii="Arial" w:hAnsi="Arial" w:cs="Arial"/>
              </w:rPr>
              <w:lastRenderedPageBreak/>
              <w:t>CamAPS</w:t>
            </w:r>
            <w:proofErr w:type="spellEnd"/>
            <w:r w:rsidRPr="001658A3">
              <w:rPr>
                <w:rFonts w:ascii="Arial" w:hAnsi="Arial" w:cs="Arial"/>
              </w:rPr>
              <w:t xml:space="preserve"> FX+ features across </w:t>
            </w:r>
            <w:r w:rsidR="00E7097D" w:rsidRPr="001658A3">
              <w:rPr>
                <w:rFonts w:ascii="Arial" w:hAnsi="Arial" w:cs="Arial"/>
              </w:rPr>
              <w:drawing>
                <wp:anchor distT="0" distB="0" distL="114300" distR="114300" simplePos="0" relativeHeight="251676672" behindDoc="0" locked="0" layoutInCell="1" allowOverlap="1" wp14:anchorId="3E69948C" wp14:editId="3B4A3ECF">
                  <wp:simplePos x="0" y="0"/>
                  <wp:positionH relativeFrom="column">
                    <wp:posOffset>231775</wp:posOffset>
                  </wp:positionH>
                  <wp:positionV relativeFrom="page">
                    <wp:posOffset>772160</wp:posOffset>
                  </wp:positionV>
                  <wp:extent cx="4155440" cy="2308225"/>
                  <wp:effectExtent l="0" t="0" r="0" b="0"/>
                  <wp:wrapTopAndBottom/>
                  <wp:docPr id="647537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55440" cy="2308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658A3">
              <w:rPr>
                <w:rFonts w:ascii="Arial" w:hAnsi="Arial" w:cs="Arial"/>
              </w:rPr>
              <w:t>diverse older populations before widespread implementation.</w:t>
            </w:r>
          </w:p>
          <w:p w14:paraId="588784F8" w14:textId="65A8448A" w:rsidR="002E7D22" w:rsidRPr="001658A3" w:rsidRDefault="002E7D22" w:rsidP="002E7D22">
            <w:pPr>
              <w:rPr>
                <w:rFonts w:ascii="Arial" w:hAnsi="Arial" w:cs="Arial"/>
              </w:rPr>
            </w:pPr>
          </w:p>
        </w:tc>
      </w:tr>
    </w:tbl>
    <w:p w14:paraId="2B3FDD15" w14:textId="1017BA4D" w:rsidR="00F24C38" w:rsidRPr="00F24C38" w:rsidRDefault="00F24C38" w:rsidP="00F24C38"/>
    <w:p w14:paraId="67F225E4" w14:textId="77777777" w:rsidR="00F24C38" w:rsidRDefault="00F24C38" w:rsidP="00F24C38"/>
    <w:p w14:paraId="41A3F5D3" w14:textId="77777777" w:rsidR="00CF01A0" w:rsidRDefault="00CF01A0" w:rsidP="00F24C38"/>
    <w:p w14:paraId="762227FE" w14:textId="77777777" w:rsidR="00CF01A0" w:rsidRDefault="00CF01A0" w:rsidP="00F24C38"/>
    <w:p w14:paraId="1E1B31F0" w14:textId="77777777" w:rsidR="00CF01A0" w:rsidRDefault="00CF01A0" w:rsidP="00F24C38"/>
    <w:p w14:paraId="7B401ECC" w14:textId="77777777" w:rsidR="00CF01A0" w:rsidRDefault="00CF01A0" w:rsidP="00F24C38"/>
    <w:p w14:paraId="6D13DDE2" w14:textId="77777777" w:rsidR="00CF01A0" w:rsidRDefault="00CF01A0" w:rsidP="00F24C38"/>
    <w:p w14:paraId="1D540105" w14:textId="77777777" w:rsidR="00CF01A0" w:rsidRDefault="00CF01A0" w:rsidP="00F24C38"/>
    <w:p w14:paraId="3B342299" w14:textId="77777777" w:rsidR="00CF01A0" w:rsidRDefault="00CF01A0" w:rsidP="00F24C38"/>
    <w:p w14:paraId="34FFB7B2" w14:textId="2703AEB1" w:rsidR="00697EF0" w:rsidRPr="00F24C38" w:rsidRDefault="00697EF0" w:rsidP="00697EF0">
      <w:pPr>
        <w:pStyle w:val="Heading2"/>
      </w:pPr>
      <w:r>
        <w:t xml:space="preserve">References </w:t>
      </w:r>
    </w:p>
    <w:p w14:paraId="4F25CF2D" w14:textId="77777777" w:rsidR="00697EF0" w:rsidRPr="00697EF0" w:rsidRDefault="00697EF0" w:rsidP="00697EF0">
      <w:r w:rsidRPr="00697EF0">
        <w:t xml:space="preserve">American Diabetes Association (2024) </w:t>
      </w:r>
      <w:r w:rsidRPr="00697EF0">
        <w:rPr>
          <w:i/>
          <w:iCs/>
        </w:rPr>
        <w:t>Standards of Care in Diabetes—2024</w:t>
      </w:r>
      <w:r w:rsidRPr="00697EF0">
        <w:t xml:space="preserve">. </w:t>
      </w:r>
      <w:r w:rsidRPr="00697EF0">
        <w:rPr>
          <w:i/>
          <w:iCs/>
        </w:rPr>
        <w:t>Diabetes Care</w:t>
      </w:r>
      <w:r w:rsidRPr="00697EF0">
        <w:t xml:space="preserve">, 47(Suppl. 1), pp. S1–S350. Available at: </w:t>
      </w:r>
      <w:hyperlink r:id="rId15" w:tgtFrame="_new" w:history="1">
        <w:r w:rsidRPr="00697EF0">
          <w:rPr>
            <w:rStyle w:val="Hyperlink"/>
          </w:rPr>
          <w:t>https://diabetesjournals.org/care/issue/47/Supplement_1</w:t>
        </w:r>
      </w:hyperlink>
      <w:r w:rsidRPr="00697EF0">
        <w:t xml:space="preserve"> (Accessed: 28 July 2026).</w:t>
      </w:r>
    </w:p>
    <w:p w14:paraId="7889D9CB" w14:textId="77777777" w:rsidR="00697EF0" w:rsidRPr="00697EF0" w:rsidRDefault="00697EF0" w:rsidP="00697EF0">
      <w:r w:rsidRPr="00697EF0">
        <w:t xml:space="preserve">Bandura, A. (1986) </w:t>
      </w:r>
      <w:r w:rsidRPr="00697EF0">
        <w:rPr>
          <w:i/>
          <w:iCs/>
        </w:rPr>
        <w:t>Social Foundations of Thought and Action: A Social Cognitive Theory</w:t>
      </w:r>
      <w:r w:rsidRPr="00697EF0">
        <w:t>. Englewood Cliffs, NJ: Prentice-Hall.</w:t>
      </w:r>
    </w:p>
    <w:p w14:paraId="5B7548E4" w14:textId="77777777" w:rsidR="00697EF0" w:rsidRPr="00697EF0" w:rsidRDefault="00697EF0" w:rsidP="00697EF0">
      <w:r w:rsidRPr="00697EF0">
        <w:t xml:space="preserve">Crabtree, T.S., Fuchs, J., Allen, J.M., Boughton, C.K., Hovorka, R. and Bally, L. (2023) ‘Hybrid closed-loop systems for the management of type 1 diabetes: Current evidence and future directions’, </w:t>
      </w:r>
      <w:proofErr w:type="spellStart"/>
      <w:r w:rsidRPr="00697EF0">
        <w:rPr>
          <w:i/>
          <w:iCs/>
        </w:rPr>
        <w:t>Diabetologia</w:t>
      </w:r>
      <w:proofErr w:type="spellEnd"/>
      <w:r w:rsidRPr="00697EF0">
        <w:t>, 66(8), pp. 1387–1398.</w:t>
      </w:r>
    </w:p>
    <w:p w14:paraId="3D7A2E51" w14:textId="77777777" w:rsidR="00697EF0" w:rsidRPr="00697EF0" w:rsidRDefault="00697EF0" w:rsidP="00697EF0">
      <w:proofErr w:type="spellStart"/>
      <w:r w:rsidRPr="00697EF0">
        <w:t>Genitsaridi</w:t>
      </w:r>
      <w:proofErr w:type="spellEnd"/>
      <w:r w:rsidRPr="00697EF0">
        <w:t xml:space="preserve">, I., Tomic, D., Cousins, D., Foster, N.C., Miller, K.M., Clements, M.A., et al. (2025) ‘The global epidemiology of type 1 diabetes in adults: Findings from the International Diabetes Federation Diabetes Atlas’, </w:t>
      </w:r>
      <w:r w:rsidRPr="00697EF0">
        <w:rPr>
          <w:i/>
          <w:iCs/>
        </w:rPr>
        <w:t>Diabetes Research and Clinical Practice</w:t>
      </w:r>
      <w:r w:rsidRPr="00697EF0">
        <w:t>, 210, 111565.</w:t>
      </w:r>
    </w:p>
    <w:p w14:paraId="134FAAF3" w14:textId="77777777" w:rsidR="00697EF0" w:rsidRPr="00697EF0" w:rsidRDefault="00697EF0" w:rsidP="00697EF0">
      <w:r w:rsidRPr="00697EF0">
        <w:t xml:space="preserve">Good Things Foundation (2025) </w:t>
      </w:r>
      <w:r w:rsidRPr="00697EF0">
        <w:rPr>
          <w:i/>
          <w:iCs/>
        </w:rPr>
        <w:t>Digital Inclusion for Health and Care</w:t>
      </w:r>
      <w:r w:rsidRPr="00697EF0">
        <w:t xml:space="preserve">. Available at: </w:t>
      </w:r>
      <w:hyperlink r:id="rId16" w:tgtFrame="_new" w:history="1">
        <w:r w:rsidRPr="00697EF0">
          <w:rPr>
            <w:rStyle w:val="Hyperlink"/>
          </w:rPr>
          <w:t>https://www.goodthingsfoundation.org</w:t>
        </w:r>
      </w:hyperlink>
      <w:r w:rsidRPr="00697EF0">
        <w:t xml:space="preserve"> (Accessed: 28 July 2026).</w:t>
      </w:r>
    </w:p>
    <w:p w14:paraId="725DF7BA" w14:textId="77777777" w:rsidR="00697EF0" w:rsidRPr="00697EF0" w:rsidRDefault="00697EF0" w:rsidP="00697EF0">
      <w:r w:rsidRPr="00697EF0">
        <w:t xml:space="preserve">Huang, E.S., Munshi, M.N. and Lipska, K.J. (2023) ‘Management of diabetes in older adults’, </w:t>
      </w:r>
      <w:r w:rsidRPr="00697EF0">
        <w:rPr>
          <w:i/>
          <w:iCs/>
        </w:rPr>
        <w:t>The Lancet Healthy Longevity</w:t>
      </w:r>
      <w:r w:rsidRPr="00697EF0">
        <w:t>, 4(6), pp. e320–e331.</w:t>
      </w:r>
    </w:p>
    <w:p w14:paraId="19F59767" w14:textId="77777777" w:rsidR="00697EF0" w:rsidRPr="00697EF0" w:rsidRDefault="00697EF0" w:rsidP="00697EF0">
      <w:r w:rsidRPr="00697EF0">
        <w:t xml:space="preserve">King’s Fund (2025) </w:t>
      </w:r>
      <w:r w:rsidRPr="00697EF0">
        <w:rPr>
          <w:i/>
          <w:iCs/>
        </w:rPr>
        <w:t>Digital Technology and Health Inequalities</w:t>
      </w:r>
      <w:r w:rsidRPr="00697EF0">
        <w:t xml:space="preserve">. London: The King’s Fund. Available at: </w:t>
      </w:r>
      <w:hyperlink r:id="rId17" w:tgtFrame="_new" w:history="1">
        <w:r w:rsidRPr="00697EF0">
          <w:rPr>
            <w:rStyle w:val="Hyperlink"/>
          </w:rPr>
          <w:t>https://www.kingsfund.org.uk</w:t>
        </w:r>
      </w:hyperlink>
      <w:r w:rsidRPr="00697EF0">
        <w:t xml:space="preserve"> (Accessed: 28 July 2026).</w:t>
      </w:r>
    </w:p>
    <w:p w14:paraId="7DBE1591" w14:textId="77777777" w:rsidR="00697EF0" w:rsidRPr="00697EF0" w:rsidRDefault="00697EF0" w:rsidP="00697EF0">
      <w:proofErr w:type="spellStart"/>
      <w:r w:rsidRPr="00697EF0">
        <w:t>Liarakos</w:t>
      </w:r>
      <w:proofErr w:type="spellEnd"/>
      <w:r w:rsidRPr="00697EF0">
        <w:t xml:space="preserve">, K., Boughton, C.K., Allen, J.M., Bally, L. and Hovorka, R. (2025) ‘Clinical outcomes associated with hybrid closed-loop insulin delivery systems: A systematic review’, </w:t>
      </w:r>
      <w:r w:rsidRPr="00697EF0">
        <w:rPr>
          <w:i/>
          <w:iCs/>
        </w:rPr>
        <w:t>Diabetes Technology &amp; Therapeutics</w:t>
      </w:r>
      <w:r w:rsidRPr="00697EF0">
        <w:t>, 27(2), pp. 95–108.</w:t>
      </w:r>
    </w:p>
    <w:p w14:paraId="004E6300" w14:textId="77777777" w:rsidR="00697EF0" w:rsidRPr="00697EF0" w:rsidRDefault="00697EF0" w:rsidP="00697EF0">
      <w:r w:rsidRPr="00697EF0">
        <w:t xml:space="preserve">Maltese, G., Tomic, D., Thomas, N.J. and Hovorka, R. (2024) ‘Healthy ageing with type 1 diabetes: Emerging challenges and opportunities’, </w:t>
      </w:r>
      <w:r w:rsidRPr="00697EF0">
        <w:rPr>
          <w:i/>
          <w:iCs/>
        </w:rPr>
        <w:t>Nature Reviews Endocrinology</w:t>
      </w:r>
      <w:r w:rsidRPr="00697EF0">
        <w:t>, 20(5), pp. 273–287.</w:t>
      </w:r>
    </w:p>
    <w:p w14:paraId="5A38AC46" w14:textId="77777777" w:rsidR="00697EF0" w:rsidRPr="00697EF0" w:rsidRDefault="00697EF0" w:rsidP="00697EF0">
      <w:r w:rsidRPr="00697EF0">
        <w:t xml:space="preserve">McSharry, J., Byrne, M., Casey, B., Dinneen, S.F. and Fredrix, M. (2020) ‘Behaviour </w:t>
      </w:r>
      <w:proofErr w:type="gramStart"/>
      <w:r w:rsidRPr="00697EF0">
        <w:t>change</w:t>
      </w:r>
      <w:proofErr w:type="gramEnd"/>
      <w:r w:rsidRPr="00697EF0">
        <w:t xml:space="preserve"> in diabetes self-management: A review of Social Cognitive Theory applications’, </w:t>
      </w:r>
      <w:r w:rsidRPr="00697EF0">
        <w:rPr>
          <w:i/>
          <w:iCs/>
        </w:rPr>
        <w:t>Psychology &amp; Health</w:t>
      </w:r>
      <w:r w:rsidRPr="00697EF0">
        <w:t>, 35(9), pp. 1059–1081.</w:t>
      </w:r>
    </w:p>
    <w:p w14:paraId="4B35D8E4" w14:textId="77777777" w:rsidR="00697EF0" w:rsidRPr="00697EF0" w:rsidRDefault="00697EF0" w:rsidP="00697EF0">
      <w:r w:rsidRPr="00697EF0">
        <w:lastRenderedPageBreak/>
        <w:t xml:space="preserve">Moody, L., Boughton, C.K., Allen, J.M. and Hovorka, R. (2022) ‘Older adults with type 1 diabetes: Barriers and facilitators to diabetes technology use’, </w:t>
      </w:r>
      <w:r w:rsidRPr="00697EF0">
        <w:rPr>
          <w:i/>
          <w:iCs/>
        </w:rPr>
        <w:t>Diabetic Medicine</w:t>
      </w:r>
      <w:r w:rsidRPr="00697EF0">
        <w:t>, 39(10), e14922.</w:t>
      </w:r>
    </w:p>
    <w:p w14:paraId="6BCE746C" w14:textId="77777777" w:rsidR="00697EF0" w:rsidRPr="00697EF0" w:rsidRDefault="00697EF0" w:rsidP="00697EF0">
      <w:r w:rsidRPr="00697EF0">
        <w:t xml:space="preserve">National Institute for Health and Care Excellence (NICE) (2022) </w:t>
      </w:r>
      <w:r w:rsidRPr="00697EF0">
        <w:rPr>
          <w:i/>
          <w:iCs/>
        </w:rPr>
        <w:t>Type 1 diabetes in adults: Diagnosis and management (NG17)</w:t>
      </w:r>
      <w:r w:rsidRPr="00697EF0">
        <w:t xml:space="preserve">. London: NICE. Available at: </w:t>
      </w:r>
      <w:hyperlink r:id="rId18" w:tgtFrame="_new" w:history="1">
        <w:r w:rsidRPr="00697EF0">
          <w:rPr>
            <w:rStyle w:val="Hyperlink"/>
          </w:rPr>
          <w:t>https://www.nice.org.uk/guidance/ng17</w:t>
        </w:r>
      </w:hyperlink>
      <w:r w:rsidRPr="00697EF0">
        <w:t xml:space="preserve"> (Accessed: 28 July 2026).</w:t>
      </w:r>
    </w:p>
    <w:p w14:paraId="6A554C04" w14:textId="77777777" w:rsidR="00697EF0" w:rsidRPr="00697EF0" w:rsidRDefault="00697EF0" w:rsidP="00697EF0">
      <w:r w:rsidRPr="00697EF0">
        <w:t xml:space="preserve">National Institute for Health and Care Excellence (NICE) (2023) </w:t>
      </w:r>
      <w:r w:rsidRPr="00697EF0">
        <w:rPr>
          <w:i/>
          <w:iCs/>
        </w:rPr>
        <w:t>Hybrid Closed Loop Systems for Managing Blood Glucose Levels in Type 1 Diabetes (Technology Appraisal Guidance TA943)</w:t>
      </w:r>
      <w:r w:rsidRPr="00697EF0">
        <w:t xml:space="preserve">. London: NICE. Available at: </w:t>
      </w:r>
      <w:hyperlink r:id="rId19" w:tgtFrame="_new" w:history="1">
        <w:r w:rsidRPr="00697EF0">
          <w:rPr>
            <w:rStyle w:val="Hyperlink"/>
          </w:rPr>
          <w:t>https://www.nice.org.uk/guidance/ta943</w:t>
        </w:r>
      </w:hyperlink>
      <w:r w:rsidRPr="00697EF0">
        <w:t xml:space="preserve"> (Accessed: 28 July 2026).</w:t>
      </w:r>
    </w:p>
    <w:p w14:paraId="65522E29" w14:textId="77777777" w:rsidR="00697EF0" w:rsidRPr="00697EF0" w:rsidRDefault="00697EF0" w:rsidP="00697EF0">
      <w:r w:rsidRPr="00697EF0">
        <w:t xml:space="preserve">NHS England (2024) </w:t>
      </w:r>
      <w:r w:rsidRPr="00697EF0">
        <w:rPr>
          <w:i/>
          <w:iCs/>
        </w:rPr>
        <w:t>Hybrid Closed Loop Systems Rollout for People with Type 1 Diabetes</w:t>
      </w:r>
      <w:r w:rsidRPr="00697EF0">
        <w:t xml:space="preserve">. Available at: </w:t>
      </w:r>
      <w:hyperlink r:id="rId20" w:tgtFrame="_new" w:history="1">
        <w:r w:rsidRPr="00697EF0">
          <w:rPr>
            <w:rStyle w:val="Hyperlink"/>
          </w:rPr>
          <w:t>https://www.england.nhs.uk</w:t>
        </w:r>
      </w:hyperlink>
      <w:r w:rsidRPr="00697EF0">
        <w:t xml:space="preserve"> (Accessed: 28 July 2026).</w:t>
      </w:r>
    </w:p>
    <w:p w14:paraId="1CC1CCA3" w14:textId="77777777" w:rsidR="00697EF0" w:rsidRPr="00697EF0" w:rsidRDefault="00697EF0" w:rsidP="00697EF0">
      <w:r w:rsidRPr="00697EF0">
        <w:t xml:space="preserve">NHS England (2025) </w:t>
      </w:r>
      <w:r w:rsidRPr="00697EF0">
        <w:rPr>
          <w:i/>
          <w:iCs/>
        </w:rPr>
        <w:t>Framework for NHS Action on Digital Inclusion</w:t>
      </w:r>
      <w:r w:rsidRPr="00697EF0">
        <w:t xml:space="preserve">. Available at: </w:t>
      </w:r>
      <w:hyperlink r:id="rId21" w:tgtFrame="_new" w:history="1">
        <w:r w:rsidRPr="00697EF0">
          <w:rPr>
            <w:rStyle w:val="Hyperlink"/>
          </w:rPr>
          <w:t>https://www.england.nhs.uk</w:t>
        </w:r>
      </w:hyperlink>
      <w:r w:rsidRPr="00697EF0">
        <w:t xml:space="preserve"> (Accessed: 28 July 2026).</w:t>
      </w:r>
    </w:p>
    <w:p w14:paraId="51D458B7" w14:textId="77777777" w:rsidR="00697EF0" w:rsidRPr="00697EF0" w:rsidRDefault="00697EF0" w:rsidP="00697EF0">
      <w:r w:rsidRPr="00697EF0">
        <w:t xml:space="preserve">Sherr, J.L., Boughton, C.K., Kovatchev, B.P., Buckingham, B.A. and Hovorka, R. (2022) ‘Artificial pancreas and hybrid closed-loop systems for type 1 diabetes’, </w:t>
      </w:r>
      <w:r w:rsidRPr="00697EF0">
        <w:rPr>
          <w:i/>
          <w:iCs/>
        </w:rPr>
        <w:t>Nature Reviews Endocrinology</w:t>
      </w:r>
      <w:r w:rsidRPr="00697EF0">
        <w:t>, 18(8), pp. 495–507.</w:t>
      </w:r>
    </w:p>
    <w:p w14:paraId="5A5C339A" w14:textId="77777777" w:rsidR="00697EF0" w:rsidRPr="00697EF0" w:rsidRDefault="00697EF0" w:rsidP="00697EF0">
      <w:r w:rsidRPr="00697EF0">
        <w:t xml:space="preserve">Thomas, N.J., Tomic, D., Boughton, C.K. and Hovorka, R. (2024) ‘Digital health technologies and ageing with type 1 diabetes: Opportunities and challenges’, </w:t>
      </w:r>
      <w:r w:rsidRPr="00697EF0">
        <w:rPr>
          <w:i/>
          <w:iCs/>
        </w:rPr>
        <w:t>Diabetic Medicine</w:t>
      </w:r>
      <w:r w:rsidRPr="00697EF0">
        <w:t>, 41(4), e15284.</w:t>
      </w:r>
    </w:p>
    <w:p w14:paraId="1E3493F5" w14:textId="77777777" w:rsidR="00697EF0" w:rsidRPr="00697EF0" w:rsidRDefault="00697EF0" w:rsidP="00697EF0">
      <w:r w:rsidRPr="00697EF0">
        <w:t xml:space="preserve">Tomic, D., Maltese, G., Thomas, N.J., Boughton, C.K. and Hovorka, R. (2025) ‘Ageing with type 1 diabetes: Epidemiology, technology and future care’, </w:t>
      </w:r>
      <w:r w:rsidRPr="00697EF0">
        <w:rPr>
          <w:i/>
          <w:iCs/>
        </w:rPr>
        <w:t>The Lancet Diabetes &amp; Endocrinology</w:t>
      </w:r>
      <w:r w:rsidRPr="00697EF0">
        <w:t>, 13(1), pp. 25–38.</w:t>
      </w:r>
    </w:p>
    <w:p w14:paraId="621CDEE4" w14:textId="77777777" w:rsidR="00697EF0" w:rsidRPr="00697EF0" w:rsidRDefault="00697EF0" w:rsidP="00697EF0">
      <w:proofErr w:type="spellStart"/>
      <w:r w:rsidRPr="00697EF0">
        <w:t>Wildenbos</w:t>
      </w:r>
      <w:proofErr w:type="spellEnd"/>
      <w:r w:rsidRPr="00697EF0">
        <w:t xml:space="preserve">, G.A., </w:t>
      </w:r>
      <w:proofErr w:type="spellStart"/>
      <w:r w:rsidRPr="00697EF0">
        <w:t>Peute</w:t>
      </w:r>
      <w:proofErr w:type="spellEnd"/>
      <w:r w:rsidRPr="00697EF0">
        <w:t xml:space="preserve">, L., Jaspers, M., van Bon, A.C. and Blanson </w:t>
      </w:r>
      <w:proofErr w:type="spellStart"/>
      <w:r w:rsidRPr="00697EF0">
        <w:t>Henkemans</w:t>
      </w:r>
      <w:proofErr w:type="spellEnd"/>
      <w:r w:rsidRPr="00697EF0">
        <w:t xml:space="preserve">, O.A. (2018) ‘Barriers and facilitators of diabetes technology use in older adults: A systematic review’, </w:t>
      </w:r>
      <w:r w:rsidRPr="00697EF0">
        <w:rPr>
          <w:i/>
          <w:iCs/>
        </w:rPr>
        <w:t>JMIR Diabetes</w:t>
      </w:r>
      <w:r w:rsidRPr="00697EF0">
        <w:t>, 3(1), e10923.</w:t>
      </w:r>
    </w:p>
    <w:p w14:paraId="089FB636" w14:textId="77777777" w:rsidR="00697EF0" w:rsidRPr="00697EF0" w:rsidRDefault="00697EF0" w:rsidP="00697EF0">
      <w:r w:rsidRPr="00697EF0">
        <w:t xml:space="preserve">World Health Organization (WHO) (1986) </w:t>
      </w:r>
      <w:r w:rsidRPr="00697EF0">
        <w:rPr>
          <w:i/>
          <w:iCs/>
        </w:rPr>
        <w:t>Ottawa Charter for Health Promotion</w:t>
      </w:r>
      <w:r w:rsidRPr="00697EF0">
        <w:t xml:space="preserve">. Geneva: World Health Organization. Available at: </w:t>
      </w:r>
      <w:hyperlink r:id="rId22" w:tgtFrame="_new" w:history="1">
        <w:r w:rsidRPr="00697EF0">
          <w:rPr>
            <w:rStyle w:val="Hyperlink"/>
          </w:rPr>
          <w:t>https://www.who.int</w:t>
        </w:r>
      </w:hyperlink>
      <w:r w:rsidRPr="00697EF0">
        <w:t xml:space="preserve"> (Accessed: 28 July 2026).</w:t>
      </w:r>
    </w:p>
    <w:p w14:paraId="721DDFE0" w14:textId="77777777" w:rsidR="00697EF0" w:rsidRPr="00697EF0" w:rsidRDefault="00697EF0" w:rsidP="00697EF0">
      <w:r w:rsidRPr="00697EF0">
        <w:t xml:space="preserve">World Health Organization (WHO) (2025) </w:t>
      </w:r>
      <w:r w:rsidRPr="00697EF0">
        <w:rPr>
          <w:i/>
          <w:iCs/>
        </w:rPr>
        <w:t>Health Promotion</w:t>
      </w:r>
      <w:r w:rsidRPr="00697EF0">
        <w:t xml:space="preserve">. Geneva: World Health Organization. Available at: </w:t>
      </w:r>
      <w:hyperlink r:id="rId23" w:tgtFrame="_new" w:history="1">
        <w:r w:rsidRPr="00697EF0">
          <w:rPr>
            <w:rStyle w:val="Hyperlink"/>
          </w:rPr>
          <w:t>https://www.who.int</w:t>
        </w:r>
      </w:hyperlink>
      <w:r w:rsidRPr="00697EF0">
        <w:t xml:space="preserve"> (Accessed: 28 July 2026).</w:t>
      </w:r>
    </w:p>
    <w:p w14:paraId="4919933D" w14:textId="5DBBA38B" w:rsidR="002817BF" w:rsidRDefault="002817BF"/>
    <w:sectPr w:rsidR="002817BF" w:rsidSect="00616FE5">
      <w:pgSz w:w="16838" w:h="11906" w:orient="landscape"/>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2734C"/>
    <w:multiLevelType w:val="multilevel"/>
    <w:tmpl w:val="FC4A5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ED7ED0"/>
    <w:multiLevelType w:val="multilevel"/>
    <w:tmpl w:val="A5C2B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573F77"/>
    <w:multiLevelType w:val="multilevel"/>
    <w:tmpl w:val="108C2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8081054">
    <w:abstractNumId w:val="1"/>
  </w:num>
  <w:num w:numId="2" w16cid:durableId="668866521">
    <w:abstractNumId w:val="2"/>
  </w:num>
  <w:num w:numId="3" w16cid:durableId="1009872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03"/>
    <w:rsid w:val="00053658"/>
    <w:rsid w:val="000818A8"/>
    <w:rsid w:val="00124B17"/>
    <w:rsid w:val="0016050E"/>
    <w:rsid w:val="001658A3"/>
    <w:rsid w:val="001C5170"/>
    <w:rsid w:val="002817BF"/>
    <w:rsid w:val="002E7D22"/>
    <w:rsid w:val="002F099C"/>
    <w:rsid w:val="002F5C4F"/>
    <w:rsid w:val="0036784B"/>
    <w:rsid w:val="00384CBD"/>
    <w:rsid w:val="003E1437"/>
    <w:rsid w:val="004231ED"/>
    <w:rsid w:val="00436A03"/>
    <w:rsid w:val="0046051D"/>
    <w:rsid w:val="0047666A"/>
    <w:rsid w:val="004D035B"/>
    <w:rsid w:val="004E6A0F"/>
    <w:rsid w:val="00515DFE"/>
    <w:rsid w:val="005440A2"/>
    <w:rsid w:val="00566BC4"/>
    <w:rsid w:val="00616FE5"/>
    <w:rsid w:val="00697EF0"/>
    <w:rsid w:val="00760288"/>
    <w:rsid w:val="00781C31"/>
    <w:rsid w:val="00797A63"/>
    <w:rsid w:val="007A0B15"/>
    <w:rsid w:val="007C2547"/>
    <w:rsid w:val="008A0C65"/>
    <w:rsid w:val="008A6B41"/>
    <w:rsid w:val="008D324E"/>
    <w:rsid w:val="008E5BF8"/>
    <w:rsid w:val="00953047"/>
    <w:rsid w:val="009724CF"/>
    <w:rsid w:val="00AB56B7"/>
    <w:rsid w:val="00B71665"/>
    <w:rsid w:val="00C32685"/>
    <w:rsid w:val="00C32B8E"/>
    <w:rsid w:val="00C425CB"/>
    <w:rsid w:val="00C4419E"/>
    <w:rsid w:val="00CC21DA"/>
    <w:rsid w:val="00CF01A0"/>
    <w:rsid w:val="00D15EC3"/>
    <w:rsid w:val="00DD6882"/>
    <w:rsid w:val="00E065FB"/>
    <w:rsid w:val="00E47E17"/>
    <w:rsid w:val="00E7097D"/>
    <w:rsid w:val="00EA37DD"/>
    <w:rsid w:val="00EA5899"/>
    <w:rsid w:val="00EF0B0C"/>
    <w:rsid w:val="00F03C2A"/>
    <w:rsid w:val="00F24C38"/>
    <w:rsid w:val="00F73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B3C29"/>
  <w15:chartTrackingRefBased/>
  <w15:docId w15:val="{DEF7E17D-5DF2-44E6-ADF5-B2B36032A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6A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A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A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A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A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A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A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A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TOC 1.1"/>
    <w:next w:val="Heading1"/>
    <w:link w:val="TOC1Char"/>
    <w:autoRedefine/>
    <w:uiPriority w:val="39"/>
    <w:unhideWhenUsed/>
    <w:qFormat/>
    <w:rsid w:val="005440A2"/>
    <w:pPr>
      <w:tabs>
        <w:tab w:val="right" w:leader="dot" w:pos="9016"/>
      </w:tabs>
      <w:spacing w:before="120" w:after="0"/>
    </w:pPr>
    <w:rPr>
      <w:rFonts w:ascii="Arial" w:hAnsi="Arial"/>
      <w:bCs/>
      <w:iCs/>
      <w:noProof/>
      <w:color w:val="000000" w:themeColor="text1"/>
    </w:rPr>
  </w:style>
  <w:style w:type="character" w:customStyle="1" w:styleId="TOC1Char">
    <w:name w:val="TOC 1 Char"/>
    <w:aliases w:val="TOC 1.1 Char"/>
    <w:basedOn w:val="DefaultParagraphFont"/>
    <w:link w:val="TOC1"/>
    <w:uiPriority w:val="39"/>
    <w:rsid w:val="005440A2"/>
    <w:rPr>
      <w:rFonts w:ascii="Arial" w:hAnsi="Arial"/>
      <w:bCs/>
      <w:iCs/>
      <w:noProof/>
      <w:color w:val="000000" w:themeColor="text1"/>
    </w:rPr>
  </w:style>
  <w:style w:type="character" w:customStyle="1" w:styleId="Heading1Char">
    <w:name w:val="Heading 1 Char"/>
    <w:basedOn w:val="DefaultParagraphFont"/>
    <w:link w:val="Heading1"/>
    <w:uiPriority w:val="9"/>
    <w:rsid w:val="00544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6A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A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A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A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A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A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A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A03"/>
    <w:rPr>
      <w:rFonts w:eastAsiaTheme="majorEastAsia" w:cstheme="majorBidi"/>
      <w:color w:val="272727" w:themeColor="text1" w:themeTint="D8"/>
    </w:rPr>
  </w:style>
  <w:style w:type="paragraph" w:styleId="Title">
    <w:name w:val="Title"/>
    <w:basedOn w:val="Normal"/>
    <w:next w:val="Normal"/>
    <w:link w:val="TitleChar"/>
    <w:uiPriority w:val="10"/>
    <w:qFormat/>
    <w:rsid w:val="00436A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A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A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A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A03"/>
    <w:pPr>
      <w:spacing w:before="160"/>
      <w:jc w:val="center"/>
    </w:pPr>
    <w:rPr>
      <w:i/>
      <w:iCs/>
      <w:color w:val="404040" w:themeColor="text1" w:themeTint="BF"/>
    </w:rPr>
  </w:style>
  <w:style w:type="character" w:customStyle="1" w:styleId="QuoteChar">
    <w:name w:val="Quote Char"/>
    <w:basedOn w:val="DefaultParagraphFont"/>
    <w:link w:val="Quote"/>
    <w:uiPriority w:val="29"/>
    <w:rsid w:val="00436A03"/>
    <w:rPr>
      <w:i/>
      <w:iCs/>
      <w:color w:val="404040" w:themeColor="text1" w:themeTint="BF"/>
    </w:rPr>
  </w:style>
  <w:style w:type="paragraph" w:styleId="ListParagraph">
    <w:name w:val="List Paragraph"/>
    <w:basedOn w:val="Normal"/>
    <w:uiPriority w:val="34"/>
    <w:qFormat/>
    <w:rsid w:val="00436A03"/>
    <w:pPr>
      <w:ind w:left="720"/>
      <w:contextualSpacing/>
    </w:pPr>
  </w:style>
  <w:style w:type="character" w:styleId="IntenseEmphasis">
    <w:name w:val="Intense Emphasis"/>
    <w:basedOn w:val="DefaultParagraphFont"/>
    <w:uiPriority w:val="21"/>
    <w:qFormat/>
    <w:rsid w:val="00436A03"/>
    <w:rPr>
      <w:i/>
      <w:iCs/>
      <w:color w:val="0F4761" w:themeColor="accent1" w:themeShade="BF"/>
    </w:rPr>
  </w:style>
  <w:style w:type="paragraph" w:styleId="IntenseQuote">
    <w:name w:val="Intense Quote"/>
    <w:basedOn w:val="Normal"/>
    <w:next w:val="Normal"/>
    <w:link w:val="IntenseQuoteChar"/>
    <w:uiPriority w:val="30"/>
    <w:qFormat/>
    <w:rsid w:val="00436A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A03"/>
    <w:rPr>
      <w:i/>
      <w:iCs/>
      <w:color w:val="0F4761" w:themeColor="accent1" w:themeShade="BF"/>
    </w:rPr>
  </w:style>
  <w:style w:type="character" w:styleId="IntenseReference">
    <w:name w:val="Intense Reference"/>
    <w:basedOn w:val="DefaultParagraphFont"/>
    <w:uiPriority w:val="32"/>
    <w:qFormat/>
    <w:rsid w:val="00436A03"/>
    <w:rPr>
      <w:b/>
      <w:bCs/>
      <w:smallCaps/>
      <w:color w:val="0F4761" w:themeColor="accent1" w:themeShade="BF"/>
      <w:spacing w:val="5"/>
    </w:rPr>
  </w:style>
  <w:style w:type="paragraph" w:styleId="NoSpacing">
    <w:name w:val="No Spacing"/>
    <w:link w:val="NoSpacingChar"/>
    <w:uiPriority w:val="1"/>
    <w:qFormat/>
    <w:rsid w:val="00436A0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36A03"/>
    <w:rPr>
      <w:rFonts w:eastAsiaTheme="minorEastAsia"/>
      <w:kern w:val="0"/>
      <w:sz w:val="22"/>
      <w:szCs w:val="22"/>
      <w:lang w:val="en-US"/>
      <w14:ligatures w14:val="none"/>
    </w:rPr>
  </w:style>
  <w:style w:type="character" w:styleId="Hyperlink">
    <w:name w:val="Hyperlink"/>
    <w:basedOn w:val="DefaultParagraphFont"/>
    <w:uiPriority w:val="99"/>
    <w:unhideWhenUsed/>
    <w:rsid w:val="00697EF0"/>
    <w:rPr>
      <w:color w:val="467886" w:themeColor="hyperlink"/>
      <w:u w:val="single"/>
    </w:rPr>
  </w:style>
  <w:style w:type="character" w:styleId="UnresolvedMention">
    <w:name w:val="Unresolved Mention"/>
    <w:basedOn w:val="DefaultParagraphFont"/>
    <w:uiPriority w:val="99"/>
    <w:semiHidden/>
    <w:unhideWhenUsed/>
    <w:rsid w:val="00697EF0"/>
    <w:rPr>
      <w:color w:val="605E5C"/>
      <w:shd w:val="clear" w:color="auto" w:fill="E1DFDD"/>
    </w:rPr>
  </w:style>
  <w:style w:type="paragraph" w:styleId="NormalWeb">
    <w:name w:val="Normal (Web)"/>
    <w:basedOn w:val="Normal"/>
    <w:uiPriority w:val="99"/>
    <w:unhideWhenUsed/>
    <w:rsid w:val="00AB56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nice.org.uk/guidance/ng17" TargetMode="External"/><Relationship Id="rId3" Type="http://schemas.openxmlformats.org/officeDocument/2006/relationships/styles" Target="styles.xml"/><Relationship Id="rId21" Type="http://schemas.openxmlformats.org/officeDocument/2006/relationships/hyperlink" Target="https://www.england.nhs.uk"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kingsfund.org.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odthingsfoundation.org" TargetMode="External"/><Relationship Id="rId20"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abetesjournals.org/care/issue/47/Supplement_1" TargetMode="External"/><Relationship Id="rId23" Type="http://schemas.openxmlformats.org/officeDocument/2006/relationships/hyperlink" Target="https://www.who.int" TargetMode="External"/><Relationship Id="rId10" Type="http://schemas.openxmlformats.org/officeDocument/2006/relationships/image" Target="media/image5.png"/><Relationship Id="rId19" Type="http://schemas.openxmlformats.org/officeDocument/2006/relationships/hyperlink" Target="https://www.nice.org.uk/guidance/ta943?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DB491-AFC7-410F-8D5A-A79C7A22B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10</Pages>
  <Words>2040</Words>
  <Characters>11632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Patience Edo</dc:creator>
  <cp:keywords/>
  <dc:description/>
  <cp:lastModifiedBy>Patience Edo</cp:lastModifiedBy>
  <cp:revision>34</cp:revision>
  <dcterms:created xsi:type="dcterms:W3CDTF">2026-07-28T08:16:00Z</dcterms:created>
  <dcterms:modified xsi:type="dcterms:W3CDTF">2026-07-28T12:38:00Z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962645b8-6943-493d-bdc4-28cd4e0a6e1c</vt:lpwstr>
  </property>
</Properties>
</file>