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13615D" w:rsidR="0013615D" w:rsidP="496D86E8" w:rsidRDefault="0013615D" w14:paraId="1F3002BB" wp14:textId="3B4E91AA">
      <w:pPr>
        <w:jc w:val="center"/>
        <w:rPr>
          <w:b w:val="1"/>
          <w:bCs w:val="1"/>
        </w:rPr>
      </w:pPr>
    </w:p>
    <w:p xmlns:wp14="http://schemas.microsoft.com/office/word/2010/wordml" w:rsidRPr="0013615D" w:rsidR="0013615D" w:rsidP="0013615D" w:rsidRDefault="0013615D" w14:paraId="79B416EF" wp14:textId="71F52086">
      <w:pPr>
        <w:jc w:val="center"/>
      </w:pPr>
      <w:r w:rsidRPr="496D86E8" w:rsidR="4229D4AA">
        <w:rPr>
          <w:b w:val="1"/>
          <w:bCs w:val="1"/>
        </w:rPr>
        <w:t>Student name: TATI BANGOURA</w:t>
      </w:r>
    </w:p>
    <w:p xmlns:wp14="http://schemas.microsoft.com/office/word/2010/wordml" w:rsidRPr="0013615D" w:rsidR="0013615D" w:rsidP="0013615D" w:rsidRDefault="0013615D" w14:paraId="4256B30C" wp14:textId="164A17DC">
      <w:pPr>
        <w:jc w:val="center"/>
      </w:pPr>
      <w:r w:rsidRPr="496D86E8" w:rsidR="4229D4AA">
        <w:rPr>
          <w:b w:val="1"/>
          <w:bCs w:val="1"/>
        </w:rPr>
        <w:t>Student ID number: 2120469</w:t>
      </w:r>
    </w:p>
    <w:p xmlns:wp14="http://schemas.microsoft.com/office/word/2010/wordml" w:rsidRPr="0013615D" w:rsidR="0013615D" w:rsidP="0013615D" w:rsidRDefault="0013615D" w14:paraId="6BCCC754" wp14:textId="0B443A10">
      <w:pPr>
        <w:jc w:val="center"/>
      </w:pPr>
      <w:r w:rsidRPr="496D86E8" w:rsidR="4229D4AA">
        <w:rPr>
          <w:b w:val="1"/>
          <w:bCs w:val="1"/>
        </w:rPr>
        <w:t>Programme</w:t>
      </w:r>
      <w:r w:rsidRPr="496D86E8" w:rsidR="4229D4AA">
        <w:rPr>
          <w:b w:val="1"/>
          <w:bCs w:val="1"/>
        </w:rPr>
        <w:t>: MSc Public Heal</w:t>
      </w:r>
      <w:r w:rsidRPr="496D86E8" w:rsidR="645762FF">
        <w:rPr>
          <w:b w:val="1"/>
          <w:bCs w:val="1"/>
        </w:rPr>
        <w:t>th and Social Care in Practice</w:t>
      </w:r>
    </w:p>
    <w:p xmlns:wp14="http://schemas.microsoft.com/office/word/2010/wordml" w:rsidRPr="0013615D" w:rsidR="0013615D" w:rsidP="0013615D" w:rsidRDefault="0013615D" w14:paraId="7939F530" wp14:textId="71D55F13">
      <w:pPr>
        <w:jc w:val="center"/>
      </w:pPr>
      <w:r w:rsidRPr="496D86E8" w:rsidR="645762FF">
        <w:rPr>
          <w:b w:val="1"/>
          <w:bCs w:val="1"/>
        </w:rPr>
        <w:t>Module: Community Care and Management of Lo</w:t>
      </w:r>
      <w:r w:rsidRPr="496D86E8" w:rsidR="3ACF8A17">
        <w:rPr>
          <w:b w:val="1"/>
          <w:bCs w:val="1"/>
        </w:rPr>
        <w:t>nger-term Conditions</w:t>
      </w:r>
    </w:p>
    <w:p xmlns:wp14="http://schemas.microsoft.com/office/word/2010/wordml" w:rsidRPr="0013615D" w:rsidR="0013615D" w:rsidP="0013615D" w:rsidRDefault="0013615D" w14:paraId="370A3924" wp14:textId="55DC890E">
      <w:pPr>
        <w:jc w:val="center"/>
      </w:pPr>
      <w:r w:rsidRPr="496D86E8" w:rsidR="3ACF8A17">
        <w:rPr>
          <w:b w:val="1"/>
          <w:bCs w:val="1"/>
        </w:rPr>
        <w:t>Module Code: LCHS7003</w:t>
      </w:r>
    </w:p>
    <w:p xmlns:wp14="http://schemas.microsoft.com/office/word/2010/wordml" w:rsidRPr="0013615D" w:rsidR="0013615D" w:rsidP="0013615D" w:rsidRDefault="0013615D" w14:paraId="0053D1E6" wp14:textId="07080501">
      <w:pPr>
        <w:jc w:val="center"/>
      </w:pPr>
      <w:r w:rsidRPr="496D86E8" w:rsidR="3ACF8A17">
        <w:rPr>
          <w:b w:val="1"/>
          <w:bCs w:val="1"/>
        </w:rPr>
        <w:t>Lecturer: Dr Aishat Bakre</w:t>
      </w:r>
    </w:p>
    <w:p xmlns:wp14="http://schemas.microsoft.com/office/word/2010/wordml" w:rsidRPr="0013615D" w:rsidR="0013615D" w:rsidP="0013615D" w:rsidRDefault="0013615D" w14:paraId="3BF7AF29" wp14:textId="750FED81">
      <w:pPr>
        <w:jc w:val="center"/>
      </w:pPr>
      <w:r w:rsidRPr="496D86E8" w:rsidR="3ACF8A17">
        <w:rPr>
          <w:b w:val="1"/>
          <w:bCs w:val="1"/>
        </w:rPr>
        <w:t>Assignment Title: Component 1</w:t>
      </w:r>
    </w:p>
    <w:p xmlns:wp14="http://schemas.microsoft.com/office/word/2010/wordml" w:rsidRPr="0013615D" w:rsidR="0013615D" w:rsidP="496D86E8" w:rsidRDefault="0013615D" w14:paraId="4451EB98" wp14:textId="0F37B9D2">
      <w:pPr>
        <w:jc w:val="center"/>
        <w:rPr>
          <w:b w:val="1"/>
          <w:bCs w:val="1"/>
        </w:rPr>
      </w:pPr>
    </w:p>
    <w:p xmlns:wp14="http://schemas.microsoft.com/office/word/2010/wordml" w:rsidRPr="0013615D" w:rsidR="0013615D" w:rsidP="496D86E8" w:rsidRDefault="0013615D" w14:paraId="764CF808" wp14:textId="1535D86B">
      <w:pPr>
        <w:jc w:val="center"/>
        <w:rPr>
          <w:b w:val="1"/>
          <w:bCs w:val="1"/>
        </w:rPr>
      </w:pPr>
    </w:p>
    <w:p xmlns:wp14="http://schemas.microsoft.com/office/word/2010/wordml" w:rsidRPr="0013615D" w:rsidR="0013615D" w:rsidP="496D86E8" w:rsidRDefault="0013615D" w14:paraId="65970B72" wp14:textId="62704D09">
      <w:pPr>
        <w:jc w:val="center"/>
        <w:rPr>
          <w:b w:val="1"/>
          <w:bCs w:val="1"/>
        </w:rPr>
      </w:pPr>
    </w:p>
    <w:p xmlns:wp14="http://schemas.microsoft.com/office/word/2010/wordml" w:rsidRPr="0013615D" w:rsidR="0013615D" w:rsidP="496D86E8" w:rsidRDefault="0013615D" w14:paraId="27A1DF2F" wp14:textId="0BE6710A">
      <w:pPr>
        <w:jc w:val="center"/>
        <w:rPr>
          <w:b w:val="1"/>
          <w:bCs w:val="1"/>
        </w:rPr>
      </w:pPr>
    </w:p>
    <w:p xmlns:wp14="http://schemas.microsoft.com/office/word/2010/wordml" w:rsidRPr="0013615D" w:rsidR="0013615D" w:rsidP="496D86E8" w:rsidRDefault="0013615D" w14:paraId="72975692" wp14:textId="32528599">
      <w:pPr>
        <w:jc w:val="center"/>
        <w:rPr>
          <w:b w:val="1"/>
          <w:bCs w:val="1"/>
        </w:rPr>
      </w:pPr>
    </w:p>
    <w:p xmlns:wp14="http://schemas.microsoft.com/office/word/2010/wordml" w:rsidRPr="0013615D" w:rsidR="0013615D" w:rsidP="496D86E8" w:rsidRDefault="0013615D" w14:paraId="09A602A5" wp14:textId="3950B1C8">
      <w:pPr>
        <w:jc w:val="center"/>
        <w:rPr>
          <w:b w:val="1"/>
          <w:bCs w:val="1"/>
        </w:rPr>
      </w:pPr>
    </w:p>
    <w:p xmlns:wp14="http://schemas.microsoft.com/office/word/2010/wordml" w:rsidRPr="0013615D" w:rsidR="0013615D" w:rsidP="496D86E8" w:rsidRDefault="0013615D" w14:paraId="79B9EB6A" wp14:textId="23A43A2F">
      <w:pPr>
        <w:jc w:val="center"/>
        <w:rPr>
          <w:b w:val="1"/>
          <w:bCs w:val="1"/>
        </w:rPr>
      </w:pPr>
    </w:p>
    <w:p xmlns:wp14="http://schemas.microsoft.com/office/word/2010/wordml" w:rsidRPr="0013615D" w:rsidR="0013615D" w:rsidP="496D86E8" w:rsidRDefault="0013615D" w14:paraId="2B444009" wp14:textId="4A768F59">
      <w:pPr>
        <w:jc w:val="center"/>
        <w:rPr>
          <w:b w:val="1"/>
          <w:bCs w:val="1"/>
        </w:rPr>
      </w:pPr>
    </w:p>
    <w:p xmlns:wp14="http://schemas.microsoft.com/office/word/2010/wordml" w:rsidRPr="0013615D" w:rsidR="0013615D" w:rsidP="496D86E8" w:rsidRDefault="0013615D" w14:paraId="0F07FA84" wp14:textId="29A03BB5">
      <w:pPr>
        <w:jc w:val="center"/>
        <w:rPr>
          <w:b w:val="1"/>
          <w:bCs w:val="1"/>
        </w:rPr>
      </w:pPr>
    </w:p>
    <w:p xmlns:wp14="http://schemas.microsoft.com/office/word/2010/wordml" w:rsidRPr="0013615D" w:rsidR="0013615D" w:rsidP="496D86E8" w:rsidRDefault="0013615D" w14:paraId="3DE348B7" wp14:textId="02CEEBD3">
      <w:pPr>
        <w:jc w:val="center"/>
        <w:rPr>
          <w:b w:val="1"/>
          <w:bCs w:val="1"/>
        </w:rPr>
      </w:pPr>
    </w:p>
    <w:p xmlns:wp14="http://schemas.microsoft.com/office/word/2010/wordml" w:rsidRPr="0013615D" w:rsidR="0013615D" w:rsidP="496D86E8" w:rsidRDefault="0013615D" w14:paraId="73B7BF03" wp14:textId="05313FB0">
      <w:pPr>
        <w:jc w:val="center"/>
        <w:rPr>
          <w:b w:val="1"/>
          <w:bCs w:val="1"/>
        </w:rPr>
      </w:pPr>
    </w:p>
    <w:p xmlns:wp14="http://schemas.microsoft.com/office/word/2010/wordml" w:rsidRPr="0013615D" w:rsidR="0013615D" w:rsidP="496D86E8" w:rsidRDefault="0013615D" w14:paraId="09D329B1" wp14:textId="73E2B150">
      <w:pPr>
        <w:jc w:val="center"/>
        <w:rPr>
          <w:b w:val="1"/>
          <w:bCs w:val="1"/>
        </w:rPr>
      </w:pPr>
    </w:p>
    <w:p xmlns:wp14="http://schemas.microsoft.com/office/word/2010/wordml" w:rsidRPr="0013615D" w:rsidR="0013615D" w:rsidP="496D86E8" w:rsidRDefault="0013615D" w14:paraId="3ED145AF" wp14:textId="2B135881">
      <w:pPr>
        <w:jc w:val="center"/>
        <w:rPr>
          <w:b w:val="1"/>
          <w:bCs w:val="1"/>
        </w:rPr>
      </w:pPr>
    </w:p>
    <w:p xmlns:wp14="http://schemas.microsoft.com/office/word/2010/wordml" w:rsidRPr="0013615D" w:rsidR="0013615D" w:rsidP="496D86E8" w:rsidRDefault="0013615D" w14:paraId="2A2AD89D" wp14:textId="232D70F7">
      <w:pPr>
        <w:jc w:val="center"/>
        <w:rPr>
          <w:b w:val="1"/>
          <w:bCs w:val="1"/>
        </w:rPr>
      </w:pPr>
    </w:p>
    <w:p xmlns:wp14="http://schemas.microsoft.com/office/word/2010/wordml" w:rsidRPr="0013615D" w:rsidR="0013615D" w:rsidP="496D86E8" w:rsidRDefault="0013615D" w14:paraId="4C77C797" wp14:textId="75A25F19">
      <w:pPr>
        <w:jc w:val="center"/>
        <w:rPr>
          <w:b w:val="1"/>
          <w:bCs w:val="1"/>
        </w:rPr>
      </w:pPr>
    </w:p>
    <w:p xmlns:wp14="http://schemas.microsoft.com/office/word/2010/wordml" w:rsidRPr="0013615D" w:rsidR="0013615D" w:rsidP="496D86E8" w:rsidRDefault="0013615D" w14:paraId="55AE16EA" wp14:textId="3F625297">
      <w:pPr>
        <w:jc w:val="center"/>
        <w:rPr>
          <w:b w:val="1"/>
          <w:bCs w:val="1"/>
        </w:rPr>
      </w:pPr>
    </w:p>
    <w:p xmlns:wp14="http://schemas.microsoft.com/office/word/2010/wordml" w:rsidRPr="0013615D" w:rsidR="0013615D" w:rsidP="496D86E8" w:rsidRDefault="0013615D" w14:paraId="3F6EB2B4" wp14:textId="2C6EA4DC">
      <w:pPr>
        <w:jc w:val="center"/>
        <w:rPr>
          <w:b w:val="1"/>
          <w:bCs w:val="1"/>
        </w:rPr>
      </w:pPr>
    </w:p>
    <w:p xmlns:wp14="http://schemas.microsoft.com/office/word/2010/wordml" w:rsidRPr="0013615D" w:rsidR="0013615D" w:rsidP="496D86E8" w:rsidRDefault="0013615D" w14:paraId="3E00BE62" wp14:textId="1B7194AC">
      <w:pPr>
        <w:jc w:val="center"/>
        <w:rPr>
          <w:b w:val="1"/>
          <w:bCs w:val="1"/>
        </w:rPr>
      </w:pPr>
    </w:p>
    <w:p xmlns:wp14="http://schemas.microsoft.com/office/word/2010/wordml" w:rsidRPr="0013615D" w:rsidR="0013615D" w:rsidP="496D86E8" w:rsidRDefault="0013615D" w14:paraId="01397916" wp14:textId="3F23EE56">
      <w:pPr>
        <w:jc w:val="center"/>
        <w:rPr>
          <w:b w:val="1"/>
          <w:bCs w:val="1"/>
        </w:rPr>
      </w:pPr>
    </w:p>
    <w:p xmlns:wp14="http://schemas.microsoft.com/office/word/2010/wordml" w:rsidRPr="0013615D" w:rsidR="0013615D" w:rsidP="496D86E8" w:rsidRDefault="0013615D" w14:paraId="308FCE1E" wp14:textId="6B0D7161">
      <w:pPr>
        <w:jc w:val="center"/>
        <w:rPr>
          <w:b w:val="1"/>
          <w:bCs w:val="1"/>
        </w:rPr>
      </w:pPr>
    </w:p>
    <w:p xmlns:wp14="http://schemas.microsoft.com/office/word/2010/wordml" w:rsidRPr="0013615D" w:rsidR="0013615D" w:rsidP="496D86E8" w:rsidRDefault="0013615D" w14:paraId="6CADB54C" wp14:textId="73DC72E2">
      <w:pPr>
        <w:jc w:val="center"/>
        <w:rPr>
          <w:b w:val="1"/>
          <w:bCs w:val="1"/>
        </w:rPr>
      </w:pPr>
    </w:p>
    <w:p xmlns:wp14="http://schemas.microsoft.com/office/word/2010/wordml" w:rsidRPr="0013615D" w:rsidR="0013615D" w:rsidP="496D86E8" w:rsidRDefault="0013615D" w14:paraId="4DC5BB94" wp14:textId="101FD264">
      <w:pPr>
        <w:pStyle w:val="Normal"/>
        <w:jc w:val="center"/>
        <w:rPr>
          <w:b w:val="1"/>
          <w:bCs w:val="1"/>
        </w:rPr>
      </w:pPr>
      <w:r w:rsidRPr="496D86E8" w:rsidR="0013615D">
        <w:rPr>
          <w:b w:val="1"/>
          <w:bCs w:val="1"/>
        </w:rPr>
        <w:t>Type 2 Diabetes Mellitus: A Critical Evaluation of Its Biopsychosocial Impact, Evidence</w:t>
      </w:r>
      <w:r w:rsidRPr="496D86E8" w:rsidR="7DEF91AE">
        <w:rPr>
          <w:b w:val="1"/>
          <w:bCs w:val="1"/>
        </w:rPr>
        <w:t xml:space="preserve"> </w:t>
      </w:r>
      <w:r w:rsidRPr="496D86E8" w:rsidR="0013615D">
        <w:rPr>
          <w:b w:val="1"/>
          <w:bCs w:val="1"/>
        </w:rPr>
        <w:t>-Based Management and Person-</w:t>
      </w:r>
      <w:r w:rsidRPr="496D86E8" w:rsidR="0013615D">
        <w:rPr>
          <w:b w:val="1"/>
          <w:bCs w:val="1"/>
        </w:rPr>
        <w:t>Centred</w:t>
      </w:r>
      <w:r w:rsidRPr="496D86E8" w:rsidR="0013615D">
        <w:rPr>
          <w:b w:val="1"/>
          <w:bCs w:val="1"/>
        </w:rPr>
        <w:t xml:space="preserve"> Care in the United Kingdom</w:t>
      </w:r>
    </w:p>
    <w:sdt>
      <w:sdtPr>
        <w:id w:val="609856404"/>
        <w:docPartObj>
          <w:docPartGallery w:val="Table of Contents"/>
          <w:docPartUnique/>
        </w:docPartObj>
      </w:sdtPr>
      <w:sdtEndPr>
        <w:rPr>
          <w:rFonts w:ascii="Times New Roman" w:hAnsi="Times New Roman" w:eastAsia="Calibri" w:cs="" w:eastAsiaTheme="minorAscii" w:cstheme="minorBidi"/>
          <w:b w:val="1"/>
          <w:bCs w:val="1"/>
          <w:noProof/>
          <w:color w:val="auto"/>
          <w:sz w:val="24"/>
          <w:szCs w:val="24"/>
        </w:rPr>
      </w:sdtEndPr>
      <w:sdtContent>
        <w:p xmlns:wp14="http://schemas.microsoft.com/office/word/2010/wordml" w:rsidR="0013615D" w:rsidRDefault="0013615D" w14:paraId="22E0FC93" wp14:textId="77777777">
          <w:pPr>
            <w:pStyle w:val="TOCHeading"/>
          </w:pPr>
          <w:r>
            <w:t>Table of Contents</w:t>
          </w:r>
        </w:p>
        <w:p xmlns:wp14="http://schemas.microsoft.com/office/word/2010/wordml" w:rsidR="00A641B5" w:rsidRDefault="0013615D" w14:paraId="18593223" wp14:textId="77777777">
          <w:pPr>
            <w:pStyle w:val="TOC1"/>
            <w:tabs>
              <w:tab w:val="right" w:leader="dot" w:pos="9350"/>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242870109">
            <w:r w:rsidRPr="00C00A7E" w:rsidR="00A641B5">
              <w:rPr>
                <w:rStyle w:val="Hyperlink"/>
                <w:noProof/>
              </w:rPr>
              <w:t>1. Introduction</w:t>
            </w:r>
            <w:r w:rsidR="00A641B5">
              <w:rPr>
                <w:noProof/>
                <w:webHidden/>
              </w:rPr>
              <w:tab/>
            </w:r>
            <w:r w:rsidR="00A641B5">
              <w:rPr>
                <w:noProof/>
                <w:webHidden/>
              </w:rPr>
              <w:fldChar w:fldCharType="begin"/>
            </w:r>
            <w:r w:rsidR="00A641B5">
              <w:rPr>
                <w:noProof/>
                <w:webHidden/>
              </w:rPr>
              <w:instrText xml:space="preserve"> PAGEREF _Toc242870109 \h </w:instrText>
            </w:r>
            <w:r w:rsidR="00A641B5">
              <w:rPr>
                <w:noProof/>
                <w:webHidden/>
              </w:rPr>
            </w:r>
            <w:r w:rsidR="00A641B5">
              <w:rPr>
                <w:noProof/>
                <w:webHidden/>
              </w:rPr>
              <w:fldChar w:fldCharType="separate"/>
            </w:r>
            <w:r w:rsidR="00A641B5">
              <w:rPr>
                <w:noProof/>
                <w:webHidden/>
              </w:rPr>
              <w:t>3</w:t>
            </w:r>
            <w:r w:rsidR="00A641B5">
              <w:rPr>
                <w:noProof/>
                <w:webHidden/>
              </w:rPr>
              <w:fldChar w:fldCharType="end"/>
            </w:r>
          </w:hyperlink>
        </w:p>
        <w:p xmlns:wp14="http://schemas.microsoft.com/office/word/2010/wordml" w:rsidR="00A641B5" w:rsidRDefault="00A641B5" w14:paraId="7F2636E7" wp14:textId="77777777">
          <w:pPr>
            <w:pStyle w:val="TOC2"/>
            <w:tabs>
              <w:tab w:val="right" w:leader="dot" w:pos="9350"/>
            </w:tabs>
            <w:rPr>
              <w:rFonts w:asciiTheme="minorHAnsi" w:hAnsiTheme="minorHAnsi" w:eastAsiaTheme="minorEastAsia"/>
              <w:noProof/>
              <w:sz w:val="22"/>
            </w:rPr>
          </w:pPr>
          <w:hyperlink w:history="1" w:anchor="_Toc242870110">
            <w:r w:rsidRPr="00C00A7E">
              <w:rPr>
                <w:rStyle w:val="Hyperlink"/>
                <w:rFonts w:eastAsia="Times New Roman"/>
                <w:noProof/>
              </w:rPr>
              <w:t>1.1 Background and Significance of Type 2 Diabetes Mellitus (100 Words)</w:t>
            </w:r>
            <w:r>
              <w:rPr>
                <w:noProof/>
                <w:webHidden/>
              </w:rPr>
              <w:tab/>
            </w:r>
            <w:r>
              <w:rPr>
                <w:noProof/>
                <w:webHidden/>
              </w:rPr>
              <w:fldChar w:fldCharType="begin"/>
            </w:r>
            <w:r>
              <w:rPr>
                <w:noProof/>
                <w:webHidden/>
              </w:rPr>
              <w:instrText xml:space="preserve"> PAGEREF _Toc242870110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A641B5" w:rsidRDefault="00A641B5" w14:paraId="4588FF93" wp14:textId="77777777">
          <w:pPr>
            <w:pStyle w:val="TOC2"/>
            <w:tabs>
              <w:tab w:val="right" w:leader="dot" w:pos="9350"/>
            </w:tabs>
            <w:rPr>
              <w:rFonts w:asciiTheme="minorHAnsi" w:hAnsiTheme="minorHAnsi" w:eastAsiaTheme="minorEastAsia"/>
              <w:noProof/>
              <w:sz w:val="22"/>
            </w:rPr>
          </w:pPr>
          <w:hyperlink w:history="1" w:anchor="_Toc242870111">
            <w:r w:rsidRPr="00C00A7E">
              <w:rPr>
                <w:rStyle w:val="Hyperlink"/>
                <w:rFonts w:eastAsia="Times New Roman"/>
                <w:noProof/>
              </w:rPr>
              <w:t>1.2 Aim, Scope and Purpose of the Information Booklet (100 Words)</w:t>
            </w:r>
            <w:r>
              <w:rPr>
                <w:noProof/>
                <w:webHidden/>
              </w:rPr>
              <w:tab/>
            </w:r>
            <w:r>
              <w:rPr>
                <w:noProof/>
                <w:webHidden/>
              </w:rPr>
              <w:fldChar w:fldCharType="begin"/>
            </w:r>
            <w:r>
              <w:rPr>
                <w:noProof/>
                <w:webHidden/>
              </w:rPr>
              <w:instrText xml:space="preserve"> PAGEREF _Toc242870111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A641B5" w:rsidRDefault="00A641B5" w14:paraId="14D407D0" wp14:textId="77777777">
          <w:pPr>
            <w:pStyle w:val="TOC1"/>
            <w:tabs>
              <w:tab w:val="right" w:leader="dot" w:pos="9350"/>
            </w:tabs>
            <w:rPr>
              <w:rFonts w:asciiTheme="minorHAnsi" w:hAnsiTheme="minorHAnsi" w:eastAsiaTheme="minorEastAsia"/>
              <w:noProof/>
              <w:sz w:val="22"/>
            </w:rPr>
          </w:pPr>
          <w:hyperlink w:history="1" w:anchor="_Toc242870112">
            <w:r w:rsidRPr="00C00A7E">
              <w:rPr>
                <w:rStyle w:val="Hyperlink"/>
                <w:noProof/>
              </w:rPr>
              <w:t>2. Epidemiology, Aetiology and Risk Factors of Type 2 Diabetes Mellitus</w:t>
            </w:r>
            <w:r>
              <w:rPr>
                <w:noProof/>
                <w:webHidden/>
              </w:rPr>
              <w:tab/>
            </w:r>
            <w:r>
              <w:rPr>
                <w:noProof/>
                <w:webHidden/>
              </w:rPr>
              <w:fldChar w:fldCharType="begin"/>
            </w:r>
            <w:r>
              <w:rPr>
                <w:noProof/>
                <w:webHidden/>
              </w:rPr>
              <w:instrText xml:space="preserve"> PAGEREF _Toc242870112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A641B5" w:rsidRDefault="00A641B5" w14:paraId="0A6EEE65" wp14:textId="77777777">
          <w:pPr>
            <w:pStyle w:val="TOC2"/>
            <w:tabs>
              <w:tab w:val="right" w:leader="dot" w:pos="9350"/>
            </w:tabs>
            <w:rPr>
              <w:rFonts w:asciiTheme="minorHAnsi" w:hAnsiTheme="minorHAnsi" w:eastAsiaTheme="minorEastAsia"/>
              <w:noProof/>
              <w:sz w:val="22"/>
            </w:rPr>
          </w:pPr>
          <w:hyperlink w:history="1" w:anchor="_Toc242870113">
            <w:r w:rsidRPr="00C00A7E">
              <w:rPr>
                <w:rStyle w:val="Hyperlink"/>
                <w:noProof/>
              </w:rPr>
              <w:t>2.1 Definition and Underlying Pathophysiology</w:t>
            </w:r>
            <w:r>
              <w:rPr>
                <w:noProof/>
                <w:webHidden/>
              </w:rPr>
              <w:tab/>
            </w:r>
            <w:r>
              <w:rPr>
                <w:noProof/>
                <w:webHidden/>
              </w:rPr>
              <w:fldChar w:fldCharType="begin"/>
            </w:r>
            <w:r>
              <w:rPr>
                <w:noProof/>
                <w:webHidden/>
              </w:rPr>
              <w:instrText xml:space="preserve"> PAGEREF _Toc242870113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A641B5" w:rsidRDefault="00A641B5" w14:paraId="28A1808C" wp14:textId="77777777">
          <w:pPr>
            <w:pStyle w:val="TOC2"/>
            <w:tabs>
              <w:tab w:val="right" w:leader="dot" w:pos="9350"/>
            </w:tabs>
            <w:rPr>
              <w:rFonts w:asciiTheme="minorHAnsi" w:hAnsiTheme="minorHAnsi" w:eastAsiaTheme="minorEastAsia"/>
              <w:noProof/>
              <w:sz w:val="22"/>
            </w:rPr>
          </w:pPr>
          <w:hyperlink w:history="1" w:anchor="_Toc242870114">
            <w:r w:rsidRPr="00C00A7E">
              <w:rPr>
                <w:rStyle w:val="Hyperlink"/>
                <w:noProof/>
              </w:rPr>
              <w:t>2.2 Global and UK Prevalence and Disease Burden</w:t>
            </w:r>
            <w:r>
              <w:rPr>
                <w:noProof/>
                <w:webHidden/>
              </w:rPr>
              <w:tab/>
            </w:r>
            <w:r>
              <w:rPr>
                <w:noProof/>
                <w:webHidden/>
              </w:rPr>
              <w:fldChar w:fldCharType="begin"/>
            </w:r>
            <w:r>
              <w:rPr>
                <w:noProof/>
                <w:webHidden/>
              </w:rPr>
              <w:instrText xml:space="preserve"> PAGEREF _Toc242870114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A641B5" w:rsidRDefault="00A641B5" w14:paraId="672559BE" wp14:textId="77777777">
          <w:pPr>
            <w:pStyle w:val="TOC2"/>
            <w:tabs>
              <w:tab w:val="right" w:leader="dot" w:pos="9350"/>
            </w:tabs>
            <w:rPr>
              <w:rFonts w:asciiTheme="minorHAnsi" w:hAnsiTheme="minorHAnsi" w:eastAsiaTheme="minorEastAsia"/>
              <w:noProof/>
              <w:sz w:val="22"/>
            </w:rPr>
          </w:pPr>
          <w:hyperlink w:history="1" w:anchor="_Toc242870115">
            <w:r w:rsidRPr="00C00A7E">
              <w:rPr>
                <w:rStyle w:val="Hyperlink"/>
                <w:noProof/>
              </w:rPr>
              <w:t>2.3 Aetiology, Risk Factors and Social Determinants of Health</w:t>
            </w:r>
            <w:r>
              <w:rPr>
                <w:noProof/>
                <w:webHidden/>
              </w:rPr>
              <w:tab/>
            </w:r>
            <w:r>
              <w:rPr>
                <w:noProof/>
                <w:webHidden/>
              </w:rPr>
              <w:fldChar w:fldCharType="begin"/>
            </w:r>
            <w:r>
              <w:rPr>
                <w:noProof/>
                <w:webHidden/>
              </w:rPr>
              <w:instrText xml:space="preserve"> PAGEREF _Toc242870115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A641B5" w:rsidRDefault="00A641B5" w14:paraId="3B5C4EB3" wp14:textId="77777777">
          <w:pPr>
            <w:pStyle w:val="TOC1"/>
            <w:tabs>
              <w:tab w:val="right" w:leader="dot" w:pos="9350"/>
            </w:tabs>
            <w:rPr>
              <w:rFonts w:asciiTheme="minorHAnsi" w:hAnsiTheme="minorHAnsi" w:eastAsiaTheme="minorEastAsia"/>
              <w:noProof/>
              <w:sz w:val="22"/>
            </w:rPr>
          </w:pPr>
          <w:hyperlink w:history="1" w:anchor="_Toc242870116">
            <w:r w:rsidRPr="00C00A7E">
              <w:rPr>
                <w:rStyle w:val="Hyperlink"/>
                <w:noProof/>
              </w:rPr>
              <w:t>3. Critical Evaluation of the Biopsychosocial Impact of Type 2 Diabetes Mellitus</w:t>
            </w:r>
            <w:r>
              <w:rPr>
                <w:noProof/>
                <w:webHidden/>
              </w:rPr>
              <w:tab/>
            </w:r>
            <w:r>
              <w:rPr>
                <w:noProof/>
                <w:webHidden/>
              </w:rPr>
              <w:fldChar w:fldCharType="begin"/>
            </w:r>
            <w:r>
              <w:rPr>
                <w:noProof/>
                <w:webHidden/>
              </w:rPr>
              <w:instrText xml:space="preserve"> PAGEREF _Toc242870116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A641B5" w:rsidRDefault="00A641B5" w14:paraId="523C97EE" wp14:textId="77777777">
          <w:pPr>
            <w:pStyle w:val="TOC2"/>
            <w:tabs>
              <w:tab w:val="right" w:leader="dot" w:pos="9350"/>
            </w:tabs>
            <w:rPr>
              <w:rFonts w:asciiTheme="minorHAnsi" w:hAnsiTheme="minorHAnsi" w:eastAsiaTheme="minorEastAsia"/>
              <w:noProof/>
              <w:sz w:val="22"/>
            </w:rPr>
          </w:pPr>
          <w:hyperlink w:history="1" w:anchor="_Toc242870117">
            <w:r w:rsidRPr="00C00A7E">
              <w:rPr>
                <w:rStyle w:val="Hyperlink"/>
                <w:noProof/>
              </w:rPr>
              <w:t>3.1 Physical Consequences and Functional Limitations</w:t>
            </w:r>
            <w:r>
              <w:rPr>
                <w:noProof/>
                <w:webHidden/>
              </w:rPr>
              <w:tab/>
            </w:r>
            <w:r>
              <w:rPr>
                <w:noProof/>
                <w:webHidden/>
              </w:rPr>
              <w:fldChar w:fldCharType="begin"/>
            </w:r>
            <w:r>
              <w:rPr>
                <w:noProof/>
                <w:webHidden/>
              </w:rPr>
              <w:instrText xml:space="preserve"> PAGEREF _Toc242870117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A641B5" w:rsidRDefault="00A641B5" w14:paraId="29DDAD67" wp14:textId="77777777">
          <w:pPr>
            <w:pStyle w:val="TOC2"/>
            <w:tabs>
              <w:tab w:val="right" w:leader="dot" w:pos="9350"/>
            </w:tabs>
            <w:rPr>
              <w:rFonts w:asciiTheme="minorHAnsi" w:hAnsiTheme="minorHAnsi" w:eastAsiaTheme="minorEastAsia"/>
              <w:noProof/>
              <w:sz w:val="22"/>
            </w:rPr>
          </w:pPr>
          <w:hyperlink w:history="1" w:anchor="_Toc242870118">
            <w:r w:rsidRPr="00C00A7E">
              <w:rPr>
                <w:rStyle w:val="Hyperlink"/>
                <w:noProof/>
              </w:rPr>
              <w:t>3.2 Psychological Impact and Emotional Wellbeing</w:t>
            </w:r>
            <w:r>
              <w:rPr>
                <w:noProof/>
                <w:webHidden/>
              </w:rPr>
              <w:tab/>
            </w:r>
            <w:r>
              <w:rPr>
                <w:noProof/>
                <w:webHidden/>
              </w:rPr>
              <w:fldChar w:fldCharType="begin"/>
            </w:r>
            <w:r>
              <w:rPr>
                <w:noProof/>
                <w:webHidden/>
              </w:rPr>
              <w:instrText xml:space="preserve"> PAGEREF _Toc242870118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A641B5" w:rsidRDefault="00A641B5" w14:paraId="1F236092" wp14:textId="77777777">
          <w:pPr>
            <w:pStyle w:val="TOC2"/>
            <w:tabs>
              <w:tab w:val="right" w:leader="dot" w:pos="9350"/>
            </w:tabs>
            <w:rPr>
              <w:rFonts w:asciiTheme="minorHAnsi" w:hAnsiTheme="minorHAnsi" w:eastAsiaTheme="minorEastAsia"/>
              <w:noProof/>
              <w:sz w:val="22"/>
            </w:rPr>
          </w:pPr>
          <w:hyperlink w:history="1" w:anchor="_Toc242870119">
            <w:r w:rsidRPr="00C00A7E">
              <w:rPr>
                <w:rStyle w:val="Hyperlink"/>
                <w:noProof/>
              </w:rPr>
              <w:t>3.3 Social Impact, Quality of Life and Health Inequalities</w:t>
            </w:r>
            <w:r>
              <w:rPr>
                <w:noProof/>
                <w:webHidden/>
              </w:rPr>
              <w:tab/>
            </w:r>
            <w:r>
              <w:rPr>
                <w:noProof/>
                <w:webHidden/>
              </w:rPr>
              <w:fldChar w:fldCharType="begin"/>
            </w:r>
            <w:r>
              <w:rPr>
                <w:noProof/>
                <w:webHidden/>
              </w:rPr>
              <w:instrText xml:space="preserve"> PAGEREF _Toc242870119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641B5" w:rsidRDefault="00A641B5" w14:paraId="1A8CDDB8" wp14:textId="77777777">
          <w:pPr>
            <w:pStyle w:val="TOC2"/>
            <w:tabs>
              <w:tab w:val="right" w:leader="dot" w:pos="9350"/>
            </w:tabs>
            <w:rPr>
              <w:rFonts w:asciiTheme="minorHAnsi" w:hAnsiTheme="minorHAnsi" w:eastAsiaTheme="minorEastAsia"/>
              <w:noProof/>
              <w:sz w:val="22"/>
            </w:rPr>
          </w:pPr>
          <w:hyperlink w:history="1" w:anchor="_Toc242870120">
            <w:r w:rsidRPr="00C00A7E">
              <w:rPr>
                <w:rStyle w:val="Hyperlink"/>
                <w:noProof/>
              </w:rPr>
              <w:t>3.4 Family Dynamics and Informal Caregiver Burden</w:t>
            </w:r>
            <w:r>
              <w:rPr>
                <w:noProof/>
                <w:webHidden/>
              </w:rPr>
              <w:tab/>
            </w:r>
            <w:r>
              <w:rPr>
                <w:noProof/>
                <w:webHidden/>
              </w:rPr>
              <w:fldChar w:fldCharType="begin"/>
            </w:r>
            <w:r>
              <w:rPr>
                <w:noProof/>
                <w:webHidden/>
              </w:rPr>
              <w:instrText xml:space="preserve"> PAGEREF _Toc242870120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641B5" w:rsidRDefault="00A641B5" w14:paraId="032437C3" wp14:textId="77777777">
          <w:pPr>
            <w:pStyle w:val="TOC1"/>
            <w:tabs>
              <w:tab w:val="right" w:leader="dot" w:pos="9350"/>
            </w:tabs>
            <w:rPr>
              <w:rFonts w:asciiTheme="minorHAnsi" w:hAnsiTheme="minorHAnsi" w:eastAsiaTheme="minorEastAsia"/>
              <w:noProof/>
              <w:sz w:val="22"/>
            </w:rPr>
          </w:pPr>
          <w:hyperlink w:history="1" w:anchor="_Toc242870121">
            <w:r w:rsidRPr="00C00A7E">
              <w:rPr>
                <w:rStyle w:val="Hyperlink"/>
                <w:noProof/>
              </w:rPr>
              <w:t>4. Evidence-Based Treatment and Clinical Management within the NHS</w:t>
            </w:r>
            <w:r>
              <w:rPr>
                <w:noProof/>
                <w:webHidden/>
              </w:rPr>
              <w:tab/>
            </w:r>
            <w:r>
              <w:rPr>
                <w:noProof/>
                <w:webHidden/>
              </w:rPr>
              <w:fldChar w:fldCharType="begin"/>
            </w:r>
            <w:r>
              <w:rPr>
                <w:noProof/>
                <w:webHidden/>
              </w:rPr>
              <w:instrText xml:space="preserve"> PAGEREF _Toc242870121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A641B5" w:rsidRDefault="00A641B5" w14:paraId="7BD3A56E" wp14:textId="77777777">
          <w:pPr>
            <w:pStyle w:val="TOC2"/>
            <w:tabs>
              <w:tab w:val="right" w:leader="dot" w:pos="9350"/>
            </w:tabs>
            <w:rPr>
              <w:rFonts w:asciiTheme="minorHAnsi" w:hAnsiTheme="minorHAnsi" w:eastAsiaTheme="minorEastAsia"/>
              <w:noProof/>
              <w:sz w:val="22"/>
            </w:rPr>
          </w:pPr>
          <w:hyperlink w:history="1" w:anchor="_Toc242870122">
            <w:r w:rsidRPr="00C00A7E">
              <w:rPr>
                <w:rStyle w:val="Hyperlink"/>
                <w:noProof/>
              </w:rPr>
              <w:t>4.1 Pharmacological Management and Therapeutic Effectiveness</w:t>
            </w:r>
            <w:r>
              <w:rPr>
                <w:noProof/>
                <w:webHidden/>
              </w:rPr>
              <w:tab/>
            </w:r>
            <w:r>
              <w:rPr>
                <w:noProof/>
                <w:webHidden/>
              </w:rPr>
              <w:fldChar w:fldCharType="begin"/>
            </w:r>
            <w:r>
              <w:rPr>
                <w:noProof/>
                <w:webHidden/>
              </w:rPr>
              <w:instrText xml:space="preserve"> PAGEREF _Toc242870122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A641B5" w:rsidRDefault="00A641B5" w14:paraId="0EA61FFF" wp14:textId="77777777">
          <w:pPr>
            <w:pStyle w:val="TOC2"/>
            <w:tabs>
              <w:tab w:val="right" w:leader="dot" w:pos="9350"/>
            </w:tabs>
            <w:rPr>
              <w:rFonts w:asciiTheme="minorHAnsi" w:hAnsiTheme="minorHAnsi" w:eastAsiaTheme="minorEastAsia"/>
              <w:noProof/>
              <w:sz w:val="22"/>
            </w:rPr>
          </w:pPr>
          <w:hyperlink w:history="1" w:anchor="_Toc242870123">
            <w:r w:rsidRPr="00C00A7E">
              <w:rPr>
                <w:rStyle w:val="Hyperlink"/>
                <w:noProof/>
              </w:rPr>
              <w:t>4.2 Non-Pharmacological Interventions and Structured Diabetes Education</w:t>
            </w:r>
            <w:r>
              <w:rPr>
                <w:noProof/>
                <w:webHidden/>
              </w:rPr>
              <w:tab/>
            </w:r>
            <w:r>
              <w:rPr>
                <w:noProof/>
                <w:webHidden/>
              </w:rPr>
              <w:fldChar w:fldCharType="begin"/>
            </w:r>
            <w:r>
              <w:rPr>
                <w:noProof/>
                <w:webHidden/>
              </w:rPr>
              <w:instrText xml:space="preserve"> PAGEREF _Toc242870123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A641B5" w:rsidRDefault="00A641B5" w14:paraId="16991AA1" wp14:textId="77777777">
          <w:pPr>
            <w:pStyle w:val="TOC2"/>
            <w:tabs>
              <w:tab w:val="right" w:leader="dot" w:pos="9350"/>
            </w:tabs>
            <w:rPr>
              <w:rFonts w:asciiTheme="minorHAnsi" w:hAnsiTheme="minorHAnsi" w:eastAsiaTheme="minorEastAsia"/>
              <w:noProof/>
              <w:sz w:val="22"/>
            </w:rPr>
          </w:pPr>
          <w:hyperlink w:history="1" w:anchor="_Toc242870124">
            <w:r w:rsidRPr="00C00A7E">
              <w:rPr>
                <w:rStyle w:val="Hyperlink"/>
                <w:noProof/>
              </w:rPr>
              <w:t>4.3 Multidisciplinary Care and Long-Term Complication Prevention</w:t>
            </w:r>
            <w:r>
              <w:rPr>
                <w:noProof/>
                <w:webHidden/>
              </w:rPr>
              <w:tab/>
            </w:r>
            <w:r>
              <w:rPr>
                <w:noProof/>
                <w:webHidden/>
              </w:rPr>
              <w:fldChar w:fldCharType="begin"/>
            </w:r>
            <w:r>
              <w:rPr>
                <w:noProof/>
                <w:webHidden/>
              </w:rPr>
              <w:instrText xml:space="preserve"> PAGEREF _Toc242870124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A641B5" w:rsidRDefault="00A641B5" w14:paraId="346151D3" wp14:textId="77777777">
          <w:pPr>
            <w:pStyle w:val="TOC1"/>
            <w:tabs>
              <w:tab w:val="right" w:leader="dot" w:pos="9350"/>
            </w:tabs>
            <w:rPr>
              <w:rFonts w:asciiTheme="minorHAnsi" w:hAnsiTheme="minorHAnsi" w:eastAsiaTheme="minorEastAsia"/>
              <w:noProof/>
              <w:sz w:val="22"/>
            </w:rPr>
          </w:pPr>
          <w:hyperlink w:history="1" w:anchor="_Toc242870125">
            <w:r w:rsidRPr="00C00A7E">
              <w:rPr>
                <w:rStyle w:val="Hyperlink"/>
                <w:noProof/>
              </w:rPr>
              <w:t>5. Critical Evaluation of UK and International Models of Long-Term Condition Management</w:t>
            </w:r>
            <w:r>
              <w:rPr>
                <w:noProof/>
                <w:webHidden/>
              </w:rPr>
              <w:tab/>
            </w:r>
            <w:r>
              <w:rPr>
                <w:noProof/>
                <w:webHidden/>
              </w:rPr>
              <w:fldChar w:fldCharType="begin"/>
            </w:r>
            <w:r>
              <w:rPr>
                <w:noProof/>
                <w:webHidden/>
              </w:rPr>
              <w:instrText xml:space="preserve"> PAGEREF _Toc242870125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A641B5" w:rsidRDefault="00A641B5" w14:paraId="66028797" wp14:textId="77777777">
          <w:pPr>
            <w:pStyle w:val="TOC2"/>
            <w:tabs>
              <w:tab w:val="right" w:leader="dot" w:pos="9350"/>
            </w:tabs>
            <w:rPr>
              <w:rFonts w:asciiTheme="minorHAnsi" w:hAnsiTheme="minorHAnsi" w:eastAsiaTheme="minorEastAsia"/>
              <w:noProof/>
              <w:sz w:val="22"/>
            </w:rPr>
          </w:pPr>
          <w:hyperlink w:history="1" w:anchor="_Toc242870126">
            <w:r w:rsidRPr="00C00A7E">
              <w:rPr>
                <w:rStyle w:val="Hyperlink"/>
                <w:noProof/>
              </w:rPr>
              <w:t>5.1 UK House of Care Model: Principles and Application to T2DM</w:t>
            </w:r>
            <w:r>
              <w:rPr>
                <w:noProof/>
                <w:webHidden/>
              </w:rPr>
              <w:tab/>
            </w:r>
            <w:r>
              <w:rPr>
                <w:noProof/>
                <w:webHidden/>
              </w:rPr>
              <w:fldChar w:fldCharType="begin"/>
            </w:r>
            <w:r>
              <w:rPr>
                <w:noProof/>
                <w:webHidden/>
              </w:rPr>
              <w:instrText xml:space="preserve"> PAGEREF _Toc242870126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A641B5" w:rsidRDefault="00A641B5" w14:paraId="78632FBF" wp14:textId="77777777">
          <w:pPr>
            <w:pStyle w:val="TOC2"/>
            <w:tabs>
              <w:tab w:val="right" w:leader="dot" w:pos="9350"/>
            </w:tabs>
            <w:rPr>
              <w:rFonts w:asciiTheme="minorHAnsi" w:hAnsiTheme="minorHAnsi" w:eastAsiaTheme="minorEastAsia"/>
              <w:noProof/>
              <w:sz w:val="22"/>
            </w:rPr>
          </w:pPr>
          <w:hyperlink w:history="1" w:anchor="_Toc242870127">
            <w:r w:rsidRPr="00C00A7E">
              <w:rPr>
                <w:rStyle w:val="Hyperlink"/>
                <w:noProof/>
              </w:rPr>
              <w:t>5.2 Wagner's Chronic Care Model: International Framework</w:t>
            </w:r>
            <w:r>
              <w:rPr>
                <w:noProof/>
                <w:webHidden/>
              </w:rPr>
              <w:tab/>
            </w:r>
            <w:r>
              <w:rPr>
                <w:noProof/>
                <w:webHidden/>
              </w:rPr>
              <w:fldChar w:fldCharType="begin"/>
            </w:r>
            <w:r>
              <w:rPr>
                <w:noProof/>
                <w:webHidden/>
              </w:rPr>
              <w:instrText xml:space="preserve"> PAGEREF _Toc242870127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A641B5" w:rsidRDefault="00A641B5" w14:paraId="4BF0F9AD" wp14:textId="77777777">
          <w:pPr>
            <w:pStyle w:val="TOC2"/>
            <w:tabs>
              <w:tab w:val="right" w:leader="dot" w:pos="9350"/>
            </w:tabs>
            <w:rPr>
              <w:rFonts w:asciiTheme="minorHAnsi" w:hAnsiTheme="minorHAnsi" w:eastAsiaTheme="minorEastAsia"/>
              <w:noProof/>
              <w:sz w:val="22"/>
            </w:rPr>
          </w:pPr>
          <w:hyperlink w:history="1" w:anchor="_Toc242870128">
            <w:r w:rsidRPr="00C00A7E">
              <w:rPr>
                <w:rStyle w:val="Hyperlink"/>
                <w:noProof/>
              </w:rPr>
              <w:t>5.3 Comparative Critical Analysis of the Two Models</w:t>
            </w:r>
            <w:r>
              <w:rPr>
                <w:noProof/>
                <w:webHidden/>
              </w:rPr>
              <w:tab/>
            </w:r>
            <w:r>
              <w:rPr>
                <w:noProof/>
                <w:webHidden/>
              </w:rPr>
              <w:fldChar w:fldCharType="begin"/>
            </w:r>
            <w:r>
              <w:rPr>
                <w:noProof/>
                <w:webHidden/>
              </w:rPr>
              <w:instrText xml:space="preserve"> PAGEREF _Toc242870128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A641B5" w:rsidRDefault="00A641B5" w14:paraId="2A0C338B" wp14:textId="77777777">
          <w:pPr>
            <w:pStyle w:val="TOC1"/>
            <w:tabs>
              <w:tab w:val="right" w:leader="dot" w:pos="9350"/>
            </w:tabs>
            <w:rPr>
              <w:rFonts w:asciiTheme="minorHAnsi" w:hAnsiTheme="minorHAnsi" w:eastAsiaTheme="minorEastAsia"/>
              <w:noProof/>
              <w:sz w:val="22"/>
            </w:rPr>
          </w:pPr>
          <w:hyperlink w:history="1" w:anchor="_Toc242870129">
            <w:r w:rsidRPr="00C00A7E">
              <w:rPr>
                <w:rStyle w:val="Hyperlink"/>
                <w:noProof/>
              </w:rPr>
              <w:t>6. Critical Analysis of National and Local Health and Social Care Policies</w:t>
            </w:r>
            <w:r>
              <w:rPr>
                <w:noProof/>
                <w:webHidden/>
              </w:rPr>
              <w:tab/>
            </w:r>
            <w:r>
              <w:rPr>
                <w:noProof/>
                <w:webHidden/>
              </w:rPr>
              <w:fldChar w:fldCharType="begin"/>
            </w:r>
            <w:r>
              <w:rPr>
                <w:noProof/>
                <w:webHidden/>
              </w:rPr>
              <w:instrText xml:space="preserve"> PAGEREF _Toc242870129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A641B5" w:rsidRDefault="00A641B5" w14:paraId="73E04ADC" wp14:textId="77777777">
          <w:pPr>
            <w:pStyle w:val="TOC2"/>
            <w:tabs>
              <w:tab w:val="right" w:leader="dot" w:pos="9350"/>
            </w:tabs>
            <w:rPr>
              <w:rFonts w:asciiTheme="minorHAnsi" w:hAnsiTheme="minorHAnsi" w:eastAsiaTheme="minorEastAsia"/>
              <w:noProof/>
              <w:sz w:val="22"/>
            </w:rPr>
          </w:pPr>
          <w:hyperlink w:history="1" w:anchor="_Toc242870130">
            <w:r w:rsidRPr="00C00A7E">
              <w:rPr>
                <w:rStyle w:val="Hyperlink"/>
                <w:noProof/>
              </w:rPr>
              <w:t>6.1 National Policy, NICE Guidance and NHS Priorities</w:t>
            </w:r>
            <w:r>
              <w:rPr>
                <w:noProof/>
                <w:webHidden/>
              </w:rPr>
              <w:tab/>
            </w:r>
            <w:r>
              <w:rPr>
                <w:noProof/>
                <w:webHidden/>
              </w:rPr>
              <w:fldChar w:fldCharType="begin"/>
            </w:r>
            <w:r>
              <w:rPr>
                <w:noProof/>
                <w:webHidden/>
              </w:rPr>
              <w:instrText xml:space="preserve"> PAGEREF _Toc242870130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A641B5" w:rsidRDefault="00A641B5" w14:paraId="738CC0C6" wp14:textId="77777777">
          <w:pPr>
            <w:pStyle w:val="TOC2"/>
            <w:tabs>
              <w:tab w:val="right" w:leader="dot" w:pos="9350"/>
            </w:tabs>
            <w:rPr>
              <w:rFonts w:asciiTheme="minorHAnsi" w:hAnsiTheme="minorHAnsi" w:eastAsiaTheme="minorEastAsia"/>
              <w:noProof/>
              <w:sz w:val="22"/>
            </w:rPr>
          </w:pPr>
          <w:hyperlink w:history="1" w:anchor="_Toc242870131">
            <w:r w:rsidRPr="00C00A7E">
              <w:rPr>
                <w:rStyle w:val="Hyperlink"/>
                <w:noProof/>
              </w:rPr>
              <w:t>6.2 Integrated Care Systems and Local Diabetes Service Delivery</w:t>
            </w:r>
            <w:r>
              <w:rPr>
                <w:noProof/>
                <w:webHidden/>
              </w:rPr>
              <w:tab/>
            </w:r>
            <w:r>
              <w:rPr>
                <w:noProof/>
                <w:webHidden/>
              </w:rPr>
              <w:fldChar w:fldCharType="begin"/>
            </w:r>
            <w:r>
              <w:rPr>
                <w:noProof/>
                <w:webHidden/>
              </w:rPr>
              <w:instrText xml:space="preserve"> PAGEREF _Toc242870131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A641B5" w:rsidRDefault="00A641B5" w14:paraId="09B5E0DA" wp14:textId="77777777">
          <w:pPr>
            <w:pStyle w:val="TOC2"/>
            <w:tabs>
              <w:tab w:val="right" w:leader="dot" w:pos="9350"/>
            </w:tabs>
            <w:rPr>
              <w:rFonts w:asciiTheme="minorHAnsi" w:hAnsiTheme="minorHAnsi" w:eastAsiaTheme="minorEastAsia"/>
              <w:noProof/>
              <w:sz w:val="22"/>
            </w:rPr>
          </w:pPr>
          <w:hyperlink w:history="1" w:anchor="_Toc242870132">
            <w:r w:rsidRPr="00C00A7E">
              <w:rPr>
                <w:rStyle w:val="Hyperlink"/>
                <w:noProof/>
              </w:rPr>
              <w:t>6.3 Policy Implementation, Prevention and Health Inequalities</w:t>
            </w:r>
            <w:r>
              <w:rPr>
                <w:noProof/>
                <w:webHidden/>
              </w:rPr>
              <w:tab/>
            </w:r>
            <w:r>
              <w:rPr>
                <w:noProof/>
                <w:webHidden/>
              </w:rPr>
              <w:fldChar w:fldCharType="begin"/>
            </w:r>
            <w:r>
              <w:rPr>
                <w:noProof/>
                <w:webHidden/>
              </w:rPr>
              <w:instrText xml:space="preserve"> PAGEREF _Toc242870132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A641B5" w:rsidRDefault="00A641B5" w14:paraId="1E676ABB" wp14:textId="77777777">
          <w:pPr>
            <w:pStyle w:val="TOC1"/>
            <w:tabs>
              <w:tab w:val="right" w:leader="dot" w:pos="9350"/>
            </w:tabs>
            <w:rPr>
              <w:rFonts w:asciiTheme="minorHAnsi" w:hAnsiTheme="minorHAnsi" w:eastAsiaTheme="minorEastAsia"/>
              <w:noProof/>
              <w:sz w:val="22"/>
            </w:rPr>
          </w:pPr>
          <w:hyperlink w:history="1" w:anchor="_Toc242870133">
            <w:r w:rsidRPr="00C00A7E">
              <w:rPr>
                <w:rStyle w:val="Hyperlink"/>
                <w:noProof/>
              </w:rPr>
              <w:t>7. Evidence-Based Recommendations for Person-Centred Care and Self-Management</w:t>
            </w:r>
            <w:r>
              <w:rPr>
                <w:noProof/>
                <w:webHidden/>
              </w:rPr>
              <w:tab/>
            </w:r>
            <w:r>
              <w:rPr>
                <w:noProof/>
                <w:webHidden/>
              </w:rPr>
              <w:fldChar w:fldCharType="begin"/>
            </w:r>
            <w:r>
              <w:rPr>
                <w:noProof/>
                <w:webHidden/>
              </w:rPr>
              <w:instrText xml:space="preserve"> PAGEREF _Toc242870133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A641B5" w:rsidRDefault="00A641B5" w14:paraId="488B4B49" wp14:textId="77777777">
          <w:pPr>
            <w:pStyle w:val="TOC2"/>
            <w:tabs>
              <w:tab w:val="right" w:leader="dot" w:pos="9350"/>
            </w:tabs>
            <w:rPr>
              <w:rFonts w:asciiTheme="minorHAnsi" w:hAnsiTheme="minorHAnsi" w:eastAsiaTheme="minorEastAsia"/>
              <w:noProof/>
              <w:sz w:val="22"/>
            </w:rPr>
          </w:pPr>
          <w:hyperlink w:history="1" w:anchor="_Toc242870134">
            <w:r w:rsidRPr="00C00A7E">
              <w:rPr>
                <w:rStyle w:val="Hyperlink"/>
                <w:noProof/>
              </w:rPr>
              <w:t>7.1 Strengthening Person-Centred and Collaborative Care Planning</w:t>
            </w:r>
            <w:r>
              <w:rPr>
                <w:noProof/>
                <w:webHidden/>
              </w:rPr>
              <w:tab/>
            </w:r>
            <w:r>
              <w:rPr>
                <w:noProof/>
                <w:webHidden/>
              </w:rPr>
              <w:fldChar w:fldCharType="begin"/>
            </w:r>
            <w:r>
              <w:rPr>
                <w:noProof/>
                <w:webHidden/>
              </w:rPr>
              <w:instrText xml:space="preserve"> PAGEREF _Toc242870134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A641B5" w:rsidRDefault="00A641B5" w14:paraId="3540EF06" wp14:textId="77777777">
          <w:pPr>
            <w:pStyle w:val="TOC2"/>
            <w:tabs>
              <w:tab w:val="right" w:leader="dot" w:pos="9350"/>
            </w:tabs>
            <w:rPr>
              <w:rFonts w:asciiTheme="minorHAnsi" w:hAnsiTheme="minorHAnsi" w:eastAsiaTheme="minorEastAsia"/>
              <w:noProof/>
              <w:sz w:val="22"/>
            </w:rPr>
          </w:pPr>
          <w:hyperlink w:history="1" w:anchor="_Toc242870135">
            <w:r w:rsidRPr="00C00A7E">
              <w:rPr>
                <w:rStyle w:val="Hyperlink"/>
                <w:noProof/>
              </w:rPr>
              <w:t>7.2 Enhancing Self-Management Education and Digital Health Support</w:t>
            </w:r>
            <w:r>
              <w:rPr>
                <w:noProof/>
                <w:webHidden/>
              </w:rPr>
              <w:tab/>
            </w:r>
            <w:r>
              <w:rPr>
                <w:noProof/>
                <w:webHidden/>
              </w:rPr>
              <w:fldChar w:fldCharType="begin"/>
            </w:r>
            <w:r>
              <w:rPr>
                <w:noProof/>
                <w:webHidden/>
              </w:rPr>
              <w:instrText xml:space="preserve"> PAGEREF _Toc242870135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00A641B5" w:rsidRDefault="00A641B5" w14:paraId="0F9912BF" wp14:textId="77777777">
          <w:pPr>
            <w:pStyle w:val="TOC2"/>
            <w:tabs>
              <w:tab w:val="right" w:leader="dot" w:pos="9350"/>
            </w:tabs>
            <w:rPr>
              <w:rFonts w:asciiTheme="minorHAnsi" w:hAnsiTheme="minorHAnsi" w:eastAsiaTheme="minorEastAsia"/>
              <w:noProof/>
              <w:sz w:val="22"/>
            </w:rPr>
          </w:pPr>
          <w:hyperlink w:history="1" w:anchor="_Toc242870136">
            <w:r w:rsidRPr="00C00A7E">
              <w:rPr>
                <w:rStyle w:val="Hyperlink"/>
                <w:noProof/>
              </w:rPr>
              <w:t>7.3 Advance Care Planning and End-of-Life Care Considerations</w:t>
            </w:r>
            <w:r>
              <w:rPr>
                <w:noProof/>
                <w:webHidden/>
              </w:rPr>
              <w:tab/>
            </w:r>
            <w:r>
              <w:rPr>
                <w:noProof/>
                <w:webHidden/>
              </w:rPr>
              <w:fldChar w:fldCharType="begin"/>
            </w:r>
            <w:r>
              <w:rPr>
                <w:noProof/>
                <w:webHidden/>
              </w:rPr>
              <w:instrText xml:space="preserve"> PAGEREF _Toc242870136 \h </w:instrText>
            </w:r>
            <w:r>
              <w:rPr>
                <w:noProof/>
                <w:webHidden/>
              </w:rPr>
            </w:r>
            <w:r>
              <w:rPr>
                <w:noProof/>
                <w:webHidden/>
              </w:rPr>
              <w:fldChar w:fldCharType="separate"/>
            </w:r>
            <w:r>
              <w:rPr>
                <w:noProof/>
                <w:webHidden/>
              </w:rPr>
              <w:t>17</w:t>
            </w:r>
            <w:r>
              <w:rPr>
                <w:noProof/>
                <w:webHidden/>
              </w:rPr>
              <w:fldChar w:fldCharType="end"/>
            </w:r>
          </w:hyperlink>
        </w:p>
        <w:p xmlns:wp14="http://schemas.microsoft.com/office/word/2010/wordml" w:rsidR="00A641B5" w:rsidRDefault="00A641B5" w14:paraId="0F5CE394" wp14:textId="77777777">
          <w:pPr>
            <w:pStyle w:val="TOC1"/>
            <w:tabs>
              <w:tab w:val="right" w:leader="dot" w:pos="9350"/>
            </w:tabs>
            <w:rPr>
              <w:rFonts w:asciiTheme="minorHAnsi" w:hAnsiTheme="minorHAnsi" w:eastAsiaTheme="minorEastAsia"/>
              <w:noProof/>
              <w:sz w:val="22"/>
            </w:rPr>
          </w:pPr>
          <w:hyperlink w:history="1" w:anchor="_Toc242870137">
            <w:r w:rsidRPr="00C00A7E">
              <w:rPr>
                <w:rStyle w:val="Hyperlink"/>
                <w:noProof/>
              </w:rPr>
              <w:t>8. Conclusion</w:t>
            </w:r>
            <w:r>
              <w:rPr>
                <w:noProof/>
                <w:webHidden/>
              </w:rPr>
              <w:tab/>
            </w:r>
            <w:r>
              <w:rPr>
                <w:noProof/>
                <w:webHidden/>
              </w:rPr>
              <w:fldChar w:fldCharType="begin"/>
            </w:r>
            <w:r>
              <w:rPr>
                <w:noProof/>
                <w:webHidden/>
              </w:rPr>
              <w:instrText xml:space="preserve"> PAGEREF _Toc242870137 \h </w:instrText>
            </w:r>
            <w:r>
              <w:rPr>
                <w:noProof/>
                <w:webHidden/>
              </w:rPr>
            </w:r>
            <w:r>
              <w:rPr>
                <w:noProof/>
                <w:webHidden/>
              </w:rPr>
              <w:fldChar w:fldCharType="separate"/>
            </w:r>
            <w:r>
              <w:rPr>
                <w:noProof/>
                <w:webHidden/>
              </w:rPr>
              <w:t>18</w:t>
            </w:r>
            <w:r>
              <w:rPr>
                <w:noProof/>
                <w:webHidden/>
              </w:rPr>
              <w:fldChar w:fldCharType="end"/>
            </w:r>
          </w:hyperlink>
        </w:p>
        <w:p xmlns:wp14="http://schemas.microsoft.com/office/word/2010/wordml" w:rsidR="00A641B5" w:rsidRDefault="00A641B5" w14:paraId="09F8184B" wp14:textId="77777777">
          <w:pPr>
            <w:pStyle w:val="TOC2"/>
            <w:tabs>
              <w:tab w:val="right" w:leader="dot" w:pos="9350"/>
            </w:tabs>
            <w:rPr>
              <w:rFonts w:asciiTheme="minorHAnsi" w:hAnsiTheme="minorHAnsi" w:eastAsiaTheme="minorEastAsia"/>
              <w:noProof/>
              <w:sz w:val="22"/>
            </w:rPr>
          </w:pPr>
          <w:hyperlink w:history="1" w:anchor="_Toc242870138">
            <w:r w:rsidRPr="00C00A7E">
              <w:rPr>
                <w:rStyle w:val="Hyperlink"/>
                <w:noProof/>
              </w:rPr>
              <w:t>8.1 Synthesis of Major Findings</w:t>
            </w:r>
            <w:r>
              <w:rPr>
                <w:noProof/>
                <w:webHidden/>
              </w:rPr>
              <w:tab/>
            </w:r>
            <w:r>
              <w:rPr>
                <w:noProof/>
                <w:webHidden/>
              </w:rPr>
              <w:fldChar w:fldCharType="begin"/>
            </w:r>
            <w:r>
              <w:rPr>
                <w:noProof/>
                <w:webHidden/>
              </w:rPr>
              <w:instrText xml:space="preserve"> PAGEREF _Toc242870138 \h </w:instrText>
            </w:r>
            <w:r>
              <w:rPr>
                <w:noProof/>
                <w:webHidden/>
              </w:rPr>
            </w:r>
            <w:r>
              <w:rPr>
                <w:noProof/>
                <w:webHidden/>
              </w:rPr>
              <w:fldChar w:fldCharType="separate"/>
            </w:r>
            <w:r>
              <w:rPr>
                <w:noProof/>
                <w:webHidden/>
              </w:rPr>
              <w:t>18</w:t>
            </w:r>
            <w:r>
              <w:rPr>
                <w:noProof/>
                <w:webHidden/>
              </w:rPr>
              <w:fldChar w:fldCharType="end"/>
            </w:r>
          </w:hyperlink>
        </w:p>
        <w:p xmlns:wp14="http://schemas.microsoft.com/office/word/2010/wordml" w:rsidR="00A641B5" w:rsidRDefault="00A641B5" w14:paraId="4725DF1C" wp14:textId="77777777">
          <w:pPr>
            <w:pStyle w:val="TOC2"/>
            <w:tabs>
              <w:tab w:val="right" w:leader="dot" w:pos="9350"/>
            </w:tabs>
            <w:rPr>
              <w:rFonts w:asciiTheme="minorHAnsi" w:hAnsiTheme="minorHAnsi" w:eastAsiaTheme="minorEastAsia"/>
              <w:noProof/>
              <w:sz w:val="22"/>
            </w:rPr>
          </w:pPr>
          <w:hyperlink w:history="1" w:anchor="_Toc242870139">
            <w:r w:rsidRPr="00C00A7E">
              <w:rPr>
                <w:rStyle w:val="Hyperlink"/>
                <w:noProof/>
              </w:rPr>
              <w:t>8.2 Implications for Future Healthcare Practice</w:t>
            </w:r>
            <w:r>
              <w:rPr>
                <w:noProof/>
                <w:webHidden/>
              </w:rPr>
              <w:tab/>
            </w:r>
            <w:r>
              <w:rPr>
                <w:noProof/>
                <w:webHidden/>
              </w:rPr>
              <w:fldChar w:fldCharType="begin"/>
            </w:r>
            <w:r>
              <w:rPr>
                <w:noProof/>
                <w:webHidden/>
              </w:rPr>
              <w:instrText xml:space="preserve"> PAGEREF _Toc242870139 \h </w:instrText>
            </w:r>
            <w:r>
              <w:rPr>
                <w:noProof/>
                <w:webHidden/>
              </w:rPr>
            </w:r>
            <w:r>
              <w:rPr>
                <w:noProof/>
                <w:webHidden/>
              </w:rPr>
              <w:fldChar w:fldCharType="separate"/>
            </w:r>
            <w:r>
              <w:rPr>
                <w:noProof/>
                <w:webHidden/>
              </w:rPr>
              <w:t>18</w:t>
            </w:r>
            <w:r>
              <w:rPr>
                <w:noProof/>
                <w:webHidden/>
              </w:rPr>
              <w:fldChar w:fldCharType="end"/>
            </w:r>
          </w:hyperlink>
        </w:p>
        <w:p xmlns:wp14="http://schemas.microsoft.com/office/word/2010/wordml" w:rsidR="00A641B5" w:rsidRDefault="00A641B5" w14:paraId="785C6C39" wp14:textId="77777777">
          <w:pPr>
            <w:pStyle w:val="TOC1"/>
            <w:tabs>
              <w:tab w:val="right" w:leader="dot" w:pos="9350"/>
            </w:tabs>
            <w:rPr>
              <w:rFonts w:asciiTheme="minorHAnsi" w:hAnsiTheme="minorHAnsi" w:eastAsiaTheme="minorEastAsia"/>
              <w:noProof/>
              <w:sz w:val="22"/>
            </w:rPr>
          </w:pPr>
          <w:hyperlink w:history="1" w:anchor="_Toc242870140">
            <w:r w:rsidRPr="00C00A7E">
              <w:rPr>
                <w:rStyle w:val="Hyperlink"/>
                <w:noProof/>
              </w:rPr>
              <w:t>References</w:t>
            </w:r>
            <w:r>
              <w:rPr>
                <w:noProof/>
                <w:webHidden/>
              </w:rPr>
              <w:tab/>
            </w:r>
            <w:r>
              <w:rPr>
                <w:noProof/>
                <w:webHidden/>
              </w:rPr>
              <w:fldChar w:fldCharType="begin"/>
            </w:r>
            <w:r>
              <w:rPr>
                <w:noProof/>
                <w:webHidden/>
              </w:rPr>
              <w:instrText xml:space="preserve"> PAGEREF _Toc242870140 \h </w:instrText>
            </w:r>
            <w:r>
              <w:rPr>
                <w:noProof/>
                <w:webHidden/>
              </w:rPr>
            </w:r>
            <w:r>
              <w:rPr>
                <w:noProof/>
                <w:webHidden/>
              </w:rPr>
              <w:fldChar w:fldCharType="separate"/>
            </w:r>
            <w:r>
              <w:rPr>
                <w:noProof/>
                <w:webHidden/>
              </w:rPr>
              <w:t>19</w:t>
            </w:r>
            <w:r>
              <w:rPr>
                <w:noProof/>
                <w:webHidden/>
              </w:rPr>
              <w:fldChar w:fldCharType="end"/>
            </w:r>
          </w:hyperlink>
        </w:p>
        <w:p xmlns:wp14="http://schemas.microsoft.com/office/word/2010/wordml" w:rsidR="0013615D" w:rsidRDefault="0013615D" w14:paraId="672A6659" wp14:textId="77777777">
          <w:r>
            <w:rPr>
              <w:b/>
              <w:bCs/>
              <w:noProof/>
            </w:rPr>
            <w:fldChar w:fldCharType="end"/>
          </w:r>
        </w:p>
      </w:sdtContent>
    </w:sdt>
    <w:p xmlns:wp14="http://schemas.microsoft.com/office/word/2010/wordml" w:rsidR="0013615D" w:rsidRDefault="0013615D" w14:paraId="0A37501D" wp14:textId="77777777">
      <w:pPr>
        <w:spacing w:line="259" w:lineRule="auto"/>
        <w:jc w:val="left"/>
      </w:pPr>
      <w:r>
        <w:br w:type="page"/>
      </w:r>
    </w:p>
    <w:p xmlns:wp14="http://schemas.microsoft.com/office/word/2010/wordml" w:rsidRPr="00A81150" w:rsidR="00A81150" w:rsidP="00A81150" w:rsidRDefault="00A81150" w14:paraId="377B6691" wp14:textId="77777777">
      <w:pPr>
        <w:pStyle w:val="Heading1"/>
      </w:pPr>
      <w:bookmarkStart w:name="_Toc242870109" w:id="0"/>
      <w:r w:rsidRPr="00A81150">
        <w:t>1. Introduction</w:t>
      </w:r>
      <w:bookmarkEnd w:id="0"/>
      <w:r w:rsidRPr="00A81150">
        <w:t xml:space="preserve"> </w:t>
      </w:r>
    </w:p>
    <w:p xmlns:wp14="http://schemas.microsoft.com/office/word/2010/wordml" w:rsidRPr="00A81150" w:rsidR="00A81150" w:rsidP="00A81150" w:rsidRDefault="00A81150" w14:paraId="75630CF0" wp14:textId="77777777">
      <w:pPr>
        <w:pStyle w:val="Heading2"/>
        <w:rPr>
          <w:rFonts w:eastAsia="Times New Roman"/>
        </w:rPr>
      </w:pPr>
      <w:bookmarkStart w:name="_Toc242870110" w:id="1"/>
      <w:r w:rsidRPr="00A81150">
        <w:rPr>
          <w:rFonts w:eastAsia="Times New Roman"/>
        </w:rPr>
        <w:t>1.1 Background and Significance of Type 2 Diabetes Mellitus (100 Words)</w:t>
      </w:r>
      <w:bookmarkEnd w:id="1"/>
    </w:p>
    <w:p xmlns:wp14="http://schemas.microsoft.com/office/word/2010/wordml" w:rsidR="00212AEB" w:rsidP="00212AEB" w:rsidRDefault="00212AEB" w14:paraId="29A4D2B4" wp14:textId="77777777">
      <w:r w:rsidRPr="00212AEB">
        <w:t xml:space="preserve">Type 2 diabetes mellitus (T2DM) is a chronic metabolic condition in which insulin resistance, gradual decline in pancreatic beta cell function, and high blood sugar levels are present. It is becoming more common and is a significant public health problem worldwide that is associated with high levels of premature deaths, disability and escalating costs of healthcare. Diabetes is a significant cause of cardiovascular disease, renal failure and vision impairment according to the World Health Organisation (WHO, 2024). In the UK, T2DM places significant demands on National Health Service (NHS) resources, in terms of multimorbidity, preventable complications and the need for continuous treatment. In summary, coordinated, evidence-based interventions </w:t>
      </w:r>
      <w:proofErr w:type="spellStart"/>
      <w:r w:rsidRPr="00212AEB">
        <w:t>utilising</w:t>
      </w:r>
      <w:proofErr w:type="spellEnd"/>
      <w:r w:rsidRPr="00212AEB">
        <w:t xml:space="preserve"> clinical outcomes along with consideration of patients' psychological and social needs are required for effective management (NICE, 2026).</w:t>
      </w:r>
    </w:p>
    <w:p xmlns:wp14="http://schemas.microsoft.com/office/word/2010/wordml" w:rsidRPr="00A81150" w:rsidR="00A81150" w:rsidP="00A81150" w:rsidRDefault="00A81150" w14:paraId="1B5F59AB" wp14:textId="77777777">
      <w:pPr>
        <w:pStyle w:val="Heading2"/>
        <w:rPr>
          <w:rFonts w:eastAsia="Times New Roman"/>
        </w:rPr>
      </w:pPr>
      <w:bookmarkStart w:name="_Toc242870111" w:id="2"/>
      <w:r w:rsidRPr="00A81150">
        <w:rPr>
          <w:rFonts w:eastAsia="Times New Roman"/>
        </w:rPr>
        <w:t>1.2 Aim, Scope and Purpose of the Information Booklet (100 Words)</w:t>
      </w:r>
      <w:bookmarkEnd w:id="2"/>
    </w:p>
    <w:p xmlns:wp14="http://schemas.microsoft.com/office/word/2010/wordml" w:rsidR="008F4523" w:rsidP="008F4523" w:rsidRDefault="008F4523" w14:paraId="56E5D059" wp14:textId="77777777">
      <w:r w:rsidRPr="008F4523">
        <w:t>This information booklet critically reviews the burden and management of T2DM in health and social care in the UK, and will give healthcare and social care practitioners an evidence-informed resource for T2DM. It reviews the prevalence of disease, associated risk factors and the physical, psychological and social impacts that individuals and families are likely to experience as a result of the disease. Moreover, it explores the NHS treatment strategies, chronic care models in the UK and internationally, and policies that impact the delivery of care. There is particular focus on person-centred care, multi-disciplinary working and ongoing self-management support, which is in line with NICE (2026) recommendations. The booklet ends with recommendations for practical, actionable enhancements to care coordination, health equity and patient outcomes over time.</w:t>
      </w:r>
    </w:p>
    <w:p xmlns:wp14="http://schemas.microsoft.com/office/word/2010/wordml" w:rsidRPr="00A81150" w:rsidR="00A81150" w:rsidP="00A57EF4" w:rsidRDefault="00A81150" w14:paraId="1671F738" wp14:textId="77777777">
      <w:pPr>
        <w:pStyle w:val="Heading1"/>
      </w:pPr>
      <w:bookmarkStart w:name="_Toc242870112" w:id="3"/>
      <w:r w:rsidRPr="00A81150">
        <w:t xml:space="preserve">2. Epidemiology, </w:t>
      </w:r>
      <w:proofErr w:type="spellStart"/>
      <w:r w:rsidRPr="00A81150">
        <w:t>Aetiology</w:t>
      </w:r>
      <w:proofErr w:type="spellEnd"/>
      <w:r w:rsidRPr="00A81150">
        <w:t xml:space="preserve"> and Risk Factors of Type 2 Diabetes Mellitus</w:t>
      </w:r>
      <w:bookmarkEnd w:id="3"/>
      <w:r w:rsidRPr="00A81150">
        <w:t xml:space="preserve"> </w:t>
      </w:r>
    </w:p>
    <w:p xmlns:wp14="http://schemas.microsoft.com/office/word/2010/wordml" w:rsidR="00A81150" w:rsidP="00A57EF4" w:rsidRDefault="00A81150" w14:paraId="7572D6A4" wp14:textId="77777777">
      <w:pPr>
        <w:pStyle w:val="Heading2"/>
      </w:pPr>
      <w:bookmarkStart w:name="_Toc242870113" w:id="4"/>
      <w:r w:rsidRPr="00A81150">
        <w:t>2.1 Definition and Underlying Pathophysiology</w:t>
      </w:r>
      <w:bookmarkEnd w:id="4"/>
      <w:r w:rsidRPr="00A81150">
        <w:t xml:space="preserve"> </w:t>
      </w:r>
    </w:p>
    <w:p xmlns:wp14="http://schemas.microsoft.com/office/word/2010/wordml" w:rsidRPr="008F4523" w:rsidR="008F4523" w:rsidP="008F4523" w:rsidRDefault="008F4523" w14:paraId="39B95946" wp14:textId="77777777">
      <w:r w:rsidRPr="008F4523">
        <w:t xml:space="preserve">Type 2 diabetes mellitus (T2DM) is a chronic metabolic dysfunction with insulin resistance and progressive pancreatic beta-cell dysfunction, leading to hyperglycaemia. Insulin resistance leads to a lower uptake of glucose in peripheral tissues, and lower function of the beta cells makes it </w:t>
      </w:r>
      <w:r w:rsidRPr="008F4523">
        <w:t>more difficult to secrete insulin, thereby setting the stage for the occurrence of glucose homeostasis (</w:t>
      </w:r>
      <w:proofErr w:type="spellStart"/>
      <w:r w:rsidRPr="008F4523">
        <w:t>Ke</w:t>
      </w:r>
      <w:proofErr w:type="spellEnd"/>
      <w:r w:rsidRPr="008F4523">
        <w:t xml:space="preserve"> et al., 2022). These mechanisms act in concert with other genetic, metabolic and environmental factors, which contribute to wide disease variability. Chronic hyperglycaemia leads to microvascular and macrovascular damage, leading to complications and premature death (WHO, 2024). Therefore, proper clinical surveillance, personalised treatment and ongoing self-management of T2DM are necessary to keep metabolism stable and to prevent long-term complications. </w:t>
      </w:r>
    </w:p>
    <w:p xmlns:wp14="http://schemas.microsoft.com/office/word/2010/wordml" w:rsidR="008F4523" w:rsidP="00A57EF4" w:rsidRDefault="008F4523" w14:paraId="5DAB6C7B" wp14:textId="77777777">
      <w:pPr>
        <w:jc w:val="center"/>
      </w:pPr>
    </w:p>
    <w:p xmlns:wp14="http://schemas.microsoft.com/office/word/2010/wordml" w:rsidR="00A57EF4" w:rsidP="00A57EF4" w:rsidRDefault="00A57EF4" w14:paraId="02EB378F" wp14:textId="77777777">
      <w:pPr>
        <w:jc w:val="center"/>
      </w:pPr>
      <w:r>
        <w:rPr>
          <w:noProof/>
        </w:rPr>
        <w:drawing>
          <wp:inline xmlns:wp14="http://schemas.microsoft.com/office/word/2010/wordprocessingDrawing" distT="0" distB="0" distL="0" distR="0" wp14:anchorId="057EA0DB" wp14:editId="7777777">
            <wp:extent cx="4368800" cy="32766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68800" cy="3276600"/>
                    </a:xfrm>
                    <a:prstGeom prst="rect">
                      <a:avLst/>
                    </a:prstGeom>
                    <a:noFill/>
                  </pic:spPr>
                </pic:pic>
              </a:graphicData>
            </a:graphic>
          </wp:inline>
        </w:drawing>
      </w:r>
    </w:p>
    <w:p xmlns:wp14="http://schemas.microsoft.com/office/word/2010/wordml" w:rsidRPr="00A57EF4" w:rsidR="00A57EF4" w:rsidP="00A57EF4" w:rsidRDefault="00A57EF4" w14:paraId="2A33D4FD" wp14:textId="77777777">
      <w:pPr>
        <w:jc w:val="center"/>
        <w:rPr>
          <w:b/>
        </w:rPr>
      </w:pPr>
      <w:r w:rsidRPr="00A57EF4">
        <w:rPr>
          <w:b/>
        </w:rPr>
        <w:t>Fig 1: Pathophysiology of Type 2 Diabetes Mellitus</w:t>
      </w:r>
    </w:p>
    <w:p xmlns:wp14="http://schemas.microsoft.com/office/word/2010/wordml" w:rsidRPr="00A57EF4" w:rsidR="00A57EF4" w:rsidP="00A57EF4" w:rsidRDefault="00A57EF4" w14:paraId="7FFA03EE" wp14:textId="77777777">
      <w:pPr>
        <w:jc w:val="center"/>
        <w:rPr>
          <w:i/>
        </w:rPr>
      </w:pPr>
      <w:r w:rsidRPr="00A57EF4">
        <w:rPr>
          <w:i/>
        </w:rPr>
        <w:t xml:space="preserve">Pathophysiological mechanisms contributing to hyperglycaemia in Type 2 diabetes mellitus. Adapted from </w:t>
      </w:r>
      <w:proofErr w:type="spellStart"/>
      <w:r w:rsidRPr="00A57EF4">
        <w:rPr>
          <w:i/>
        </w:rPr>
        <w:t>Ke</w:t>
      </w:r>
      <w:proofErr w:type="spellEnd"/>
      <w:r w:rsidRPr="00A57EF4">
        <w:rPr>
          <w:i/>
        </w:rPr>
        <w:t xml:space="preserve"> et al. (2022).</w:t>
      </w:r>
    </w:p>
    <w:p xmlns:wp14="http://schemas.microsoft.com/office/word/2010/wordml" w:rsidR="00A81150" w:rsidP="00A57EF4" w:rsidRDefault="00A81150" w14:paraId="4B704A35" wp14:textId="77777777">
      <w:pPr>
        <w:pStyle w:val="Heading2"/>
      </w:pPr>
      <w:bookmarkStart w:name="_Toc242870114" w:id="5"/>
      <w:r w:rsidRPr="00A81150">
        <w:t>2.2 Global and UK Prevalence and Disease Burden</w:t>
      </w:r>
      <w:bookmarkEnd w:id="5"/>
      <w:r w:rsidRPr="00A81150">
        <w:t xml:space="preserve"> </w:t>
      </w:r>
    </w:p>
    <w:p xmlns:wp14="http://schemas.microsoft.com/office/word/2010/wordml" w:rsidRPr="008F4523" w:rsidR="008F4523" w:rsidP="008F4523" w:rsidRDefault="008F4523" w14:paraId="139C050F" wp14:textId="77777777">
      <w:r w:rsidRPr="008F4523">
        <w:t xml:space="preserve">In 2024, the International Diabetes Federation (IDF, 2025) estimates there were 589 million adults, aged 20-79, with diabetes globally; that figure is expected to increase to 853 million by 2050. Around 43% were undiagnosed, indicating significant under-diagnosis. Diabetes UK (2026) estimates that in the UK almost six million people have diabetes; of this, over 4.7 million are </w:t>
      </w:r>
      <w:r w:rsidRPr="008F4523">
        <w:t xml:space="preserve">diagnosed, and around 1.3 million may be undiagnosed T2DM. Approximately 90% of diagnosed diabetes is Type 2 diabetes. </w:t>
      </w:r>
    </w:p>
    <w:p xmlns:wp14="http://schemas.microsoft.com/office/word/2010/wordml" w:rsidR="008F4523" w:rsidP="008F4523" w:rsidRDefault="008F4523" w14:paraId="65351805" wp14:textId="77777777">
      <w:r w:rsidRPr="008F4523">
        <w:t>Healthcare demands due to ageing, obesity and socioeconomic disadvantage continue to increase. Comparisons should be made with care, however, as the estimates for the IDF are for adults aged 20-79, while for the UK their estimates are based on different population coverage and surveillance methods. This is further complicated by diagnostic variation and unrecognised cases. It therefore is important that public health planning focuses on enabling targeted screening, prevention and allocation of NHS resources to tackle growing burden of disease in an equitable manner.</w:t>
      </w:r>
    </w:p>
    <w:p xmlns:wp14="http://schemas.microsoft.com/office/word/2010/wordml" w:rsidR="009E2EFD" w:rsidP="009E2EFD" w:rsidRDefault="009E2EFD" w14:paraId="6A05A809" wp14:textId="77777777">
      <w:pPr>
        <w:jc w:val="center"/>
      </w:pPr>
      <w:r>
        <w:rPr>
          <w:noProof/>
        </w:rPr>
        <w:drawing>
          <wp:inline xmlns:wp14="http://schemas.microsoft.com/office/word/2010/wordprocessingDrawing" distT="0" distB="0" distL="0" distR="0" wp14:anchorId="207EBB41" wp14:editId="7777777">
            <wp:extent cx="5118100" cy="2952750"/>
            <wp:effectExtent l="0" t="0" r="635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18805" cy="2953157"/>
                    </a:xfrm>
                    <a:prstGeom prst="rect">
                      <a:avLst/>
                    </a:prstGeom>
                    <a:noFill/>
                  </pic:spPr>
                </pic:pic>
              </a:graphicData>
            </a:graphic>
          </wp:inline>
        </w:drawing>
      </w:r>
    </w:p>
    <w:p xmlns:wp14="http://schemas.microsoft.com/office/word/2010/wordml" w:rsidR="009E2EFD" w:rsidP="009E2EFD" w:rsidRDefault="009E2EFD" w14:paraId="6895F687" wp14:textId="77777777">
      <w:pPr>
        <w:jc w:val="center"/>
        <w:rPr>
          <w:b/>
        </w:rPr>
      </w:pPr>
      <w:r w:rsidRPr="009E2EFD">
        <w:rPr>
          <w:b/>
        </w:rPr>
        <w:t>Fig 2: Global and UK Diabetes Prevalence</w:t>
      </w:r>
    </w:p>
    <w:p xmlns:wp14="http://schemas.microsoft.com/office/word/2010/wordml" w:rsidRPr="009E2EFD" w:rsidR="009E2EFD" w:rsidP="009E2EFD" w:rsidRDefault="009E2EFD" w14:paraId="1AE19314" wp14:textId="77777777">
      <w:pPr>
        <w:jc w:val="center"/>
        <w:rPr>
          <w:i/>
        </w:rPr>
      </w:pPr>
      <w:r w:rsidRPr="009E2EFD">
        <w:rPr>
          <w:i/>
        </w:rPr>
        <w:t>Global and UK diabetes prevalence estimates. Data sources: International Diabetes Federation (2025) and Diabetes UK</w:t>
      </w:r>
    </w:p>
    <w:p xmlns:wp14="http://schemas.microsoft.com/office/word/2010/wordml" w:rsidRPr="00A81150" w:rsidR="00A81150" w:rsidP="00A57EF4" w:rsidRDefault="00A81150" w14:paraId="303E982C" wp14:textId="77777777">
      <w:pPr>
        <w:pStyle w:val="Heading2"/>
      </w:pPr>
      <w:bookmarkStart w:name="_Toc242870115" w:id="6"/>
      <w:r w:rsidRPr="00A81150">
        <w:t xml:space="preserve">2.3 </w:t>
      </w:r>
      <w:proofErr w:type="spellStart"/>
      <w:r w:rsidRPr="00A81150">
        <w:t>Aetiology</w:t>
      </w:r>
      <w:proofErr w:type="spellEnd"/>
      <w:r w:rsidRPr="00A81150">
        <w:t>, Risk Factors and Social Determinants of Health</w:t>
      </w:r>
      <w:bookmarkEnd w:id="6"/>
      <w:r w:rsidRPr="00A81150">
        <w:t xml:space="preserve"> </w:t>
      </w:r>
    </w:p>
    <w:p xmlns:wp14="http://schemas.microsoft.com/office/word/2010/wordml" w:rsidRPr="008F4523" w:rsidR="008F4523" w:rsidP="008F4523" w:rsidRDefault="008F4523" w14:paraId="3F55EE93" wp14:textId="77777777">
      <w:r w:rsidRPr="008F4523">
        <w:t xml:space="preserve">T2DM is a complex interplay of genetic susceptibility, metabolic dysfunction, behavioural factors and wider socio-economic factors. Non-modifiable determinants are age, family history and genetic risk; and the risk is different for different ethnic groups. Adjustable factors are excess adiposity, low physical activity and abnormal eating habits that promote metabolic risk. But these factors can be viewed as individual lifestyle choices without considering their structural determinants. </w:t>
      </w:r>
    </w:p>
    <w:p xmlns:wp14="http://schemas.microsoft.com/office/word/2010/wordml" w:rsidR="008F4523" w:rsidP="008F4523" w:rsidRDefault="008F4523" w14:paraId="75DDEBA2" wp14:textId="77777777">
      <w:r w:rsidRPr="008F4523">
        <w:t xml:space="preserve">The authors Hill-Briggs and Fitzpatrick (2023) state that income, education, neighbourhood characteristics and health care access all affect diabetes development in ways that are interrelated. Likewise, Chan et al. (2023) pinpoint ongoing disparities in the research and treatment of diabetes. Low income and other socio-economic disadvantages may limit access to good nutrition, safe recreational areas and preventive health services, heightening the vulnerability of disadvantaged groups. Hence, a holistic approach to prevention is needed by addressing individual behaviours and social inequalities. Thus, individual behavioural interventions are not enough for effective prevention – it also needs to address social inequalities. </w:t>
      </w:r>
    </w:p>
    <w:p xmlns:wp14="http://schemas.microsoft.com/office/word/2010/wordml" w:rsidRPr="00A81150" w:rsidR="00A81150" w:rsidP="00A57EF4" w:rsidRDefault="00A81150" w14:paraId="575E8A9F" wp14:textId="77777777">
      <w:pPr>
        <w:pStyle w:val="Heading1"/>
      </w:pPr>
      <w:bookmarkStart w:name="_Toc242870116" w:id="7"/>
      <w:r w:rsidRPr="00A81150">
        <w:t>3. Critical Evaluation of the Biopsychosocial Impact of Type 2 Diabetes Mellitus</w:t>
      </w:r>
      <w:bookmarkEnd w:id="7"/>
      <w:r w:rsidRPr="00A81150">
        <w:t xml:space="preserve"> </w:t>
      </w:r>
    </w:p>
    <w:p xmlns:wp14="http://schemas.microsoft.com/office/word/2010/wordml" w:rsidRPr="00A81150" w:rsidR="00A81150" w:rsidP="00A57EF4" w:rsidRDefault="00A81150" w14:paraId="57066138" wp14:textId="77777777">
      <w:pPr>
        <w:pStyle w:val="Heading2"/>
      </w:pPr>
      <w:bookmarkStart w:name="_Toc242870117" w:id="8"/>
      <w:r w:rsidRPr="00A81150">
        <w:t>3.1 Physical Consequences and Functional Limitations</w:t>
      </w:r>
      <w:bookmarkEnd w:id="8"/>
      <w:r w:rsidRPr="00A81150">
        <w:t xml:space="preserve"> </w:t>
      </w:r>
    </w:p>
    <w:p xmlns:wp14="http://schemas.microsoft.com/office/word/2010/wordml" w:rsidRPr="008F4523" w:rsidR="008F4523" w:rsidP="008F4523" w:rsidRDefault="008F4523" w14:paraId="2BEFEFF2" wp14:textId="77777777">
      <w:r w:rsidRPr="008F4523">
        <w:t xml:space="preserve">T2DM results in significant physical morbidity due to microvascular and macrovascular complications. Ongoing hyperglycaemia is a risk factor for diabetic nephropathy, diabetic retinopathy, and diabetic peripheral neuropathy, which can lead to renal impairment, vision loss, chronic pain and reduced function. Disability and premature death are also caused by cardiovascular complications such as coronary heart disease and stroke (WHO, 2024). </w:t>
      </w:r>
    </w:p>
    <w:p xmlns:wp14="http://schemas.microsoft.com/office/word/2010/wordml" w:rsidR="008F4523" w:rsidP="008F4523" w:rsidRDefault="008F4523" w14:paraId="77111F2C" wp14:textId="77777777">
      <w:r w:rsidRPr="008F4523">
        <w:t xml:space="preserve">In a systematic review and meta-analysis, Redenz et al. (2023) found a significant decrease in health-related quality of life related to diabetes complications. However, pooled estimates are not easily generalisable due to variations in studies and assessment tools. Physical impacts often limit these aspects of their mobility, employment and independence, especially if they are also affected by multimorbidity. Furthermore, medication management, regular clinic visits and glucose monitoring can be a significant treatment burden. The results indicate that glycaemic control is not sufficient to reflect the impact of the disease, and the assessment needs to include indicators of functional ability, treatment burden and patient-reported outcomes in addition to the conventional clinical ones. </w:t>
      </w:r>
    </w:p>
    <w:p xmlns:wp14="http://schemas.microsoft.com/office/word/2010/wordml" w:rsidRPr="00A81150" w:rsidR="00A81150" w:rsidP="00A57EF4" w:rsidRDefault="00A81150" w14:paraId="6FEE2C45" wp14:textId="77777777">
      <w:pPr>
        <w:pStyle w:val="Heading2"/>
      </w:pPr>
      <w:bookmarkStart w:name="_Toc242870118" w:id="9"/>
      <w:r w:rsidRPr="00A81150">
        <w:t>3.2 Psychological Impact and Emotional Wellbeing</w:t>
      </w:r>
      <w:bookmarkEnd w:id="9"/>
      <w:r w:rsidRPr="00A81150">
        <w:t xml:space="preserve"> </w:t>
      </w:r>
    </w:p>
    <w:p xmlns:wp14="http://schemas.microsoft.com/office/word/2010/wordml" w:rsidR="008F4523" w:rsidP="008F4523" w:rsidRDefault="008F4523" w14:paraId="184759F7" wp14:textId="77777777">
      <w:r>
        <w:t xml:space="preserve">Diabetes-specific distress is a type of distress that can be associated with T2DM and is linked to the ongoing management demands of living with T2DM, in addition to general emotional distress. </w:t>
      </w:r>
      <w:r>
        <w:t xml:space="preserve">Diabetes distress prevalence rates vary widely, ranging from 18–45% according to the American Diabetes Association Professional Practice Committee (2024). Psychological problems could impact adherence to medication, food management and interaction with healthcare professionals, which may result in worse glycaemic control. </w:t>
      </w:r>
    </w:p>
    <w:p xmlns:wp14="http://schemas.microsoft.com/office/word/2010/wordml" w:rsidR="008F4523" w:rsidP="008F4523" w:rsidRDefault="008F4523" w14:paraId="7CC0292D" wp14:textId="77777777">
      <w:r>
        <w:t xml:space="preserve">The relationship is bidirectional: poor metabolic control and complications can exacerbate emotional distress and make it more difficult, reinforcing the poor control. A review by Fernández-Rodríguez et al. (2024) serves as an example of the need to assess psychological outcomes in addition to clinical outcomes for digital interventions addressing diabetes-related distress and depression. Thus, a systematic psychological evaluation, the use of a non-judgemental listening ear and easy access to mental health services should not be an afterthought of diabetes treatment. </w:t>
      </w:r>
    </w:p>
    <w:p xmlns:wp14="http://schemas.microsoft.com/office/word/2010/wordml" w:rsidRPr="00A81150" w:rsidR="00A81150" w:rsidP="00A57EF4" w:rsidRDefault="00A81150" w14:paraId="1E0B5A97" wp14:textId="77777777">
      <w:pPr>
        <w:pStyle w:val="Heading2"/>
      </w:pPr>
      <w:bookmarkStart w:name="_Toc242870119" w:id="10"/>
      <w:r w:rsidRPr="00A81150">
        <w:t>3.3 Social Impact, Quality of Life and Health Inequalities</w:t>
      </w:r>
      <w:bookmarkEnd w:id="10"/>
      <w:r w:rsidRPr="00A81150">
        <w:t xml:space="preserve"> </w:t>
      </w:r>
    </w:p>
    <w:p xmlns:wp14="http://schemas.microsoft.com/office/word/2010/wordml" w:rsidR="008F4523" w:rsidP="008F4523" w:rsidRDefault="008F4523" w14:paraId="00104B15" wp14:textId="77777777">
      <w:r>
        <w:t xml:space="preserve">T2DM can lead to job losses, loss of income, restriction of social participation and reduced quality of life. Treatment needs or complications can interfere with work arrangements, and certain medications can have side effects that require appointments with the health care provider. Treatment needs and/or complications can interfere with work arrangements, and side effects of medication may necessitate health appointments. The multidimensional quality of life assessment is shown to be important by Alzahrani et al. (2023), but there is a problem of variations in the tools used to measure quality of life across studies. </w:t>
      </w:r>
    </w:p>
    <w:p xmlns:wp14="http://schemas.microsoft.com/office/word/2010/wordml" w:rsidR="008F4523" w:rsidP="008F4523" w:rsidRDefault="008F4523" w14:paraId="5410746A" wp14:textId="77777777">
      <w:pPr>
        <w:rPr>
          <w:highlight w:val="yellow"/>
        </w:rPr>
      </w:pPr>
      <w:r>
        <w:t>This is further shaped by social inequalities. Socio-economic issues and neighbourhood environments have been recognised as determinants of diabetes outcomes by Hill-Briggs and Fitzpatrick (2023). Poor literacy and financial security, and unequal access to health care services, may limit the ability to engage in effective self-management. In addition, stigma can deter disclosure and access to services. It is therefore important to attend to social circumstances in addition to clinical treatment to enhance outcomes, especially when there are intersections in economic and health disadvantage groups.</w:t>
      </w:r>
    </w:p>
    <w:p xmlns:wp14="http://schemas.microsoft.com/office/word/2010/wordml" w:rsidRPr="00A81150" w:rsidR="00A81150" w:rsidP="00A57EF4" w:rsidRDefault="00A81150" w14:paraId="3FC8FB88" wp14:textId="77777777">
      <w:pPr>
        <w:pStyle w:val="Heading2"/>
      </w:pPr>
      <w:bookmarkStart w:name="_Toc242870120" w:id="11"/>
      <w:r w:rsidRPr="007B1CEF">
        <w:t>3.4 Family Dynamics and Informal Caregiver Burden</w:t>
      </w:r>
      <w:bookmarkEnd w:id="11"/>
      <w:r w:rsidRPr="00A81150">
        <w:t xml:space="preserve"> </w:t>
      </w:r>
    </w:p>
    <w:p xmlns:wp14="http://schemas.microsoft.com/office/word/2010/wordml" w:rsidRPr="007B1CEF" w:rsidR="007B1CEF" w:rsidP="007B1CEF" w:rsidRDefault="007B1CEF" w14:paraId="2E96E572" wp14:textId="77777777">
      <w:r w:rsidRPr="007B1CEF">
        <w:t xml:space="preserve">T2DM also impacts family relationships due to lifestyle changes, emotional responsibility and practical caretaking needs. Family members often help with meal preparation, prescriptions and doctor visits. The systematic review by Teli et al. (2024) included 18 RCTs with 2,815 participants, which showed that family-based interventions had a beneficial effect on glycaemic control, </w:t>
      </w:r>
      <w:r w:rsidRPr="007B1CEF">
        <w:t xml:space="preserve">although there was moderate heterogeneity, limiting confidence in the effectiveness of family interventions in different settings. </w:t>
      </w:r>
    </w:p>
    <w:p xmlns:wp14="http://schemas.microsoft.com/office/word/2010/wordml" w:rsidRPr="007B1CEF" w:rsidR="007B1CEF" w:rsidP="007B1CEF" w:rsidRDefault="007B1CEF" w14:paraId="5C08840A" wp14:textId="77777777">
      <w:r w:rsidRPr="007B1CEF">
        <w:t xml:space="preserve">However, family participation can create financial pressure, stress and conflicts. Tang et al. (2026) revealed that supportive family behaviours supported self-management, while excessive control, conflict and family burden may pose challenges to self-management. </w:t>
      </w:r>
    </w:p>
    <w:p xmlns:wp14="http://schemas.microsoft.com/office/word/2010/wordml" w:rsidR="007B1CEF" w:rsidP="007B1CEF" w:rsidRDefault="007B1CEF" w14:paraId="07B1E5FC" wp14:textId="77777777">
      <w:r w:rsidRPr="007B1CEF">
        <w:t>These findings indicate that the involvement of families is not always positive. Within the framework of healthcare, it is important for professionals to evaluate the caregiver's capability, respect the patient's autonomy and offer appropriate education and emotional support to them, while at the same time ensuring that the involvement of the caregiver in the care does not cause them unnecessary burden.</w:t>
      </w:r>
    </w:p>
    <w:p xmlns:wp14="http://schemas.microsoft.com/office/word/2010/wordml" w:rsidR="009E2EFD" w:rsidP="009E2EFD" w:rsidRDefault="009E2EFD" w14:paraId="5A39BBE3" wp14:textId="77777777">
      <w:pPr>
        <w:jc w:val="center"/>
      </w:pPr>
      <w:r>
        <w:rPr>
          <w:noProof/>
        </w:rPr>
        <w:drawing>
          <wp:inline xmlns:wp14="http://schemas.microsoft.com/office/word/2010/wordprocessingDrawing" distT="0" distB="0" distL="0" distR="0" wp14:anchorId="5B6B7BF0" wp14:editId="7777777">
            <wp:extent cx="2972625" cy="2933312"/>
            <wp:effectExtent l="0" t="0" r="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8261" cy="2938873"/>
                    </a:xfrm>
                    <a:prstGeom prst="rect">
                      <a:avLst/>
                    </a:prstGeom>
                    <a:noFill/>
                  </pic:spPr>
                </pic:pic>
              </a:graphicData>
            </a:graphic>
          </wp:inline>
        </w:drawing>
      </w:r>
    </w:p>
    <w:p xmlns:wp14="http://schemas.microsoft.com/office/word/2010/wordml" w:rsidR="009E2EFD" w:rsidP="009E2EFD" w:rsidRDefault="009E2EFD" w14:paraId="52AE5755" wp14:textId="77777777">
      <w:pPr>
        <w:jc w:val="center"/>
        <w:rPr>
          <w:b/>
        </w:rPr>
      </w:pPr>
      <w:r w:rsidRPr="009E2EFD">
        <w:rPr>
          <w:b/>
        </w:rPr>
        <w:t>Fig 3: Biopsychosocial Impact of Type 2 Diabetes Mellitus</w:t>
      </w:r>
    </w:p>
    <w:p xmlns:wp14="http://schemas.microsoft.com/office/word/2010/wordml" w:rsidRPr="009E2EFD" w:rsidR="009E2EFD" w:rsidP="009E2EFD" w:rsidRDefault="009E2EFD" w14:paraId="38CC78A9" wp14:textId="77777777">
      <w:pPr>
        <w:jc w:val="center"/>
        <w:rPr>
          <w:i/>
        </w:rPr>
      </w:pPr>
      <w:r w:rsidRPr="009E2EFD">
        <w:rPr>
          <w:i/>
        </w:rPr>
        <w:t>Interconnected physical, psychological, social and family consequences of Type 2 diabetes mellitus. Developed from the evidence reviewed in Section 3.</w:t>
      </w:r>
    </w:p>
    <w:p xmlns:wp14="http://schemas.microsoft.com/office/word/2010/wordml" w:rsidRPr="00A81150" w:rsidR="00A81150" w:rsidP="00A57EF4" w:rsidRDefault="00A81150" w14:paraId="24E400A7" wp14:textId="77777777">
      <w:pPr>
        <w:pStyle w:val="Heading1"/>
      </w:pPr>
      <w:bookmarkStart w:name="_Toc242870121" w:id="12"/>
      <w:r w:rsidRPr="00A81150">
        <w:t>4. Evidence-Based Treatment and Clinical Management within the NHS</w:t>
      </w:r>
      <w:bookmarkEnd w:id="12"/>
      <w:r w:rsidRPr="00A81150">
        <w:t xml:space="preserve"> </w:t>
      </w:r>
    </w:p>
    <w:p xmlns:wp14="http://schemas.microsoft.com/office/word/2010/wordml" w:rsidRPr="00A81150" w:rsidR="00A81150" w:rsidP="00CF73FD" w:rsidRDefault="00A81150" w14:paraId="0CE4051B" wp14:textId="77777777">
      <w:pPr>
        <w:pStyle w:val="Heading2"/>
      </w:pPr>
      <w:bookmarkStart w:name="_Toc242870122" w:id="13"/>
      <w:r w:rsidRPr="00A81150">
        <w:t>4.1 Pharmacological Management and Therapeutic Effectiveness</w:t>
      </w:r>
      <w:bookmarkEnd w:id="13"/>
      <w:r w:rsidRPr="00A81150">
        <w:t xml:space="preserve"> </w:t>
      </w:r>
    </w:p>
    <w:p xmlns:wp14="http://schemas.microsoft.com/office/word/2010/wordml" w:rsidRPr="007B1CEF" w:rsidR="007B1CEF" w:rsidP="007B1CEF" w:rsidRDefault="007B1CEF" w14:paraId="73EDA86D" wp14:textId="77777777">
      <w:r w:rsidRPr="007B1CEF">
        <w:t xml:space="preserve">Cardiovascular and renal protection are important goals of pharmacologic management of type 2 diabetes mellitus (T2DM) in addition to glycaemic control. For most adults, without relevant co-morbidities, the updated NICE (2026) guidance recommends using a modified-release form of metformin plus an SGLT2 inhibitor. Additionally, SGLT2 inhibitors offer cardiovascular and renal protective effects, and GLP-1 receptor agonists, especially </w:t>
      </w:r>
      <w:proofErr w:type="spellStart"/>
      <w:r w:rsidRPr="007B1CEF">
        <w:t>semaglutide</w:t>
      </w:r>
      <w:proofErr w:type="spellEnd"/>
      <w:r w:rsidRPr="007B1CEF">
        <w:t xml:space="preserve">, are recommended for specific patients with known cardiovascular disease. Insulin can be used if other treatments are inadequate for glycaemic control (NICE, 2026). </w:t>
      </w:r>
    </w:p>
    <w:p xmlns:wp14="http://schemas.microsoft.com/office/word/2010/wordml" w:rsidR="007B1CEF" w:rsidP="007B1CEF" w:rsidRDefault="007B1CEF" w14:paraId="5EAAF907" wp14:textId="77777777">
      <w:r w:rsidRPr="007B1CEF">
        <w:t xml:space="preserve">However, the effect of a therapy must be offset by any harmful effects, expected contraindications, burden of therapy and patient choice. Care needs to be taken with the risk of dehydration and infection with SGLT2 inhibitors, while insulin adds to the risk of hypoglycaemia and monitoring needs. Also, it is noted that there are inequities in prescription rates among different socioeconomic and demographic groups (NICE 2026). Thus, individualised prescribing should take into account the presence of co-morbidities, frailty, clinical benefit and equitable access to treatment, not just HbA1c reduction. </w:t>
      </w:r>
    </w:p>
    <w:p xmlns:wp14="http://schemas.microsoft.com/office/word/2010/wordml" w:rsidRPr="00A81150" w:rsidR="00A81150" w:rsidP="00CF73FD" w:rsidRDefault="00A81150" w14:paraId="31DA7D7B" wp14:textId="77777777">
      <w:pPr>
        <w:pStyle w:val="Heading2"/>
      </w:pPr>
      <w:bookmarkStart w:name="_Toc242870123" w:id="14"/>
      <w:r w:rsidRPr="00A81150">
        <w:t>4.2 Non-Pharmacological Interventions and Structured Diabetes Education</w:t>
      </w:r>
      <w:bookmarkEnd w:id="14"/>
      <w:r w:rsidRPr="00A81150">
        <w:t xml:space="preserve"> </w:t>
      </w:r>
    </w:p>
    <w:p xmlns:wp14="http://schemas.microsoft.com/office/word/2010/wordml" w:rsidRPr="007B1CEF" w:rsidR="007B1CEF" w:rsidP="007B1CEF" w:rsidRDefault="007B1CEF" w14:paraId="399D1D26" wp14:textId="77777777">
      <w:r w:rsidRPr="007B1CEF">
        <w:t xml:space="preserve">Lifestyle interventions are still fundamental in the care of T2DM, especially weight reduction and physical activity, and maintaining a long-term reduction in weight. In addition to pharmacological treatment and structured education for informed self-management, NICE (2026) advises personalised lifestyle advice. The intensive dietary interventions of the NHS Type 2 Diabetes Path to Remission Programme show that intensive interventions can be effective, with 32% of those who completed the programme and had two HbA1c measures recorded becoming in remission (NHS England, no date). </w:t>
      </w:r>
    </w:p>
    <w:p xmlns:wp14="http://schemas.microsoft.com/office/word/2010/wordml" w:rsidR="007B1CEF" w:rsidP="007B1CEF" w:rsidRDefault="007B1CEF" w14:paraId="46462F1D" wp14:textId="77777777">
      <w:r w:rsidRPr="007B1CEF">
        <w:t>But the results are not necessarily transferable to other patients, as eligibility is related to effectiveness, as is completion of the programme and sustained behaviour change. Limited access to professional support and cultural dietary practices, as well as financial constraints, may further limit participation. Interventions thus need to be tailored and monitored to maintain the gains and reduce inequalities.</w:t>
      </w:r>
    </w:p>
    <w:p xmlns:wp14="http://schemas.microsoft.com/office/word/2010/wordml" w:rsidR="00A81150" w:rsidP="00CF73FD" w:rsidRDefault="00A81150" w14:paraId="6C43D4BE" wp14:textId="77777777">
      <w:pPr>
        <w:pStyle w:val="Heading2"/>
      </w:pPr>
      <w:bookmarkStart w:name="_Toc242870124" w:id="15"/>
      <w:r w:rsidRPr="00A81150">
        <w:t>4.3 Multidisciplinary Care and Long-Term Complication Prevention</w:t>
      </w:r>
      <w:bookmarkEnd w:id="15"/>
      <w:r w:rsidRPr="00A81150">
        <w:t xml:space="preserve"> </w:t>
      </w:r>
    </w:p>
    <w:p xmlns:wp14="http://schemas.microsoft.com/office/word/2010/wordml" w:rsidRPr="007B1CEF" w:rsidR="007B1CEF" w:rsidP="007B1CEF" w:rsidRDefault="007B1CEF" w14:paraId="38031A9C" wp14:textId="77777777">
      <w:r w:rsidRPr="007B1CEF">
        <w:t xml:space="preserve">There is a need for coordinated contributions to the management of diabetes from general practitioners, diabetes specialist nurses, dietitians, pharmacists and relevant specialist services. NICE (2026) guidance suggests that the HbA1c level is measured individually every 3 to 6 months until it is stable, and then once every 6 months. Further monitoring of kidney function, eye disease and foot problems helps to detect preventable deterioration early. </w:t>
      </w:r>
    </w:p>
    <w:p xmlns:wp14="http://schemas.microsoft.com/office/word/2010/wordml" w:rsidR="007B1CEF" w:rsidP="007B1CEF" w:rsidRDefault="007B1CEF" w14:paraId="5C43A9D6" wp14:textId="77777777">
      <w:r w:rsidRPr="007B1CEF">
        <w:t>A multidisciplinary approach supports optimisation of medicines, nutrition advice and multiprofessional referral, which can decrease fragmented care. But clinical monitoring alone is not enough to ensure better results if it is not combined with timely action and patient involvement. Continuity and specialist access may be jeopardised due to workforce pressures, poor communication, and geographical variation. Accordingly, pathways for integrated care and clear professional roles and access to preventive services should be established for effective implementation. Assessment of clinical indicators should also be considered in conjunction with functional wellbeing and patient-reported outcomes.</w:t>
      </w:r>
    </w:p>
    <w:p xmlns:wp14="http://schemas.microsoft.com/office/word/2010/wordml" w:rsidR="009E2EFD" w:rsidP="009E2EFD" w:rsidRDefault="009E2EFD" w14:paraId="41C8F396" wp14:textId="77777777">
      <w:pPr>
        <w:jc w:val="center"/>
      </w:pPr>
      <w:r>
        <w:rPr>
          <w:noProof/>
        </w:rPr>
        <w:drawing>
          <wp:inline xmlns:wp14="http://schemas.microsoft.com/office/word/2010/wordprocessingDrawing" distT="0" distB="0" distL="0" distR="0" wp14:anchorId="455085CB" wp14:editId="7777777">
            <wp:extent cx="2590800" cy="29146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92664" cy="2916747"/>
                    </a:xfrm>
                    <a:prstGeom prst="rect">
                      <a:avLst/>
                    </a:prstGeom>
                    <a:noFill/>
                  </pic:spPr>
                </pic:pic>
              </a:graphicData>
            </a:graphic>
          </wp:inline>
        </w:drawing>
      </w:r>
    </w:p>
    <w:p xmlns:wp14="http://schemas.microsoft.com/office/word/2010/wordml" w:rsidR="009E2EFD" w:rsidP="009E2EFD" w:rsidRDefault="009E2EFD" w14:paraId="0860969B" wp14:textId="77777777">
      <w:pPr>
        <w:jc w:val="center"/>
        <w:rPr>
          <w:b/>
        </w:rPr>
      </w:pPr>
      <w:r w:rsidRPr="009E2EFD">
        <w:rPr>
          <w:b/>
        </w:rPr>
        <w:t>Fig 4: NHS Diabetes Management and Monitoring Pathway</w:t>
      </w:r>
    </w:p>
    <w:p xmlns:wp14="http://schemas.microsoft.com/office/word/2010/wordml" w:rsidRPr="009E2EFD" w:rsidR="009E2EFD" w:rsidP="009E2EFD" w:rsidRDefault="009E2EFD" w14:paraId="1CF62F08" wp14:textId="77777777">
      <w:pPr>
        <w:jc w:val="center"/>
        <w:rPr>
          <w:i/>
        </w:rPr>
      </w:pPr>
      <w:r w:rsidRPr="009E2EFD">
        <w:rPr>
          <w:i/>
        </w:rPr>
        <w:t>Key elements of clinical monitoring and multidisciplinary Type 2 diabetes management within the NHS. Based on NICE guideline NG28 (2026) and relevant NHS screening guidance.</w:t>
      </w:r>
    </w:p>
    <w:p xmlns:wp14="http://schemas.microsoft.com/office/word/2010/wordml" w:rsidRPr="00A81150" w:rsidR="00A81150" w:rsidP="00CF73FD" w:rsidRDefault="00A81150" w14:paraId="5E5F68A9" wp14:textId="77777777">
      <w:pPr>
        <w:pStyle w:val="Heading1"/>
      </w:pPr>
      <w:bookmarkStart w:name="_Toc242870125" w:id="16"/>
      <w:r w:rsidRPr="00A81150">
        <w:t>5. Critical Evaluation of UK and International Models of Long-Term Condition Management</w:t>
      </w:r>
      <w:bookmarkEnd w:id="16"/>
      <w:r w:rsidRPr="00A81150">
        <w:t xml:space="preserve"> </w:t>
      </w:r>
    </w:p>
    <w:p xmlns:wp14="http://schemas.microsoft.com/office/word/2010/wordml" w:rsidRPr="00A81150" w:rsidR="00A81150" w:rsidP="00CF73FD" w:rsidRDefault="00A81150" w14:paraId="5ABAA1CE" wp14:textId="77777777">
      <w:pPr>
        <w:pStyle w:val="Heading2"/>
      </w:pPr>
      <w:bookmarkStart w:name="_Toc242870126" w:id="17"/>
      <w:r w:rsidRPr="00A81150">
        <w:t>5.1 UK House of Care Model: Principles and Application to T2DM</w:t>
      </w:r>
      <w:bookmarkEnd w:id="17"/>
      <w:r w:rsidRPr="00A81150">
        <w:t xml:space="preserve"> </w:t>
      </w:r>
    </w:p>
    <w:p xmlns:wp14="http://schemas.microsoft.com/office/word/2010/wordml" w:rsidRPr="007B1CEF" w:rsidR="007B1CEF" w:rsidP="007B1CEF" w:rsidRDefault="007B1CEF" w14:paraId="104F3D6A" wp14:textId="77777777">
      <w:r w:rsidRPr="007B1CEF">
        <w:t xml:space="preserve">The UK House of Care Model is a framework for the delivery of </w:t>
      </w:r>
      <w:proofErr w:type="spellStart"/>
      <w:r w:rsidRPr="007B1CEF">
        <w:t>co-ordinated</w:t>
      </w:r>
      <w:proofErr w:type="spellEnd"/>
      <w:r w:rsidRPr="007B1CEF">
        <w:t>, person-centred management of long-term conditions. It is built around the following interdependent elements: Informed and engaged patients, professionals who embrace partnership working, supportive organisational processes and effective commissioning, and collaborative working in planning for care at its core.</w:t>
      </w:r>
    </w:p>
    <w:p xmlns:wp14="http://schemas.microsoft.com/office/word/2010/wordml" w:rsidRPr="007B1CEF" w:rsidR="007B1CEF" w:rsidP="007B1CEF" w:rsidRDefault="007B1CEF" w14:paraId="512E7898" wp14:textId="77777777">
      <w:r w:rsidRPr="007B1CEF">
        <w:t xml:space="preserve">When used for T2DM, the model fosters a shared understanding of clinical findings and the development of individual treatment targets—along with active involvement in the decision-making process for managing the condition. With regard to the Year of Care approach, Roberts et al. (2019) found that this was implemented in UK primary care settings, resulting in an enhanced patient experience, increased professional collaboration and better care processes. It is based on implementation-focused evidence, but not equally effective in all populations. </w:t>
      </w:r>
    </w:p>
    <w:p xmlns:wp14="http://schemas.microsoft.com/office/word/2010/wordml" w:rsidR="009E2EFD" w:rsidP="007B1CEF" w:rsidRDefault="007B1CEF" w14:paraId="7DFF662D" wp14:textId="77777777">
      <w:r w:rsidRPr="007B1CEF">
        <w:t>The quality of the model is the ability to combine the clinical management with each person's priorities and social situations. However, professional training, consultation time, organisational commitment and accessible community resources are critical for successful implementation. If these conditions are not in place, the care planning process, in turn, can be a form-filling activity rather than a participatory process. The framework therefore needs ongoing organisational commitment to put its principles into action to ensure equitable diabetes care.</w:t>
      </w:r>
    </w:p>
    <w:p xmlns:wp14="http://schemas.microsoft.com/office/word/2010/wordml" w:rsidR="009E2EFD" w:rsidP="00A81150" w:rsidRDefault="009E2EFD" w14:paraId="72A3D3EC" wp14:textId="77777777"/>
    <w:p xmlns:wp14="http://schemas.microsoft.com/office/word/2010/wordml" w:rsidR="009E2EFD" w:rsidP="009E2EFD" w:rsidRDefault="009E2EFD" w14:paraId="0D0B940D" wp14:textId="77777777">
      <w:pPr>
        <w:jc w:val="center"/>
      </w:pPr>
      <w:r>
        <w:rPr>
          <w:noProof/>
        </w:rPr>
        <w:drawing>
          <wp:inline xmlns:wp14="http://schemas.microsoft.com/office/word/2010/wordprocessingDrawing" distT="0" distB="0" distL="0" distR="0" wp14:anchorId="1D1F4825" wp14:editId="7777777">
            <wp:extent cx="3362325" cy="282741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75290" cy="2838313"/>
                    </a:xfrm>
                    <a:prstGeom prst="rect">
                      <a:avLst/>
                    </a:prstGeom>
                    <a:noFill/>
                  </pic:spPr>
                </pic:pic>
              </a:graphicData>
            </a:graphic>
          </wp:inline>
        </w:drawing>
      </w:r>
    </w:p>
    <w:p xmlns:wp14="http://schemas.microsoft.com/office/word/2010/wordml" w:rsidR="009E2EFD" w:rsidP="009E2EFD" w:rsidRDefault="009E2EFD" w14:paraId="2D5FEBBF" wp14:textId="77777777">
      <w:pPr>
        <w:jc w:val="center"/>
        <w:rPr>
          <w:b/>
        </w:rPr>
      </w:pPr>
      <w:r w:rsidRPr="009E2EFD">
        <w:rPr>
          <w:b/>
        </w:rPr>
        <w:t>Fig 5: UK House of Care Model</w:t>
      </w:r>
    </w:p>
    <w:p xmlns:wp14="http://schemas.microsoft.com/office/word/2010/wordml" w:rsidRPr="009E2EFD" w:rsidR="009E2EFD" w:rsidP="009E2EFD" w:rsidRDefault="009E2EFD" w14:paraId="3C9F2A59" wp14:textId="77777777">
      <w:pPr>
        <w:jc w:val="center"/>
        <w:rPr>
          <w:i/>
        </w:rPr>
      </w:pPr>
      <w:r w:rsidRPr="009E2EFD">
        <w:rPr>
          <w:i/>
        </w:rPr>
        <w:t>The UK House of Care Model for person-centred long-term condition management. Adapted from the NHS House of Care framework.</w:t>
      </w:r>
    </w:p>
    <w:p xmlns:wp14="http://schemas.microsoft.com/office/word/2010/wordml" w:rsidRPr="00A81150" w:rsidR="00A81150" w:rsidP="00CF73FD" w:rsidRDefault="00A81150" w14:paraId="5B990CDD" wp14:textId="77777777">
      <w:pPr>
        <w:pStyle w:val="Heading2"/>
      </w:pPr>
      <w:bookmarkStart w:name="_Toc242870127" w:id="18"/>
      <w:r w:rsidRPr="00A81150">
        <w:t>5.2 Wagner's Chronic Care Model: International Framework</w:t>
      </w:r>
      <w:bookmarkEnd w:id="18"/>
      <w:r w:rsidRPr="00A81150">
        <w:t xml:space="preserve"> </w:t>
      </w:r>
    </w:p>
    <w:p xmlns:wp14="http://schemas.microsoft.com/office/word/2010/wordml" w:rsidRPr="007B1CEF" w:rsidR="007B1CEF" w:rsidP="007B1CEF" w:rsidRDefault="007B1CEF" w14:paraId="1001C8D8" wp14:textId="77777777">
      <w:r w:rsidRPr="007B1CEF">
        <w:t xml:space="preserve">Wagner's Chronic Care Model (CCM) offers an internationally accepted approach to navigating the delivery of proactive, organised healthcare to enhance the management of chronic illnesses. The six components are the following: Healthcare organisation, delivery system design, decision support, clinical information systems, self-management support and community resources (Wagner, 1998). The framework encourages informed patient–prepared multidisciplinary team interactions. </w:t>
      </w:r>
    </w:p>
    <w:p xmlns:wp14="http://schemas.microsoft.com/office/word/2010/wordml" w:rsidRPr="007B1CEF" w:rsidR="007B1CEF" w:rsidP="007B1CEF" w:rsidRDefault="007B1CEF" w14:paraId="20968586" wp14:textId="77777777">
      <w:r w:rsidRPr="007B1CEF">
        <w:t xml:space="preserve">There is evidence of its use in diabetes management. Goh et al. (2022) examined 17 studies that included 16,485 patients, and found that the mean difference between CCM and usual care was a decrease in HbA1c of 0.21 percentage points. More improvements were seen when interventions included three model components, or when interventions included all four model components. But there was no significant effect on BMI and LDL cholesterol levels, suggesting that the benefits on the glycaemic profile are not sufficient to ensure full metabolic benefits. </w:t>
      </w:r>
    </w:p>
    <w:p xmlns:wp14="http://schemas.microsoft.com/office/word/2010/wordml" w:rsidR="007B1CEF" w:rsidP="007B1CEF" w:rsidRDefault="007B1CEF" w14:paraId="4897DF2B" wp14:textId="77777777">
      <w:r w:rsidRPr="007B1CEF">
        <w:t xml:space="preserve">The model enables proactive monitoring, systematic follow-up and coordinated intervention. However, sustainable implementation will require a reliable information system, as well as the </w:t>
      </w:r>
      <w:r w:rsidRPr="007B1CEF">
        <w:t>multi-disciplinary capacity and organisational restructuring. Additionally, because some interventions differ in design, it may be difficult to determine which aspects of the intervention are most effective, making it difficult to directly apply the intervention across healthcare settings.</w:t>
      </w:r>
    </w:p>
    <w:p xmlns:wp14="http://schemas.microsoft.com/office/word/2010/wordml" w:rsidR="009E2EFD" w:rsidP="009E2EFD" w:rsidRDefault="009E2EFD" w14:paraId="0E27B00A" wp14:textId="77777777">
      <w:pPr>
        <w:jc w:val="center"/>
      </w:pPr>
      <w:r>
        <w:rPr>
          <w:noProof/>
        </w:rPr>
        <w:drawing>
          <wp:inline xmlns:wp14="http://schemas.microsoft.com/office/word/2010/wordprocessingDrawing" distT="0" distB="0" distL="0" distR="0" wp14:anchorId="2BCCA350" wp14:editId="7777777">
            <wp:extent cx="4303239" cy="3076143"/>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11571" cy="3082099"/>
                    </a:xfrm>
                    <a:prstGeom prst="rect">
                      <a:avLst/>
                    </a:prstGeom>
                    <a:noFill/>
                  </pic:spPr>
                </pic:pic>
              </a:graphicData>
            </a:graphic>
          </wp:inline>
        </w:drawing>
      </w:r>
    </w:p>
    <w:p xmlns:wp14="http://schemas.microsoft.com/office/word/2010/wordml" w:rsidR="009E2EFD" w:rsidP="009E2EFD" w:rsidRDefault="009E2EFD" w14:paraId="354B6F54" wp14:textId="77777777">
      <w:pPr>
        <w:jc w:val="center"/>
        <w:rPr>
          <w:b/>
        </w:rPr>
      </w:pPr>
      <w:r w:rsidRPr="009E2EFD">
        <w:rPr>
          <w:b/>
        </w:rPr>
        <w:t>Fig 6: Wagner's Chronic Care Model</w:t>
      </w:r>
    </w:p>
    <w:p xmlns:wp14="http://schemas.microsoft.com/office/word/2010/wordml" w:rsidRPr="009E2EFD" w:rsidR="009E2EFD" w:rsidP="009E2EFD" w:rsidRDefault="009E2EFD" w14:paraId="476C93F6" wp14:textId="77777777">
      <w:pPr>
        <w:jc w:val="center"/>
        <w:rPr>
          <w:i/>
        </w:rPr>
      </w:pPr>
      <w:r w:rsidRPr="009E2EFD">
        <w:rPr>
          <w:i/>
        </w:rPr>
        <w:t>Wagner's Chronic Care Model illustrating its six components and their relationship to improved chronic illness outcomes. Adapted from Wagner (1998).</w:t>
      </w:r>
    </w:p>
    <w:p xmlns:wp14="http://schemas.microsoft.com/office/word/2010/wordml" w:rsidRPr="00A81150" w:rsidR="00A81150" w:rsidP="00CF73FD" w:rsidRDefault="00A81150" w14:paraId="08168912" wp14:textId="77777777">
      <w:pPr>
        <w:pStyle w:val="Heading2"/>
      </w:pPr>
      <w:bookmarkStart w:name="_Toc242870128" w:id="19"/>
      <w:r w:rsidRPr="00A81150">
        <w:t>5.3 Comparative Critical Analysis of the Two Models</w:t>
      </w:r>
      <w:bookmarkEnd w:id="19"/>
      <w:r w:rsidRPr="00A81150">
        <w:t xml:space="preserve"> </w:t>
      </w:r>
    </w:p>
    <w:p xmlns:wp14="http://schemas.microsoft.com/office/word/2010/wordml" w:rsidRPr="007B1CEF" w:rsidR="007B1CEF" w:rsidP="007B1CEF" w:rsidRDefault="007B1CEF" w14:paraId="7D7D0862" wp14:textId="77777777">
      <w:r w:rsidRPr="007B1CEF">
        <w:t xml:space="preserve">While both frameworks focus on patient engagement and coordinated long-term care, they take a different approach to how they operate. The House of Care places an emphasis on collaborative planning and individual priorities, whilst the CCM emphasises organisational redesign, clinical information systems and proactive population management (Roberts et al., 2019; Wagner, 1998). </w:t>
      </w:r>
    </w:p>
    <w:p xmlns:wp14="http://schemas.microsoft.com/office/word/2010/wordml" w:rsidR="007B1CEF" w:rsidP="007B1CEF" w:rsidRDefault="007B1CEF" w14:paraId="6930D502" wp14:textId="77777777">
      <w:r w:rsidRPr="007B1CEF">
        <w:t>Evidence for the House of Care shows that CCM interventions result in improved care processes and patient participation, while the House of Care also provides evidence for improved glycaemic control. None of the frameworks alone address inequalities stemming from deprivation, limited staffing and access to services. A system of systematic monitoring, together with personalised care planning, could then help build the strength of NHS diabetes services. Integration, however, has to consider local resources, workforce capabilities and patients' varied needs.</w:t>
      </w:r>
    </w:p>
    <w:p xmlns:wp14="http://schemas.microsoft.com/office/word/2010/wordml" w:rsidR="00371C3D" w:rsidP="00A81150" w:rsidRDefault="00371C3D" w14:paraId="7429500B" wp14:textId="77777777">
      <w:pPr>
        <w:rPr>
          <w:b/>
        </w:rPr>
      </w:pPr>
      <w:r w:rsidRPr="00371C3D">
        <w:rPr>
          <w:b/>
        </w:rPr>
        <w:t>Table 1: Comparative Evaluation of Long-Term Condition Management Models</w:t>
      </w:r>
    </w:p>
    <w:tbl>
      <w:tblPr>
        <w:tblStyle w:val="TableGrid"/>
        <w:tblW w:w="0" w:type="auto"/>
        <w:tblLook w:val="04A0" w:firstRow="1" w:lastRow="0" w:firstColumn="1" w:lastColumn="0" w:noHBand="0" w:noVBand="1"/>
      </w:tblPr>
      <w:tblGrid>
        <w:gridCol w:w="2142"/>
        <w:gridCol w:w="3166"/>
        <w:gridCol w:w="4042"/>
      </w:tblGrid>
      <w:tr xmlns:wp14="http://schemas.microsoft.com/office/word/2010/wordml" w:rsidRPr="00371C3D" w:rsidR="00371C3D" w:rsidTr="00371C3D" w14:paraId="31D1A34A" wp14:textId="77777777">
        <w:tc>
          <w:tcPr>
            <w:tcW w:w="0" w:type="auto"/>
            <w:hideMark/>
          </w:tcPr>
          <w:p w:rsidRPr="00371C3D" w:rsidR="00371C3D" w:rsidP="00371C3D" w:rsidRDefault="00371C3D" w14:paraId="57170C94" wp14:textId="77777777">
            <w:r w:rsidRPr="00371C3D">
              <w:t>Evaluation criterion</w:t>
            </w:r>
          </w:p>
        </w:tc>
        <w:tc>
          <w:tcPr>
            <w:tcW w:w="0" w:type="auto"/>
            <w:hideMark/>
          </w:tcPr>
          <w:p w:rsidRPr="00371C3D" w:rsidR="00371C3D" w:rsidP="00371C3D" w:rsidRDefault="00371C3D" w14:paraId="4119EDBD" wp14:textId="77777777">
            <w:r w:rsidRPr="00371C3D">
              <w:t>UK House of Care Model</w:t>
            </w:r>
          </w:p>
        </w:tc>
        <w:tc>
          <w:tcPr>
            <w:tcW w:w="0" w:type="auto"/>
            <w:hideMark/>
          </w:tcPr>
          <w:p w:rsidRPr="00371C3D" w:rsidR="00371C3D" w:rsidP="00371C3D" w:rsidRDefault="00371C3D" w14:paraId="05436308" wp14:textId="77777777">
            <w:r w:rsidRPr="00371C3D">
              <w:t>Wagner's Chronic Care Model</w:t>
            </w:r>
          </w:p>
        </w:tc>
      </w:tr>
      <w:tr xmlns:wp14="http://schemas.microsoft.com/office/word/2010/wordml" w:rsidRPr="00371C3D" w:rsidR="00371C3D" w:rsidTr="00371C3D" w14:paraId="00E03DDB" wp14:textId="77777777">
        <w:tc>
          <w:tcPr>
            <w:tcW w:w="0" w:type="auto"/>
            <w:hideMark/>
          </w:tcPr>
          <w:p w:rsidRPr="00371C3D" w:rsidR="00371C3D" w:rsidP="00371C3D" w:rsidRDefault="00371C3D" w14:paraId="601CA95D" wp14:textId="77777777">
            <w:r w:rsidRPr="00371C3D">
              <w:t>Primary focus</w:t>
            </w:r>
          </w:p>
        </w:tc>
        <w:tc>
          <w:tcPr>
            <w:tcW w:w="0" w:type="auto"/>
            <w:hideMark/>
          </w:tcPr>
          <w:p w:rsidRPr="00371C3D" w:rsidR="00371C3D" w:rsidP="00371C3D" w:rsidRDefault="00371C3D" w14:paraId="3B756A89" wp14:textId="77777777">
            <w:r w:rsidRPr="00371C3D">
              <w:t>Person-centred collaborative planning</w:t>
            </w:r>
          </w:p>
        </w:tc>
        <w:tc>
          <w:tcPr>
            <w:tcW w:w="0" w:type="auto"/>
            <w:hideMark/>
          </w:tcPr>
          <w:p w:rsidRPr="00371C3D" w:rsidR="00371C3D" w:rsidP="00371C3D" w:rsidRDefault="00371C3D" w14:paraId="2D001A0B" wp14:textId="77777777">
            <w:r w:rsidRPr="00371C3D">
              <w:t>Proactive, system-wide chronic care</w:t>
            </w:r>
          </w:p>
        </w:tc>
      </w:tr>
      <w:tr xmlns:wp14="http://schemas.microsoft.com/office/word/2010/wordml" w:rsidRPr="00371C3D" w:rsidR="00371C3D" w:rsidTr="00371C3D" w14:paraId="1AD36894" wp14:textId="77777777">
        <w:tc>
          <w:tcPr>
            <w:tcW w:w="0" w:type="auto"/>
            <w:hideMark/>
          </w:tcPr>
          <w:p w:rsidRPr="00371C3D" w:rsidR="00371C3D" w:rsidP="00371C3D" w:rsidRDefault="00371C3D" w14:paraId="08B4DC03" wp14:textId="77777777">
            <w:r w:rsidRPr="00371C3D">
              <w:t>Patient involvement</w:t>
            </w:r>
          </w:p>
        </w:tc>
        <w:tc>
          <w:tcPr>
            <w:tcW w:w="0" w:type="auto"/>
            <w:hideMark/>
          </w:tcPr>
          <w:p w:rsidRPr="00371C3D" w:rsidR="00371C3D" w:rsidP="00371C3D" w:rsidRDefault="00371C3D" w14:paraId="0B323837" wp14:textId="77777777">
            <w:r w:rsidRPr="00371C3D">
              <w:t>Shared decisions and personalised goals</w:t>
            </w:r>
          </w:p>
        </w:tc>
        <w:tc>
          <w:tcPr>
            <w:tcW w:w="0" w:type="auto"/>
            <w:hideMark/>
          </w:tcPr>
          <w:p w:rsidRPr="00371C3D" w:rsidR="00371C3D" w:rsidP="00371C3D" w:rsidRDefault="00371C3D" w14:paraId="6336CFC0" wp14:textId="77777777">
            <w:r w:rsidRPr="00371C3D">
              <w:t>Patient activation and self-management</w:t>
            </w:r>
          </w:p>
        </w:tc>
      </w:tr>
      <w:tr xmlns:wp14="http://schemas.microsoft.com/office/word/2010/wordml" w:rsidRPr="00371C3D" w:rsidR="00371C3D" w:rsidTr="00371C3D" w14:paraId="3AFF1397" wp14:textId="77777777">
        <w:tc>
          <w:tcPr>
            <w:tcW w:w="0" w:type="auto"/>
            <w:hideMark/>
          </w:tcPr>
          <w:p w:rsidRPr="00371C3D" w:rsidR="00371C3D" w:rsidP="00371C3D" w:rsidRDefault="00371C3D" w14:paraId="201EAC38" wp14:textId="77777777">
            <w:r w:rsidRPr="00371C3D">
              <w:t>Organisational emphasis</w:t>
            </w:r>
          </w:p>
        </w:tc>
        <w:tc>
          <w:tcPr>
            <w:tcW w:w="0" w:type="auto"/>
            <w:hideMark/>
          </w:tcPr>
          <w:p w:rsidRPr="00371C3D" w:rsidR="00371C3D" w:rsidP="00371C3D" w:rsidRDefault="00371C3D" w14:paraId="57C10D64" wp14:textId="77777777">
            <w:r w:rsidRPr="00371C3D">
              <w:t>Professional partnerships and supportive care systems</w:t>
            </w:r>
          </w:p>
        </w:tc>
        <w:tc>
          <w:tcPr>
            <w:tcW w:w="0" w:type="auto"/>
            <w:hideMark/>
          </w:tcPr>
          <w:p w:rsidRPr="00371C3D" w:rsidR="00371C3D" w:rsidP="00371C3D" w:rsidRDefault="00371C3D" w14:paraId="38C71F9E" wp14:textId="77777777">
            <w:r w:rsidRPr="00371C3D">
              <w:t>Coordinated delivery, decision support and clinical information systems</w:t>
            </w:r>
          </w:p>
        </w:tc>
      </w:tr>
      <w:tr xmlns:wp14="http://schemas.microsoft.com/office/word/2010/wordml" w:rsidRPr="00371C3D" w:rsidR="00371C3D" w:rsidTr="00371C3D" w14:paraId="7CD4FC62" wp14:textId="77777777">
        <w:tc>
          <w:tcPr>
            <w:tcW w:w="0" w:type="auto"/>
            <w:hideMark/>
          </w:tcPr>
          <w:p w:rsidRPr="00371C3D" w:rsidR="00371C3D" w:rsidP="00371C3D" w:rsidRDefault="00371C3D" w14:paraId="5AB61D47" wp14:textId="77777777">
            <w:r w:rsidRPr="00371C3D">
              <w:t>Principal strength</w:t>
            </w:r>
          </w:p>
        </w:tc>
        <w:tc>
          <w:tcPr>
            <w:tcW w:w="0" w:type="auto"/>
            <w:hideMark/>
          </w:tcPr>
          <w:p w:rsidRPr="00371C3D" w:rsidR="00371C3D" w:rsidP="00371C3D" w:rsidRDefault="00371C3D" w14:paraId="0A17C505" wp14:textId="77777777">
            <w:r w:rsidRPr="00371C3D">
              <w:t>Individualised care planning</w:t>
            </w:r>
          </w:p>
        </w:tc>
        <w:tc>
          <w:tcPr>
            <w:tcW w:w="0" w:type="auto"/>
            <w:hideMark/>
          </w:tcPr>
          <w:p w:rsidRPr="00371C3D" w:rsidR="00371C3D" w:rsidP="00371C3D" w:rsidRDefault="00371C3D" w14:paraId="42E1B2A9" wp14:textId="77777777">
            <w:r w:rsidRPr="00371C3D">
              <w:t>Systematic chronic condition management</w:t>
            </w:r>
          </w:p>
        </w:tc>
      </w:tr>
      <w:tr xmlns:wp14="http://schemas.microsoft.com/office/word/2010/wordml" w:rsidRPr="00371C3D" w:rsidR="00371C3D" w:rsidTr="00371C3D" w14:paraId="2A2A9D41" wp14:textId="77777777">
        <w:tc>
          <w:tcPr>
            <w:tcW w:w="0" w:type="auto"/>
            <w:hideMark/>
          </w:tcPr>
          <w:p w:rsidRPr="00371C3D" w:rsidR="00371C3D" w:rsidP="00371C3D" w:rsidRDefault="00371C3D" w14:paraId="038BA448" wp14:textId="77777777">
            <w:r w:rsidRPr="00371C3D">
              <w:t>Implementation challenge</w:t>
            </w:r>
          </w:p>
        </w:tc>
        <w:tc>
          <w:tcPr>
            <w:tcW w:w="0" w:type="auto"/>
            <w:hideMark/>
          </w:tcPr>
          <w:p w:rsidRPr="00371C3D" w:rsidR="00371C3D" w:rsidP="00371C3D" w:rsidRDefault="00371C3D" w14:paraId="699AAA57" wp14:textId="77777777">
            <w:r w:rsidRPr="00371C3D">
              <w:t>Consultation time and organisational capacity</w:t>
            </w:r>
          </w:p>
        </w:tc>
        <w:tc>
          <w:tcPr>
            <w:tcW w:w="0" w:type="auto"/>
            <w:hideMark/>
          </w:tcPr>
          <w:p w:rsidRPr="00371C3D" w:rsidR="00371C3D" w:rsidP="00371C3D" w:rsidRDefault="00371C3D" w14:paraId="2E0A98E5" wp14:textId="77777777">
            <w:r w:rsidRPr="00371C3D">
              <w:t>Infrastructure, resources and multidisciplinary coordination</w:t>
            </w:r>
          </w:p>
        </w:tc>
      </w:tr>
    </w:tbl>
    <w:p xmlns:wp14="http://schemas.microsoft.com/office/word/2010/wordml" w:rsidRPr="00371C3D" w:rsidR="00371C3D" w:rsidP="00A81150" w:rsidRDefault="00371C3D" w14:paraId="60061E4C" wp14:textId="77777777">
      <w:pPr>
        <w:rPr>
          <w:b/>
        </w:rPr>
      </w:pPr>
    </w:p>
    <w:p xmlns:wp14="http://schemas.microsoft.com/office/word/2010/wordml" w:rsidRPr="00A81150" w:rsidR="00A81150" w:rsidP="00CF73FD" w:rsidRDefault="00A81150" w14:paraId="3A851BC3" wp14:textId="77777777">
      <w:pPr>
        <w:pStyle w:val="Heading1"/>
      </w:pPr>
      <w:bookmarkStart w:name="_Toc242870129" w:id="20"/>
      <w:r w:rsidRPr="00A81150">
        <w:t>6. Critical Analysis of National and Local Health and Social Care Policies</w:t>
      </w:r>
      <w:bookmarkEnd w:id="20"/>
      <w:r w:rsidRPr="00A81150">
        <w:t xml:space="preserve"> </w:t>
      </w:r>
    </w:p>
    <w:p xmlns:wp14="http://schemas.microsoft.com/office/word/2010/wordml" w:rsidRPr="00A81150" w:rsidR="00A81150" w:rsidP="00CF73FD" w:rsidRDefault="00A81150" w14:paraId="0309C063" wp14:textId="77777777">
      <w:pPr>
        <w:pStyle w:val="Heading2"/>
      </w:pPr>
      <w:bookmarkStart w:name="_Toc242870130" w:id="21"/>
      <w:r w:rsidRPr="00A81150">
        <w:t>6.1 National Policy, NICE Guidance and NHS Priorities</w:t>
      </w:r>
      <w:bookmarkEnd w:id="21"/>
      <w:r w:rsidRPr="00A81150">
        <w:t xml:space="preserve"> </w:t>
      </w:r>
    </w:p>
    <w:p xmlns:wp14="http://schemas.microsoft.com/office/word/2010/wordml" w:rsidRPr="007B1CEF" w:rsidR="007B1CEF" w:rsidP="007B1CEF" w:rsidRDefault="007B1CEF" w14:paraId="0769BB69" wp14:textId="77777777">
      <w:r w:rsidRPr="007B1CEF">
        <w:t xml:space="preserve">An increasing focus on prevention in National diabetes policy in England, integrated care and personalised treatment. In February 2026, NICE published NG28, which encourages evidence-based prescribing, cardiovascular risk management and personalised care decisions (NICE, 2026). The Health and Care Act 2022 also gives Integrated Care Boards (ICBs) a statutory duty on service integration and tackling inequality (UK Parliament, 2022). </w:t>
      </w:r>
    </w:p>
    <w:p xmlns:wp14="http://schemas.microsoft.com/office/word/2010/wordml" w:rsidR="007B1CEF" w:rsidP="007B1CEF" w:rsidRDefault="007B1CEF" w14:paraId="0C7C5626" wp14:textId="77777777">
      <w:r w:rsidRPr="007B1CEF">
        <w:t xml:space="preserve">These provide a basis to aid with regular blood control. However, the national guidance does not ensure fair implementation. There may be differences in workforce capacity, commissioning resources and specialist services which could limit the capacity to meet recommended standards. NHS England (2025) recognises the role of the organisation in tackling inequalities in health. Therefore, policy effectiveness needs to be judged according to measurable clinical outcomes, as well as service accessibility and patient experiences and not by fulfilling guidelines. </w:t>
      </w:r>
    </w:p>
    <w:p xmlns:wp14="http://schemas.microsoft.com/office/word/2010/wordml" w:rsidRPr="00A81150" w:rsidR="00A81150" w:rsidP="00CF73FD" w:rsidRDefault="00A81150" w14:paraId="61201DAA" wp14:textId="77777777">
      <w:pPr>
        <w:pStyle w:val="Heading2"/>
      </w:pPr>
      <w:bookmarkStart w:name="_Toc242870131" w:id="22"/>
      <w:r w:rsidRPr="00A81150">
        <w:t>6.2 Integrated Care Systems and Local Diabetes Service Delivery</w:t>
      </w:r>
      <w:bookmarkEnd w:id="22"/>
      <w:r w:rsidRPr="00A81150">
        <w:t xml:space="preserve"> </w:t>
      </w:r>
    </w:p>
    <w:p xmlns:wp14="http://schemas.microsoft.com/office/word/2010/wordml" w:rsidRPr="007B1CEF" w:rsidR="007B1CEF" w:rsidP="007B1CEF" w:rsidRDefault="007B1CEF" w14:paraId="4FB1400F" wp14:textId="77777777">
      <w:r w:rsidRPr="007B1CEF">
        <w:t xml:space="preserve">The Integrated Care Systems specifically seek to bring together the NHS organisations, primary care, community services and local authorities to improve the health of the population. The Health and Care Act 2022 facilitates collaboration between these sectors, especially where integration has the potential to enhance outcomes, or reduce inequalities (UK Parliament, 2022). </w:t>
      </w:r>
    </w:p>
    <w:p xmlns:wp14="http://schemas.microsoft.com/office/word/2010/wordml" w:rsidRPr="007B1CEF" w:rsidR="007B1CEF" w:rsidP="007B1CEF" w:rsidRDefault="007B1CEF" w14:paraId="17E8A62F" wp14:textId="77777777">
      <w:r w:rsidRPr="007B1CEF">
        <w:t xml:space="preserve">Greater Manchester is a good example. It has an Integrated Care Partnership that lists diabetes services in localities, such as Greater Manchester Integrated Care Partnership's specialist education services or Stockport's hospital-community diabetes team (Greater Manchester Integrated Care Partnership, 2025). </w:t>
      </w:r>
    </w:p>
    <w:p xmlns:wp14="http://schemas.microsoft.com/office/word/2010/wordml" w:rsidR="007B1CEF" w:rsidP="007B1CEF" w:rsidRDefault="007B1CEF" w14:paraId="062F2144" wp14:textId="77777777">
      <w:r w:rsidRPr="007B1CEF">
        <w:t>While this reflects organisational integration, service provision does not necessarily indicate outcomes of improvement. Evidence concerning patient access, complication rates and continuity of care is necessary to determine effectiveness. Also, variations in resources within the community may limit uniformity in delivery. Thus, effective outcome monitoring and clear assessment are crucial to ensuring that integration policies are enacted into measurable improvements.</w:t>
      </w:r>
    </w:p>
    <w:p xmlns:wp14="http://schemas.microsoft.com/office/word/2010/wordml" w:rsidRPr="00A81150" w:rsidR="00A81150" w:rsidP="00CF73FD" w:rsidRDefault="00A81150" w14:paraId="27F05B42" wp14:textId="77777777">
      <w:pPr>
        <w:pStyle w:val="Heading2"/>
      </w:pPr>
      <w:bookmarkStart w:name="_Toc242870132" w:id="23"/>
      <w:r w:rsidRPr="00A81150">
        <w:t>6.3 Policy Implementation, Prevention and Health Inequalities</w:t>
      </w:r>
      <w:bookmarkEnd w:id="23"/>
      <w:r w:rsidRPr="00A81150">
        <w:t xml:space="preserve"> </w:t>
      </w:r>
    </w:p>
    <w:p xmlns:wp14="http://schemas.microsoft.com/office/word/2010/wordml" w:rsidRPr="007B1CEF" w:rsidR="007B1CEF" w:rsidP="007B1CEF" w:rsidRDefault="007B1CEF" w14:paraId="5CE4C7D2" wp14:textId="77777777">
      <w:r w:rsidRPr="007B1CEF">
        <w:t xml:space="preserve">The national effort in reducing the incidence of T2DM by structured behavioural intervention is illustrated by the NHS Diabetes Prevention Programme. The risk of progression was reduced by about 20% in people with the potential to benefit from the programme who were referred compared to people without the programme. But observational evidence </w:t>
      </w:r>
      <w:proofErr w:type="spellStart"/>
      <w:r w:rsidRPr="007B1CEF">
        <w:t>can not</w:t>
      </w:r>
      <w:proofErr w:type="spellEnd"/>
      <w:r w:rsidRPr="007B1CEF">
        <w:t xml:space="preserve"> fully rule out selection bias or prove equitable benefits to the population. </w:t>
      </w:r>
    </w:p>
    <w:p xmlns:wp14="http://schemas.microsoft.com/office/word/2010/wordml" w:rsidRPr="007B1CEF" w:rsidR="007B1CEF" w:rsidP="007B1CEF" w:rsidRDefault="007B1CEF" w14:paraId="1C60983B" wp14:textId="77777777">
      <w:r w:rsidRPr="007B1CEF">
        <w:t xml:space="preserve">Socioeconomic disadvantage, language challenges and geographic disparities can hinder access to preventive services. NHS England (2025) states that there are statutory obligations to tackle inequalities in accessing health care and outcomes. However, doing so is not enough if it is not followed by effective implementation. </w:t>
      </w:r>
    </w:p>
    <w:p xmlns:wp14="http://schemas.microsoft.com/office/word/2010/wordml" w:rsidR="007B1CEF" w:rsidP="007B1CEF" w:rsidRDefault="007B1CEF" w14:paraId="5FCF304E" wp14:textId="77777777">
      <w:r w:rsidRPr="007B1CEF">
        <w:t>Strengthening participation through targeted outreach, culturally adapted education and accessible community-based programmes. They should be evaluated based on uptake, retention and outcomes by deprivation and ethnicity and must be measurable to benefit national prevention policies across populations.</w:t>
      </w:r>
    </w:p>
    <w:p xmlns:wp14="http://schemas.microsoft.com/office/word/2010/wordml" w:rsidRPr="00A81150" w:rsidR="00A81150" w:rsidP="00CF73FD" w:rsidRDefault="00A81150" w14:paraId="6FAF4347" wp14:textId="77777777">
      <w:pPr>
        <w:pStyle w:val="Heading1"/>
      </w:pPr>
      <w:bookmarkStart w:name="_Toc242870133" w:id="24"/>
      <w:r w:rsidRPr="00A81150">
        <w:t>7. Evidence-Based Recommendations for Person-Centred Care and Self-Management</w:t>
      </w:r>
      <w:bookmarkEnd w:id="24"/>
      <w:r w:rsidRPr="00A81150">
        <w:t xml:space="preserve"> </w:t>
      </w:r>
    </w:p>
    <w:p xmlns:wp14="http://schemas.microsoft.com/office/word/2010/wordml" w:rsidRPr="00A81150" w:rsidR="00A81150" w:rsidP="00CF73FD" w:rsidRDefault="00A81150" w14:paraId="27FE4334" wp14:textId="77777777">
      <w:pPr>
        <w:pStyle w:val="Heading2"/>
      </w:pPr>
      <w:bookmarkStart w:name="_Toc242870134" w:id="25"/>
      <w:r w:rsidRPr="00A81150">
        <w:t>7.1 Strengthening Person-Centred and Collaborative Care Planning</w:t>
      </w:r>
      <w:bookmarkEnd w:id="25"/>
      <w:r w:rsidRPr="00A81150">
        <w:t xml:space="preserve"> </w:t>
      </w:r>
    </w:p>
    <w:p xmlns:wp14="http://schemas.microsoft.com/office/word/2010/wordml" w:rsidRPr="007B1CEF" w:rsidR="007B1CEF" w:rsidP="007B1CEF" w:rsidRDefault="007B1CEF" w14:paraId="6075959E" wp14:textId="77777777">
      <w:r w:rsidRPr="007B1CEF">
        <w:t xml:space="preserve">Structured and personalised diabetes reviews that include comorbidities, psychological well-being, treatment burden and preferences should be implemented within healthcare services. NICE (2021) suggest the incorporation of clinical evidence, alongside patients' values, through the process of shared decision-making and the use of collaborative planning, taking into account broader life experiences. </w:t>
      </w:r>
    </w:p>
    <w:p xmlns:wp14="http://schemas.microsoft.com/office/word/2010/wordml" w:rsidRPr="007B1CEF" w:rsidR="007B1CEF" w:rsidP="007B1CEF" w:rsidRDefault="007B1CEF" w14:paraId="2D558A4B" wp14:textId="77777777">
      <w:r w:rsidRPr="007B1CEF">
        <w:t>There is a need for a named care coordinator to help improve the continuity of care between primary care, specialist teams and community services. Information should be accessible, communication culturally appropriate and professional interpreters should be used for informed participation. But real collaboration needs sufficient consultation time and training of the professionals or trainers; otherwise, it can become an administrative activity instead of a participative one in care planning.</w:t>
      </w:r>
    </w:p>
    <w:p xmlns:wp14="http://schemas.microsoft.com/office/word/2010/wordml" w:rsidR="007B1CEF" w:rsidP="007B1CEF" w:rsidRDefault="007B1CEF" w14:paraId="550C2843" wp14:textId="77777777">
      <w:r w:rsidRPr="007B1CEF">
        <w:t>Patient-reported involvement, treatment satisfaction and clinical outcomes should be measured, as well as audits of personalised plan completion in services. These measures would be more indicative of effective person-centred care than documentation.</w:t>
      </w:r>
    </w:p>
    <w:p xmlns:wp14="http://schemas.microsoft.com/office/word/2010/wordml" w:rsidRPr="00A81150" w:rsidR="00A81150" w:rsidP="00CF73FD" w:rsidRDefault="00A81150" w14:paraId="2CAD55D3" wp14:textId="77777777">
      <w:pPr>
        <w:pStyle w:val="Heading2"/>
      </w:pPr>
      <w:bookmarkStart w:name="_Toc242870135" w:id="26"/>
      <w:r w:rsidRPr="00A81150">
        <w:t>7.2 Enhancing Self-Management Education and Digital Health Support</w:t>
      </w:r>
      <w:bookmarkEnd w:id="26"/>
      <w:r w:rsidRPr="00A81150">
        <w:t xml:space="preserve"> </w:t>
      </w:r>
    </w:p>
    <w:p xmlns:wp14="http://schemas.microsoft.com/office/word/2010/wordml" w:rsidRPr="00311CB1" w:rsidR="00311CB1" w:rsidP="00311CB1" w:rsidRDefault="00311CB1" w14:paraId="6FF592A7" wp14:textId="77777777">
      <w:r w:rsidRPr="00311CB1">
        <w:t xml:space="preserve">NHS services must make a more flexible appointment system for structured diabetes self-management education more accessible, enable community provision and provide effective support for digital alternatives. Kerr et al. (2024) identified that personalised professional coaching was a part of the effectiveness of digital interventions in reducing HbA1c by around 0.31 percentage points compared with usual care. However, there is only a low level of uniformity in the intensity and implementation of the interventions, which makes them less applicable to all. </w:t>
      </w:r>
    </w:p>
    <w:p xmlns:wp14="http://schemas.microsoft.com/office/word/2010/wordml" w:rsidRPr="00311CB1" w:rsidR="00311CB1" w:rsidP="00311CB1" w:rsidRDefault="00311CB1" w14:paraId="2B331376" wp14:textId="77777777">
      <w:r w:rsidRPr="00311CB1">
        <w:t>Digital programmes should be used alongside face-to-face support and not as a replacement, especially for those who may have low digital literacy or financial status. Personalised education should include medication adherence, nutrition, and physical activity as well as appropriate glucose monitoring.</w:t>
      </w:r>
    </w:p>
    <w:p xmlns:wp14="http://schemas.microsoft.com/office/word/2010/wordml" w:rsidR="00311CB1" w:rsidP="00311CB1" w:rsidRDefault="00311CB1" w14:paraId="3B3ACAFD" wp14:textId="77777777">
      <w:r w:rsidRPr="00311CB1">
        <w:t>Primary care teams were able to identify patients who had unmet educational needs and make supported referrals, provide translated resources and conduct regular follow-up. Monitor for programme effectiveness by participation, completion, HbA1c results and patient confidence. These policies would help determine whether digital innovation is a positive or a negative development for sustainable self-management or whether it accidentally exacerbates inequalities.</w:t>
      </w:r>
    </w:p>
    <w:p xmlns:wp14="http://schemas.microsoft.com/office/word/2010/wordml" w:rsidRPr="00A81150" w:rsidR="00A81150" w:rsidP="00CF73FD" w:rsidRDefault="00A81150" w14:paraId="093B7DBA" wp14:textId="77777777">
      <w:pPr>
        <w:pStyle w:val="Heading2"/>
      </w:pPr>
      <w:bookmarkStart w:name="_Toc242870136" w:id="27"/>
      <w:r w:rsidRPr="00A81150">
        <w:t>7.3 Advance Care Planning and End-of-Life Care Considerations</w:t>
      </w:r>
      <w:bookmarkEnd w:id="27"/>
      <w:r w:rsidRPr="00A81150">
        <w:t xml:space="preserve"> </w:t>
      </w:r>
    </w:p>
    <w:p xmlns:wp14="http://schemas.microsoft.com/office/word/2010/wordml" w:rsidRPr="00A81150" w:rsidR="00A81150" w:rsidP="00A81150" w:rsidRDefault="00A81150" w14:paraId="108818BB" wp14:textId="77777777">
      <w:r w:rsidRPr="00A81150">
        <w:t xml:space="preserve">For individuals with T2DM experiencing advanced frailty, severe complications or life-limiting comorbidities, care priorities should shift towards comfort, dignity and individual preferences. Diabetes UK (2024) recommends adapting glycaemic targets and reviewing treatment burden during end-of-life care, recognising that intensive control may offer limited benefit. </w:t>
      </w:r>
    </w:p>
    <w:p xmlns:wp14="http://schemas.microsoft.com/office/word/2010/wordml" w:rsidRPr="00A81150" w:rsidR="00A81150" w:rsidP="00A81150" w:rsidRDefault="00A81150" w14:paraId="17027946" wp14:textId="77777777">
      <w:r w:rsidRPr="00A81150">
        <w:t xml:space="preserve">NICE guideline NG31 supports shared decision-making, symptom assessment and individualised care planning for adults approaching death (NICE, 2015). </w:t>
      </w:r>
    </w:p>
    <w:p xmlns:wp14="http://schemas.microsoft.com/office/word/2010/wordml" w:rsidR="00A81150" w:rsidP="00A81150" w:rsidRDefault="00A81150" w14:paraId="3370C817" wp14:textId="77777777">
      <w:r w:rsidRPr="00A81150">
        <w:t>Multidisciplinary teams should discuss appropriate medication simplification, hypoglycaemia prevention and family involvement while respecting patient autonomy. However, treatment withdrawal requires individual clinical assessment rather than routine discontinuation. Advance care planning should therefore reflect prognosis, preferences and changing needs, ensuring compassionate care without unnecessarily burdensome interventions.</w:t>
      </w:r>
    </w:p>
    <w:p xmlns:wp14="http://schemas.microsoft.com/office/word/2010/wordml" w:rsidR="00371C3D" w:rsidP="00A81150" w:rsidRDefault="00371C3D" w14:paraId="2F3707E1" wp14:textId="77777777">
      <w:pPr>
        <w:rPr>
          <w:b/>
        </w:rPr>
      </w:pPr>
      <w:r w:rsidRPr="00371C3D">
        <w:rPr>
          <w:b/>
        </w:rPr>
        <w:t>Table 2: Evidence-Based Recommendations for Improving T2DM Care</w:t>
      </w:r>
    </w:p>
    <w:tbl>
      <w:tblPr>
        <w:tblStyle w:val="TableGrid"/>
        <w:tblW w:w="0" w:type="auto"/>
        <w:tblLook w:val="04A0" w:firstRow="1" w:lastRow="0" w:firstColumn="1" w:lastColumn="0" w:noHBand="0" w:noVBand="1"/>
      </w:tblPr>
      <w:tblGrid>
        <w:gridCol w:w="2577"/>
        <w:gridCol w:w="3677"/>
        <w:gridCol w:w="3096"/>
      </w:tblGrid>
      <w:tr xmlns:wp14="http://schemas.microsoft.com/office/word/2010/wordml" w:rsidRPr="00371C3D" w:rsidR="00371C3D" w:rsidTr="00371C3D" w14:paraId="6D0DD0D4" wp14:textId="77777777">
        <w:tc>
          <w:tcPr>
            <w:tcW w:w="0" w:type="auto"/>
            <w:hideMark/>
          </w:tcPr>
          <w:p w:rsidRPr="00371C3D" w:rsidR="00371C3D" w:rsidP="00371C3D" w:rsidRDefault="00371C3D" w14:paraId="0A0ED246" wp14:textId="77777777">
            <w:r w:rsidRPr="00371C3D">
              <w:t>Identified challenge</w:t>
            </w:r>
          </w:p>
        </w:tc>
        <w:tc>
          <w:tcPr>
            <w:tcW w:w="0" w:type="auto"/>
            <w:hideMark/>
          </w:tcPr>
          <w:p w:rsidRPr="00371C3D" w:rsidR="00371C3D" w:rsidP="00371C3D" w:rsidRDefault="00371C3D" w14:paraId="02FDC233" wp14:textId="77777777">
            <w:r w:rsidRPr="00371C3D">
              <w:t>Recommended intervention</w:t>
            </w:r>
          </w:p>
        </w:tc>
        <w:tc>
          <w:tcPr>
            <w:tcW w:w="0" w:type="auto"/>
            <w:hideMark/>
          </w:tcPr>
          <w:p w:rsidRPr="00371C3D" w:rsidR="00371C3D" w:rsidP="00371C3D" w:rsidRDefault="00371C3D" w14:paraId="6144AC0F" wp14:textId="77777777">
            <w:r w:rsidRPr="00371C3D">
              <w:t>Intended outcome</w:t>
            </w:r>
          </w:p>
        </w:tc>
      </w:tr>
      <w:tr xmlns:wp14="http://schemas.microsoft.com/office/word/2010/wordml" w:rsidRPr="00371C3D" w:rsidR="00371C3D" w:rsidTr="00371C3D" w14:paraId="05EBD926" wp14:textId="77777777">
        <w:tc>
          <w:tcPr>
            <w:tcW w:w="0" w:type="auto"/>
            <w:hideMark/>
          </w:tcPr>
          <w:p w:rsidRPr="00371C3D" w:rsidR="00371C3D" w:rsidP="00371C3D" w:rsidRDefault="00371C3D" w14:paraId="02918C3A" wp14:textId="77777777">
            <w:r w:rsidRPr="00371C3D">
              <w:t>Fragmented care</w:t>
            </w:r>
          </w:p>
        </w:tc>
        <w:tc>
          <w:tcPr>
            <w:tcW w:w="0" w:type="auto"/>
            <w:hideMark/>
          </w:tcPr>
          <w:p w:rsidRPr="00371C3D" w:rsidR="00371C3D" w:rsidP="00371C3D" w:rsidRDefault="00371C3D" w14:paraId="2485D34C" wp14:textId="77777777">
            <w:r w:rsidRPr="00371C3D">
              <w:t>Coordinated multidisciplinary care planning</w:t>
            </w:r>
          </w:p>
        </w:tc>
        <w:tc>
          <w:tcPr>
            <w:tcW w:w="0" w:type="auto"/>
            <w:hideMark/>
          </w:tcPr>
          <w:p w:rsidRPr="00371C3D" w:rsidR="00371C3D" w:rsidP="00371C3D" w:rsidRDefault="00371C3D" w14:paraId="3D8F6132" wp14:textId="77777777">
            <w:r w:rsidRPr="00371C3D">
              <w:t>Improved continuity of care</w:t>
            </w:r>
          </w:p>
        </w:tc>
      </w:tr>
      <w:tr xmlns:wp14="http://schemas.microsoft.com/office/word/2010/wordml" w:rsidRPr="00371C3D" w:rsidR="00371C3D" w:rsidTr="00371C3D" w14:paraId="33506461" wp14:textId="77777777">
        <w:tc>
          <w:tcPr>
            <w:tcW w:w="0" w:type="auto"/>
            <w:hideMark/>
          </w:tcPr>
          <w:p w:rsidRPr="00371C3D" w:rsidR="00371C3D" w:rsidP="00371C3D" w:rsidRDefault="00371C3D" w14:paraId="22AF45B5" wp14:textId="77777777">
            <w:r w:rsidRPr="00371C3D">
              <w:t>Limited patient involvement</w:t>
            </w:r>
          </w:p>
        </w:tc>
        <w:tc>
          <w:tcPr>
            <w:tcW w:w="0" w:type="auto"/>
            <w:hideMark/>
          </w:tcPr>
          <w:p w:rsidRPr="00371C3D" w:rsidR="00371C3D" w:rsidP="00371C3D" w:rsidRDefault="00371C3D" w14:paraId="23B3D721" wp14:textId="77777777">
            <w:r w:rsidRPr="00371C3D">
              <w:t>Shared decision-making</w:t>
            </w:r>
          </w:p>
        </w:tc>
        <w:tc>
          <w:tcPr>
            <w:tcW w:w="0" w:type="auto"/>
            <w:hideMark/>
          </w:tcPr>
          <w:p w:rsidRPr="00371C3D" w:rsidR="00371C3D" w:rsidP="00371C3D" w:rsidRDefault="00371C3D" w14:paraId="1F6024C1" wp14:textId="77777777">
            <w:r w:rsidRPr="00371C3D">
              <w:t>Greater patient autonomy</w:t>
            </w:r>
          </w:p>
        </w:tc>
      </w:tr>
      <w:tr xmlns:wp14="http://schemas.microsoft.com/office/word/2010/wordml" w:rsidRPr="00371C3D" w:rsidR="00371C3D" w:rsidTr="00371C3D" w14:paraId="0AD576A1" wp14:textId="77777777">
        <w:tc>
          <w:tcPr>
            <w:tcW w:w="0" w:type="auto"/>
            <w:hideMark/>
          </w:tcPr>
          <w:p w:rsidRPr="00371C3D" w:rsidR="00371C3D" w:rsidP="00371C3D" w:rsidRDefault="00371C3D" w14:paraId="5F52780E" wp14:textId="77777777">
            <w:r w:rsidRPr="00371C3D">
              <w:t>Inadequate self-management support</w:t>
            </w:r>
          </w:p>
        </w:tc>
        <w:tc>
          <w:tcPr>
            <w:tcW w:w="0" w:type="auto"/>
            <w:hideMark/>
          </w:tcPr>
          <w:p w:rsidRPr="00371C3D" w:rsidR="00371C3D" w:rsidP="00371C3D" w:rsidRDefault="00371C3D" w14:paraId="7811BC78" wp14:textId="77777777">
            <w:r w:rsidRPr="00371C3D">
              <w:t>Structured education and follow-up</w:t>
            </w:r>
          </w:p>
        </w:tc>
        <w:tc>
          <w:tcPr>
            <w:tcW w:w="0" w:type="auto"/>
            <w:hideMark/>
          </w:tcPr>
          <w:p w:rsidRPr="00371C3D" w:rsidR="00371C3D" w:rsidP="00371C3D" w:rsidRDefault="00371C3D" w14:paraId="4889784A" wp14:textId="77777777">
            <w:r w:rsidRPr="00371C3D">
              <w:t>Improved patient knowledge and self-management</w:t>
            </w:r>
          </w:p>
        </w:tc>
      </w:tr>
      <w:tr xmlns:wp14="http://schemas.microsoft.com/office/word/2010/wordml" w:rsidRPr="00371C3D" w:rsidR="00371C3D" w:rsidTr="00371C3D" w14:paraId="7923EEAC" wp14:textId="77777777">
        <w:tc>
          <w:tcPr>
            <w:tcW w:w="0" w:type="auto"/>
            <w:hideMark/>
          </w:tcPr>
          <w:p w:rsidRPr="00371C3D" w:rsidR="00371C3D" w:rsidP="00371C3D" w:rsidRDefault="00371C3D" w14:paraId="5D5A364A" wp14:textId="77777777">
            <w:r w:rsidRPr="00371C3D">
              <w:t>Digital exclusion</w:t>
            </w:r>
          </w:p>
        </w:tc>
        <w:tc>
          <w:tcPr>
            <w:tcW w:w="0" w:type="auto"/>
            <w:hideMark/>
          </w:tcPr>
          <w:p w:rsidRPr="00371C3D" w:rsidR="00371C3D" w:rsidP="00371C3D" w:rsidRDefault="00371C3D" w14:paraId="054CECE7" wp14:textId="77777777">
            <w:r w:rsidRPr="00371C3D">
              <w:t>Accessible digital and non-digital services</w:t>
            </w:r>
          </w:p>
        </w:tc>
        <w:tc>
          <w:tcPr>
            <w:tcW w:w="0" w:type="auto"/>
            <w:hideMark/>
          </w:tcPr>
          <w:p w:rsidRPr="00371C3D" w:rsidR="00371C3D" w:rsidP="00371C3D" w:rsidRDefault="00371C3D" w14:paraId="31754731" wp14:textId="77777777">
            <w:r w:rsidRPr="00371C3D">
              <w:t>Reduced inequalities</w:t>
            </w:r>
          </w:p>
        </w:tc>
      </w:tr>
      <w:tr xmlns:wp14="http://schemas.microsoft.com/office/word/2010/wordml" w:rsidRPr="00371C3D" w:rsidR="00371C3D" w:rsidTr="00371C3D" w14:paraId="2C07F201" wp14:textId="77777777">
        <w:tc>
          <w:tcPr>
            <w:tcW w:w="0" w:type="auto"/>
            <w:hideMark/>
          </w:tcPr>
          <w:p w:rsidRPr="00371C3D" w:rsidR="00371C3D" w:rsidP="00371C3D" w:rsidRDefault="00371C3D" w14:paraId="5BE60CC9" wp14:textId="77777777">
            <w:r w:rsidRPr="00371C3D">
              <w:t>Complex treatment in advanced illness</w:t>
            </w:r>
          </w:p>
        </w:tc>
        <w:tc>
          <w:tcPr>
            <w:tcW w:w="0" w:type="auto"/>
            <w:hideMark/>
          </w:tcPr>
          <w:p w:rsidRPr="00371C3D" w:rsidR="00371C3D" w:rsidP="00371C3D" w:rsidRDefault="00371C3D" w14:paraId="4B8B3444" wp14:textId="77777777">
            <w:r w:rsidRPr="00371C3D">
              <w:t>Individualised treatment review and advance care planning</w:t>
            </w:r>
          </w:p>
        </w:tc>
        <w:tc>
          <w:tcPr>
            <w:tcW w:w="0" w:type="auto"/>
            <w:hideMark/>
          </w:tcPr>
          <w:p w:rsidRPr="00371C3D" w:rsidR="00371C3D" w:rsidP="00371C3D" w:rsidRDefault="00371C3D" w14:paraId="1B27D1B8" wp14:textId="77777777">
            <w:r w:rsidRPr="00371C3D">
              <w:t>Reduced treatment burden and improved comfort</w:t>
            </w:r>
          </w:p>
        </w:tc>
      </w:tr>
    </w:tbl>
    <w:p xmlns:wp14="http://schemas.microsoft.com/office/word/2010/wordml" w:rsidRPr="00A81150" w:rsidR="00A81150" w:rsidP="00CF73FD" w:rsidRDefault="00A81150" w14:paraId="6683F596" wp14:textId="77777777">
      <w:pPr>
        <w:pStyle w:val="Heading1"/>
      </w:pPr>
      <w:bookmarkStart w:name="_Toc242870137" w:id="28"/>
      <w:r w:rsidRPr="00A81150">
        <w:t>8. Conclusion</w:t>
      </w:r>
      <w:bookmarkEnd w:id="28"/>
      <w:r w:rsidRPr="00A81150">
        <w:t xml:space="preserve"> </w:t>
      </w:r>
    </w:p>
    <w:p xmlns:wp14="http://schemas.microsoft.com/office/word/2010/wordml" w:rsidRPr="00A81150" w:rsidR="00A81150" w:rsidP="00CF73FD" w:rsidRDefault="00A81150" w14:paraId="7433C1C9" wp14:textId="77777777">
      <w:pPr>
        <w:pStyle w:val="Heading2"/>
      </w:pPr>
      <w:bookmarkStart w:name="_Toc242870138" w:id="29"/>
      <w:r w:rsidRPr="00A81150">
        <w:t>8.1 Synthesis of Major Findings</w:t>
      </w:r>
      <w:bookmarkEnd w:id="29"/>
      <w:r w:rsidRPr="00A81150">
        <w:t xml:space="preserve"> </w:t>
      </w:r>
    </w:p>
    <w:p xmlns:wp14="http://schemas.microsoft.com/office/word/2010/wordml" w:rsidRPr="007B1CEF" w:rsidR="007B1CEF" w:rsidP="007B1CEF" w:rsidRDefault="007B1CEF" w14:paraId="6A6C96DF" wp14:textId="77777777">
      <w:r w:rsidRPr="007B1CEF">
        <w:t xml:space="preserve">For people with T2DM who are at high risk of death, have life-limiting comorbidities, or are at the advanced stage of frailty, the focus of care should be comfort, dignity and individual preferences. Diabetes UK (2024) suggests that glycaemic targets need to be flexible and take into consideration the burden of treatment towards the end of life, and that the intensive control approach may have little benefit. </w:t>
      </w:r>
    </w:p>
    <w:p xmlns:wp14="http://schemas.microsoft.com/office/word/2010/wordml" w:rsidRPr="007B1CEF" w:rsidR="007B1CEF" w:rsidP="007B1CEF" w:rsidRDefault="007B1CEF" w14:paraId="27C950BD" wp14:textId="77777777">
      <w:r w:rsidRPr="007B1CEF">
        <w:t xml:space="preserve">Shared decision-making, symptom assessment and individualised care planning for adults approaching death are recommended in NICE guideline NG31 (NICE, 2015). </w:t>
      </w:r>
    </w:p>
    <w:p xmlns:wp14="http://schemas.microsoft.com/office/word/2010/wordml" w:rsidR="007B1CEF" w:rsidP="007B1CEF" w:rsidRDefault="007B1CEF" w14:paraId="2CEB512A" wp14:textId="77777777">
      <w:r w:rsidRPr="007B1CEF">
        <w:t>Medication simplification, prevention of hypoglycaemia and family engagement should be discussed by multidisciplinary teams and respect patient autonomy. But withdrawal from treatment cannot be done routinely; it needs to be done individually, based on clinical assessment. Therefore, advance care planning should be based on prognosis, preferences and evolving needs, and should ensure that compassionate care is provided, while avoiding needless burdens.</w:t>
      </w:r>
    </w:p>
    <w:p xmlns:wp14="http://schemas.microsoft.com/office/word/2010/wordml" w:rsidRPr="00A81150" w:rsidR="00A81150" w:rsidP="00CF73FD" w:rsidRDefault="00A81150" w14:paraId="2189A08E" wp14:textId="77777777">
      <w:pPr>
        <w:pStyle w:val="Heading2"/>
      </w:pPr>
      <w:bookmarkStart w:name="_Toc242870139" w:id="30"/>
      <w:r w:rsidRPr="00A81150">
        <w:t>8.2 Implications for Future Healthcare Practice</w:t>
      </w:r>
      <w:bookmarkEnd w:id="30"/>
      <w:r w:rsidRPr="00A81150">
        <w:t xml:space="preserve"> </w:t>
      </w:r>
    </w:p>
    <w:p xmlns:wp14="http://schemas.microsoft.com/office/word/2010/wordml" w:rsidRPr="007B1CEF" w:rsidR="007B1CEF" w:rsidP="007B1CEF" w:rsidRDefault="007B1CEF" w14:paraId="49C1E3CB" wp14:textId="77777777">
      <w:r w:rsidRPr="007B1CEF">
        <w:t>Accessible education in self-management and collaborative care planning and effective multidisciplinary coordination should be focused on future diabetes management. Services should work to address socio-economic and digital inequities and build links between primary, community and specialist services. Patient-reported outcomes (PROs) could be combined with clinical measures to aid in a more meaningful assessment of the quality of the service. Overall, there is a need for long-term investment in organisations, culturally sensitive interventions and accountability to tackle inequalities, so that person-centred care is a reality for everyone across NHS diabetes services.</w:t>
      </w:r>
    </w:p>
    <w:p xmlns:wp14="http://schemas.microsoft.com/office/word/2010/wordml" w:rsidR="00CF73FD" w:rsidP="007B1CEF" w:rsidRDefault="00CF73FD" w14:paraId="44EAFD9C" wp14:textId="77777777">
      <w:r>
        <w:br w:type="page"/>
      </w:r>
    </w:p>
    <w:p xmlns:wp14="http://schemas.microsoft.com/office/word/2010/wordml" w:rsidR="00CF73FD" w:rsidP="00CF73FD" w:rsidRDefault="00CF73FD" w14:paraId="071E4E01" wp14:textId="77777777">
      <w:pPr>
        <w:pStyle w:val="Heading1"/>
        <w:rPr>
          <w:sz w:val="36"/>
        </w:rPr>
      </w:pPr>
      <w:bookmarkStart w:name="_Toc242870140" w:id="31"/>
      <w:r>
        <w:t>References</w:t>
      </w:r>
      <w:bookmarkEnd w:id="31"/>
    </w:p>
    <w:p xmlns:wp14="http://schemas.microsoft.com/office/word/2010/wordml" w:rsidR="00CF73FD" w:rsidP="00A641B5" w:rsidRDefault="00CF73FD" w14:paraId="3C00B65E" wp14:textId="77777777">
      <w:bookmarkStart w:name="_GoBack" w:id="32"/>
      <w:r>
        <w:t xml:space="preserve">Alzahrani, O., Fletcher, J.P. and </w:t>
      </w:r>
      <w:proofErr w:type="spellStart"/>
      <w:r>
        <w:t>Hitos</w:t>
      </w:r>
      <w:proofErr w:type="spellEnd"/>
      <w:r>
        <w:t xml:space="preserve">, K. (2023) ‘Quality of life and mental health measurements among patients with type 2 diabetes mellitus: a systematic review’, Health and Quality of Life Outcomes, 21, article 27. Available at: </w:t>
      </w:r>
      <w:hyperlink w:history="1" r:id="rId12">
        <w:r>
          <w:rPr>
            <w:rStyle w:val="Hyperlink"/>
          </w:rPr>
          <w:t>https://doi.org/10.1186/s12955-023-02111-3</w:t>
        </w:r>
      </w:hyperlink>
    </w:p>
    <w:p xmlns:wp14="http://schemas.microsoft.com/office/word/2010/wordml" w:rsidR="00CF73FD" w:rsidP="00A641B5" w:rsidRDefault="00CF73FD" w14:paraId="6A981D1A" wp14:textId="77777777">
      <w:r>
        <w:t xml:space="preserve">American Diabetes Association Professional Practice Committee (2024) ‘5. Facilitating positive health behaviors and well-being to improve health outcomes: Standards of Care in Diabetes—2024’, Diabetes Care, 47(Supplement 1), pp. S77–S110. Available at: </w:t>
      </w:r>
      <w:hyperlink w:history="1" r:id="rId13">
        <w:r>
          <w:rPr>
            <w:rStyle w:val="Hyperlink"/>
          </w:rPr>
          <w:t>https://diabetesjournals.org/care/article/47/Supplement_1/S77/153949/</w:t>
        </w:r>
      </w:hyperlink>
    </w:p>
    <w:p xmlns:wp14="http://schemas.microsoft.com/office/word/2010/wordml" w:rsidR="00CF73FD" w:rsidP="00A641B5" w:rsidRDefault="00CF73FD" w14:paraId="399814CC" wp14:textId="77777777">
      <w:r>
        <w:t xml:space="preserve">Chan, J. et al. (2023) ‘Addressing health inequalities in diabetes through research: Recommendations from Diabetes UK's 2022 health inequalities in diabetes workshop’, Diabetic Medicine, 40(4), e15024. Available at: </w:t>
      </w:r>
      <w:hyperlink w:history="1" r:id="rId14">
        <w:r>
          <w:rPr>
            <w:rStyle w:val="Hyperlink"/>
          </w:rPr>
          <w:t>https://doi.org/10.1111/dme.15024</w:t>
        </w:r>
      </w:hyperlink>
    </w:p>
    <w:p xmlns:wp14="http://schemas.microsoft.com/office/word/2010/wordml" w:rsidR="00CF73FD" w:rsidP="00A641B5" w:rsidRDefault="00CF73FD" w14:paraId="63D24026" wp14:textId="77777777">
      <w:r>
        <w:t xml:space="preserve">Diabetes UK (2024) End of life care: Clinical recommendations for professionals. Available at: </w:t>
      </w:r>
      <w:hyperlink w:history="1" r:id="rId15">
        <w:r>
          <w:rPr>
            <w:rStyle w:val="Hyperlink"/>
          </w:rPr>
          <w:t>https://www.diabetes.org.uk/for-professionals/improving-care/clinical-recommendations-for-professionals/diagnosis-ongoing-management-monitoring/end-of-life-care</w:t>
        </w:r>
      </w:hyperlink>
      <w:r>
        <w:t xml:space="preserve"> (Accessed: 14 October 2026).</w:t>
      </w:r>
    </w:p>
    <w:p xmlns:wp14="http://schemas.microsoft.com/office/word/2010/wordml" w:rsidR="00CF73FD" w:rsidP="00A641B5" w:rsidRDefault="00CF73FD" w14:paraId="37F96404" wp14:textId="77777777">
      <w:r>
        <w:t xml:space="preserve">Diabetes UK (no date) How many people in the UK have diabetes? Available at: </w:t>
      </w:r>
      <w:hyperlink w:history="1" r:id="rId16">
        <w:r>
          <w:rPr>
            <w:rStyle w:val="Hyperlink"/>
          </w:rPr>
          <w:t>https://www.diabetes.org.uk/about-us/about-the-charity/our-strategy/statistics</w:t>
        </w:r>
      </w:hyperlink>
      <w:r>
        <w:t xml:space="preserve"> (Accessed: 14 October 2026).</w:t>
      </w:r>
    </w:p>
    <w:p xmlns:wp14="http://schemas.microsoft.com/office/word/2010/wordml" w:rsidR="00CF73FD" w:rsidP="00A641B5" w:rsidRDefault="00CF73FD" w14:paraId="6940B8A0" wp14:textId="77777777">
      <w:r>
        <w:t xml:space="preserve">Fernández-Rodríguez, R. et al. (2024) ‘Are e-Health interventions effective in reducing diabetes-related distress and depression in patients with type 2 diabetes? A systematic review with meta-analysis’, Telemedicine and e-Health, 30(4), pp. 919–939. Available at: </w:t>
      </w:r>
      <w:hyperlink w:history="1" r:id="rId17">
        <w:r>
          <w:rPr>
            <w:rStyle w:val="Hyperlink"/>
          </w:rPr>
          <w:t>https://doi.org/10.1089/tmj.2023.0374</w:t>
        </w:r>
      </w:hyperlink>
    </w:p>
    <w:p xmlns:wp14="http://schemas.microsoft.com/office/word/2010/wordml" w:rsidR="00CF73FD" w:rsidP="00A641B5" w:rsidRDefault="00CF73FD" w14:paraId="7D7FCD10" wp14:textId="77777777">
      <w:r>
        <w:t xml:space="preserve">Goh, L.H., </w:t>
      </w:r>
      <w:proofErr w:type="spellStart"/>
      <w:r>
        <w:t>Siah</w:t>
      </w:r>
      <w:proofErr w:type="spellEnd"/>
      <w:r>
        <w:t xml:space="preserve">, C.J.R., Tam, W.W.S., Tai, E.S. and Young, D.Y.L. (2022) ‘Effectiveness of the chronic care model for adults with type 2 diabetes in primary care: a systematic review and meta-analysis’, Systematic Reviews, 11, article 273. Available at: </w:t>
      </w:r>
      <w:hyperlink w:history="1" r:id="rId18">
        <w:r>
          <w:rPr>
            <w:rStyle w:val="Hyperlink"/>
          </w:rPr>
          <w:t>https://doi.org/10.1186/s13643-022-02117-w</w:t>
        </w:r>
      </w:hyperlink>
    </w:p>
    <w:p xmlns:wp14="http://schemas.microsoft.com/office/word/2010/wordml" w:rsidR="00CF73FD" w:rsidP="00A641B5" w:rsidRDefault="00CF73FD" w14:paraId="5C8D29ED" wp14:textId="77777777">
      <w:r>
        <w:t xml:space="preserve">Greater Manchester Integrated Care Partnership (2025) Diabetes services. Available at: </w:t>
      </w:r>
      <w:hyperlink w:history="1" r:id="rId19">
        <w:r>
          <w:rPr>
            <w:rStyle w:val="Hyperlink"/>
          </w:rPr>
          <w:t>https://gmintegratedcare.org.uk/find-a-service/type/diabetes-services/</w:t>
        </w:r>
      </w:hyperlink>
      <w:r>
        <w:t xml:space="preserve"> (Accessed: 14 October 2026).</w:t>
      </w:r>
    </w:p>
    <w:p xmlns:wp14="http://schemas.microsoft.com/office/word/2010/wordml" w:rsidR="00CF73FD" w:rsidP="00A641B5" w:rsidRDefault="00CF73FD" w14:paraId="102D8A98" wp14:textId="77777777">
      <w:r>
        <w:t xml:space="preserve">Hill-Briggs, F. and Fitzpatrick, S.L. (2023) ‘Overview of social determinants of health in the development of diabetes’, Diabetes Care, 46(9), pp. 1590–1598. Available at: </w:t>
      </w:r>
      <w:hyperlink w:history="1" r:id="rId20">
        <w:r>
          <w:rPr>
            <w:rStyle w:val="Hyperlink"/>
          </w:rPr>
          <w:t>https://doi.org/10.2337/dci23-0001</w:t>
        </w:r>
      </w:hyperlink>
      <w:r>
        <w:t xml:space="preserve"> </w:t>
      </w:r>
    </w:p>
    <w:p xmlns:wp14="http://schemas.microsoft.com/office/word/2010/wordml" w:rsidR="00CF73FD" w:rsidP="00A641B5" w:rsidRDefault="00CF73FD" w14:paraId="76C67938" wp14:textId="77777777">
      <w:r>
        <w:t xml:space="preserve">International Diabetes Federation (IDF) (2025) IDF Diabetes Atlas. 11th </w:t>
      </w:r>
      <w:proofErr w:type="spellStart"/>
      <w:r>
        <w:t>edn</w:t>
      </w:r>
      <w:proofErr w:type="spellEnd"/>
      <w:r>
        <w:t xml:space="preserve">. Brussels: International Diabetes Federation. Available at: </w:t>
      </w:r>
      <w:hyperlink w:history="1" r:id="rId21">
        <w:r>
          <w:rPr>
            <w:rStyle w:val="Hyperlink"/>
          </w:rPr>
          <w:t>https://diabetesatlas.org/resources/idf-diabetes-atlas-2025/</w:t>
        </w:r>
      </w:hyperlink>
    </w:p>
    <w:p xmlns:wp14="http://schemas.microsoft.com/office/word/2010/wordml" w:rsidR="00CF73FD" w:rsidP="00A641B5" w:rsidRDefault="00CF73FD" w14:paraId="7E175A35" wp14:textId="77777777">
      <w:proofErr w:type="spellStart"/>
      <w:r>
        <w:t>Ke</w:t>
      </w:r>
      <w:proofErr w:type="spellEnd"/>
      <w:r>
        <w:t xml:space="preserve">, C. et al. (2022) ‘Pathophysiology, phenotypes and management of type 2 diabetes mellitus in Indian and Chinese populations’, Nature Reviews Endocrinology, 18, pp. 413–432. Available at: </w:t>
      </w:r>
      <w:hyperlink w:history="1" r:id="rId22">
        <w:r>
          <w:rPr>
            <w:rStyle w:val="Hyperlink"/>
          </w:rPr>
          <w:t>https://doi.org/10.1038/s41574-022-00669-4</w:t>
        </w:r>
      </w:hyperlink>
    </w:p>
    <w:p xmlns:wp14="http://schemas.microsoft.com/office/word/2010/wordml" w:rsidR="00CF73FD" w:rsidP="00A641B5" w:rsidRDefault="00CF73FD" w14:paraId="0699BAE7" wp14:textId="77777777">
      <w:r>
        <w:t xml:space="preserve">Kerr, D., Ahn, D., Waki, K., Wang, J., Breznen, B. and </w:t>
      </w:r>
      <w:proofErr w:type="spellStart"/>
      <w:r>
        <w:t>Klonoff</w:t>
      </w:r>
      <w:proofErr w:type="spellEnd"/>
      <w:r>
        <w:t xml:space="preserve">, D.C. (2024) ‘Digital interventions for self-management of type 2 diabetes mellitus: systematic literature review and meta-analysis’, Journal of Medical Internet Research, 26, e55757. Available at: </w:t>
      </w:r>
      <w:hyperlink w:history="1" r:id="rId23">
        <w:r>
          <w:rPr>
            <w:rStyle w:val="Hyperlink"/>
          </w:rPr>
          <w:t>https://doi.org/10.2196/55757</w:t>
        </w:r>
      </w:hyperlink>
      <w:r>
        <w:t xml:space="preserve"> </w:t>
      </w:r>
    </w:p>
    <w:p xmlns:wp14="http://schemas.microsoft.com/office/word/2010/wordml" w:rsidR="00CF73FD" w:rsidP="00A641B5" w:rsidRDefault="00CF73FD" w14:paraId="427003BF" wp14:textId="77777777">
      <w:r>
        <w:t xml:space="preserve">National Institute for Health and Care Excellence (NICE) (2015) Care of dying adults in the last days of life. NICE guideline NG31. Available at: </w:t>
      </w:r>
      <w:hyperlink w:history="1" r:id="rId24">
        <w:r>
          <w:rPr>
            <w:rStyle w:val="Hyperlink"/>
          </w:rPr>
          <w:t>https://www.nice.org.uk/guidance/ng31</w:t>
        </w:r>
      </w:hyperlink>
      <w:r>
        <w:t xml:space="preserve"> (Accessed: 14 October 2026).</w:t>
      </w:r>
    </w:p>
    <w:p xmlns:wp14="http://schemas.microsoft.com/office/word/2010/wordml" w:rsidR="00CF73FD" w:rsidP="00A641B5" w:rsidRDefault="00CF73FD" w14:paraId="04C6B3D5" wp14:textId="77777777">
      <w:r>
        <w:t xml:space="preserve">National Institute for Health and Care Excellence (NICE) (2017) Type 2 diabetes: prevention in people at high risk. Public health guideline PH38. Available at: </w:t>
      </w:r>
      <w:hyperlink w:history="1" r:id="rId25">
        <w:r>
          <w:rPr>
            <w:rStyle w:val="Hyperlink"/>
          </w:rPr>
          <w:t>https://www.nice.org.uk/guidance/ph38</w:t>
        </w:r>
      </w:hyperlink>
      <w:r>
        <w:t xml:space="preserve"> (Accessed: 14 October 2026). </w:t>
      </w:r>
    </w:p>
    <w:p xmlns:wp14="http://schemas.microsoft.com/office/word/2010/wordml" w:rsidR="00CF73FD" w:rsidP="00A641B5" w:rsidRDefault="00CF73FD" w14:paraId="3CB78761" wp14:textId="77777777">
      <w:r>
        <w:t xml:space="preserve">National Institute for Health and Care Excellence (NICE) (2021) Shared decision making. NICE guideline NG197. Available at: </w:t>
      </w:r>
      <w:hyperlink w:history="1" r:id="rId26">
        <w:r>
          <w:rPr>
            <w:rStyle w:val="Hyperlink"/>
          </w:rPr>
          <w:t>https://www.nice.org.uk/guidance/ng197</w:t>
        </w:r>
      </w:hyperlink>
      <w:r>
        <w:t xml:space="preserve"> (Accessed: 14 October 2026).</w:t>
      </w:r>
    </w:p>
    <w:p xmlns:wp14="http://schemas.microsoft.com/office/word/2010/wordml" w:rsidR="00CF73FD" w:rsidP="00A641B5" w:rsidRDefault="00CF73FD" w14:paraId="33B5B274" wp14:textId="77777777">
      <w:r>
        <w:t xml:space="preserve">National Institute for Health and Care Excellence (NICE) (2026) Type 2 diabetes in adults: management. NICE guideline NG28. Available at: </w:t>
      </w:r>
      <w:hyperlink w:history="1" r:id="rId27">
        <w:r>
          <w:rPr>
            <w:rStyle w:val="Hyperlink"/>
          </w:rPr>
          <w:t>https://www.nice.org.uk/guidance/ng28</w:t>
        </w:r>
      </w:hyperlink>
      <w:r>
        <w:t xml:space="preserve"> (Accessed: 14 October 2026). </w:t>
      </w:r>
    </w:p>
    <w:p xmlns:wp14="http://schemas.microsoft.com/office/word/2010/wordml" w:rsidR="00CF73FD" w:rsidP="00A641B5" w:rsidRDefault="00CF73FD" w14:paraId="4B419FE3" wp14:textId="77777777">
      <w:r>
        <w:t xml:space="preserve">NHS England (2025) Health inequalities and equality legal duties: A reference document for NHS commissioners and providers. Available at: </w:t>
      </w:r>
      <w:hyperlink w:history="1" r:id="rId28">
        <w:r>
          <w:rPr>
            <w:rStyle w:val="Hyperlink"/>
          </w:rPr>
          <w:t>https://www.england.nhs.uk/long-read/health-inequalities-equality-legal-duties/</w:t>
        </w:r>
      </w:hyperlink>
      <w:r>
        <w:t xml:space="preserve"> (Accessed: 14 October 2026).</w:t>
      </w:r>
    </w:p>
    <w:p xmlns:wp14="http://schemas.microsoft.com/office/word/2010/wordml" w:rsidR="00CF73FD" w:rsidP="00A641B5" w:rsidRDefault="00CF73FD" w14:paraId="5C2EBD07" wp14:textId="77777777">
      <w:r>
        <w:t xml:space="preserve">NHS England (no date) NHS Type 2 Diabetes Path to Remission Programme. Available at: </w:t>
      </w:r>
      <w:hyperlink w:history="1" r:id="rId29">
        <w:r>
          <w:rPr>
            <w:rStyle w:val="Hyperlink"/>
          </w:rPr>
          <w:t>https://www.england.nhs.uk/diabetes/treatment-care/diabetes-remission/</w:t>
        </w:r>
      </w:hyperlink>
      <w:r>
        <w:t xml:space="preserve"> (Accessed: 14 October 2026).</w:t>
      </w:r>
    </w:p>
    <w:p xmlns:wp14="http://schemas.microsoft.com/office/word/2010/wordml" w:rsidR="00CF73FD" w:rsidP="00A641B5" w:rsidRDefault="00CF73FD" w14:paraId="136EC01D" wp14:textId="77777777">
      <w:r>
        <w:t xml:space="preserve">Redenz, G. et al. (2023) ‘Health state utility values of type 2 diabetes mellitus and related complications: A systematic review and meta-analysis’, Value in Health Regional Issues, 34, pp. 14–22. Available at: </w:t>
      </w:r>
      <w:hyperlink w:history="1" r:id="rId30">
        <w:r>
          <w:rPr>
            <w:rStyle w:val="Hyperlink"/>
          </w:rPr>
          <w:t>https://doi.org/10.1016/j.vhri.2022.09.005</w:t>
        </w:r>
      </w:hyperlink>
    </w:p>
    <w:p xmlns:wp14="http://schemas.microsoft.com/office/word/2010/wordml" w:rsidR="00CF73FD" w:rsidP="00A641B5" w:rsidRDefault="00CF73FD" w14:paraId="78992D2A" wp14:textId="77777777">
      <w:r>
        <w:t xml:space="preserve">Roberts, S., Eaton, S., Finch, T., Lewis-Barned, N., Lhussier, M., Oliver, L., Rapley, T. and Temple-Scott, D. (2019) ‘The Year of Care approach: developing a model and delivery programme for care and support planning in long term conditions within general practice’, BMC Family Practice, 20, article 153. Available at: </w:t>
      </w:r>
      <w:hyperlink w:history="1" r:id="rId31">
        <w:r>
          <w:rPr>
            <w:rStyle w:val="Hyperlink"/>
          </w:rPr>
          <w:t>https://doi.org/10.1186/s12875-019-1042-4</w:t>
        </w:r>
      </w:hyperlink>
      <w:r>
        <w:t xml:space="preserve"> </w:t>
      </w:r>
    </w:p>
    <w:p xmlns:wp14="http://schemas.microsoft.com/office/word/2010/wordml" w:rsidR="00CF73FD" w:rsidP="00A641B5" w:rsidRDefault="00CF73FD" w14:paraId="68772A22" wp14:textId="77777777">
      <w:r>
        <w:t xml:space="preserve">Tang, R. et al. (2026) ‘How families influence self-management among the role of family to patients with type 2 diabetes? A systematic review and meta-synthesis’, Journal of Advanced Nursing. Available at: </w:t>
      </w:r>
      <w:hyperlink w:history="1" r:id="rId32">
        <w:r>
          <w:rPr>
            <w:rStyle w:val="Hyperlink"/>
          </w:rPr>
          <w:t>https://doi.org/10.1111/jan.70643</w:t>
        </w:r>
      </w:hyperlink>
    </w:p>
    <w:p xmlns:wp14="http://schemas.microsoft.com/office/word/2010/wordml" w:rsidR="00CF73FD" w:rsidP="00A641B5" w:rsidRDefault="00CF73FD" w14:paraId="5F216772" wp14:textId="77777777">
      <w:r>
        <w:t xml:space="preserve">Teli, M., Thato, R., Hasan, F. and Rias, Y.A. (2024) ‘Effectiveness of family-based diabetes management intervention on glycated haemoglobin among adults with type 2 diabetes: a systematic review and meta-analysis of randomized controlled trials’, Biological Research for Nursing, 26(2), pp. 315–333. Available at: </w:t>
      </w:r>
      <w:hyperlink w:history="1" r:id="rId33">
        <w:r>
          <w:rPr>
            <w:rStyle w:val="Hyperlink"/>
          </w:rPr>
          <w:t>https://doi.org/10.1177/10998004231218887</w:t>
        </w:r>
      </w:hyperlink>
      <w:r>
        <w:t xml:space="preserve"> </w:t>
      </w:r>
    </w:p>
    <w:p xmlns:wp14="http://schemas.microsoft.com/office/word/2010/wordml" w:rsidR="00CF73FD" w:rsidP="00A641B5" w:rsidRDefault="00CF73FD" w14:paraId="4AD44AD6" wp14:textId="77777777">
      <w:r>
        <w:t xml:space="preserve">UK Parliament (2022) Health and Care Act 2022. Available at: </w:t>
      </w:r>
      <w:hyperlink w:history="1" r:id="rId34">
        <w:r>
          <w:rPr>
            <w:rStyle w:val="Hyperlink"/>
          </w:rPr>
          <w:t>https://www.legislation.gov.uk/ukpga/2022/31/contents</w:t>
        </w:r>
      </w:hyperlink>
      <w:r>
        <w:t xml:space="preserve"> (Accessed: 14 October 2026).</w:t>
      </w:r>
    </w:p>
    <w:p xmlns:wp14="http://schemas.microsoft.com/office/word/2010/wordml" w:rsidR="00CF73FD" w:rsidP="00A641B5" w:rsidRDefault="00CF73FD" w14:paraId="2A5F8E3F" wp14:textId="77777777">
      <w:r>
        <w:t xml:space="preserve">Wagner, E.H. (1998) ‘Chronic disease management: what will it take to improve care for chronic illness?’, Effective Clinical Practice, 1(1), pp. 2–4. Available at: </w:t>
      </w:r>
      <w:hyperlink w:history="1" r:id="rId35">
        <w:r>
          <w:rPr>
            <w:rStyle w:val="Hyperlink"/>
          </w:rPr>
          <w:t>https://pubmed.ncbi.nlm.nih.gov/10345255/</w:t>
        </w:r>
      </w:hyperlink>
    </w:p>
    <w:p xmlns:wp14="http://schemas.microsoft.com/office/word/2010/wordml" w:rsidR="00CF73FD" w:rsidP="00A641B5" w:rsidRDefault="00CF73FD" w14:paraId="736954E6" wp14:textId="77777777">
      <w:r>
        <w:t xml:space="preserve">World Health Organization (WHO) (2024) Diabetes. Available at: </w:t>
      </w:r>
      <w:hyperlink w:history="1" r:id="rId36">
        <w:r>
          <w:rPr>
            <w:rStyle w:val="Hyperlink"/>
          </w:rPr>
          <w:t>https://www.who.int/news-room/fact-sheets/detail/diabetes</w:t>
        </w:r>
      </w:hyperlink>
      <w:r>
        <w:t xml:space="preserve"> (Accessed: 14 October 2026).</w:t>
      </w:r>
    </w:p>
    <w:bookmarkEnd w:id="32"/>
    <w:p xmlns:wp14="http://schemas.microsoft.com/office/word/2010/wordml" w:rsidR="00A67F64" w:rsidP="00CF73FD" w:rsidRDefault="00A67F64" w14:paraId="4B94D5A5" wp14:textId="77777777"/>
    <w:sectPr w:rsidR="00A67F6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DA4211"/>
    <w:multiLevelType w:val="hybridMultilevel"/>
    <w:tmpl w:val="B1CA2BF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7A1B3A54"/>
    <w:multiLevelType w:val="hybridMultilevel"/>
    <w:tmpl w:val="BF3271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EF0564"/>
    <w:multiLevelType w:val="hybridMultilevel"/>
    <w:tmpl w:val="4B9C20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3AE"/>
    <w:rsid w:val="000D39FD"/>
    <w:rsid w:val="0013615D"/>
    <w:rsid w:val="00146114"/>
    <w:rsid w:val="00212AEB"/>
    <w:rsid w:val="00311CB1"/>
    <w:rsid w:val="00371C3D"/>
    <w:rsid w:val="004D7338"/>
    <w:rsid w:val="007824C6"/>
    <w:rsid w:val="007B1CEF"/>
    <w:rsid w:val="008F4523"/>
    <w:rsid w:val="009E2EFD"/>
    <w:rsid w:val="00A57EF4"/>
    <w:rsid w:val="00A641B5"/>
    <w:rsid w:val="00A67F64"/>
    <w:rsid w:val="00A81150"/>
    <w:rsid w:val="00C93448"/>
    <w:rsid w:val="00CF73FD"/>
    <w:rsid w:val="00FE73AE"/>
    <w:rsid w:val="04C9ED6E"/>
    <w:rsid w:val="0AA4DBCA"/>
    <w:rsid w:val="0E471177"/>
    <w:rsid w:val="144A3289"/>
    <w:rsid w:val="244F9BC7"/>
    <w:rsid w:val="25F74B81"/>
    <w:rsid w:val="2DE96175"/>
    <w:rsid w:val="2DFD5586"/>
    <w:rsid w:val="3592F757"/>
    <w:rsid w:val="3ACF8A17"/>
    <w:rsid w:val="4229D4AA"/>
    <w:rsid w:val="47BAF920"/>
    <w:rsid w:val="496D86E8"/>
    <w:rsid w:val="4E70F8BF"/>
    <w:rsid w:val="5332B6D0"/>
    <w:rsid w:val="5393CDEB"/>
    <w:rsid w:val="5C51A764"/>
    <w:rsid w:val="645762FF"/>
    <w:rsid w:val="64E1F8ED"/>
    <w:rsid w:val="65B4C884"/>
    <w:rsid w:val="666D3A9D"/>
    <w:rsid w:val="702869B6"/>
    <w:rsid w:val="743D6AA7"/>
    <w:rsid w:val="7DEF91AE"/>
    <w:rsid w:val="7E200E96"/>
    <w:rsid w:val="7EFEA9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6057C"/>
  <w15:chartTrackingRefBased/>
  <w15:docId w15:val="{82684B68-B4D6-49E3-866C-F29339A8D6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FE73AE"/>
    <w:pPr>
      <w:spacing w:line="360" w:lineRule="auto"/>
      <w:jc w:val="both"/>
    </w:pPr>
    <w:rPr>
      <w:rFonts w:ascii="Times New Roman" w:hAnsi="Times New Roman"/>
      <w:sz w:val="24"/>
    </w:rPr>
  </w:style>
  <w:style w:type="paragraph" w:styleId="Heading1">
    <w:name w:val="heading 1"/>
    <w:basedOn w:val="Normal"/>
    <w:link w:val="Heading1Char"/>
    <w:uiPriority w:val="9"/>
    <w:qFormat/>
    <w:rsid w:val="00A81150"/>
    <w:pPr>
      <w:spacing w:before="100" w:beforeAutospacing="1" w:after="100" w:afterAutospacing="1"/>
      <w:outlineLvl w:val="0"/>
    </w:pPr>
    <w:rPr>
      <w:rFonts w:eastAsia="Times New Roman" w:cs="Times New Roman"/>
      <w:b/>
      <w:bCs/>
      <w:kern w:val="36"/>
      <w:sz w:val="32"/>
      <w:szCs w:val="48"/>
    </w:rPr>
  </w:style>
  <w:style w:type="paragraph" w:styleId="Heading2">
    <w:name w:val="heading 2"/>
    <w:basedOn w:val="Normal"/>
    <w:next w:val="Normal"/>
    <w:link w:val="Heading2Char"/>
    <w:uiPriority w:val="9"/>
    <w:unhideWhenUsed/>
    <w:qFormat/>
    <w:rsid w:val="00A81150"/>
    <w:pPr>
      <w:keepNext/>
      <w:keepLines/>
      <w:spacing w:before="40" w:after="0"/>
      <w:outlineLvl w:val="1"/>
    </w:pPr>
    <w:rPr>
      <w:rFonts w:eastAsiaTheme="majorEastAsia" w:cstheme="majorBidi"/>
      <w:b/>
      <w:i/>
      <w:color w:val="2F5496" w:themeColor="accent1" w:themeShade="BF"/>
      <w:szCs w:val="26"/>
    </w:rPr>
  </w:style>
  <w:style w:type="paragraph" w:styleId="Heading3">
    <w:name w:val="heading 3"/>
    <w:basedOn w:val="Normal"/>
    <w:link w:val="Heading3Char"/>
    <w:uiPriority w:val="9"/>
    <w:qFormat/>
    <w:rsid w:val="00A81150"/>
    <w:pPr>
      <w:spacing w:before="100" w:beforeAutospacing="1" w:after="100" w:afterAutospacing="1" w:line="240" w:lineRule="auto"/>
      <w:jc w:val="left"/>
      <w:outlineLvl w:val="2"/>
    </w:pPr>
    <w:rPr>
      <w:rFonts w:eastAsia="Times New Roman" w:cs="Times New Roman"/>
      <w:b/>
      <w:bCs/>
      <w:sz w:val="27"/>
      <w:szCs w:val="27"/>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1150"/>
    <w:rPr>
      <w:rFonts w:ascii="Times New Roman" w:hAnsi="Times New Roman" w:eastAsia="Times New Roman" w:cs="Times New Roman"/>
      <w:b/>
      <w:bCs/>
      <w:kern w:val="36"/>
      <w:sz w:val="32"/>
      <w:szCs w:val="48"/>
    </w:rPr>
  </w:style>
  <w:style w:type="character" w:styleId="Heading3Char" w:customStyle="1">
    <w:name w:val="Heading 3 Char"/>
    <w:basedOn w:val="DefaultParagraphFont"/>
    <w:link w:val="Heading3"/>
    <w:uiPriority w:val="9"/>
    <w:rsid w:val="00A81150"/>
    <w:rPr>
      <w:rFonts w:ascii="Times New Roman" w:hAnsi="Times New Roman" w:eastAsia="Times New Roman" w:cs="Times New Roman"/>
      <w:b/>
      <w:bCs/>
      <w:sz w:val="27"/>
      <w:szCs w:val="27"/>
    </w:rPr>
  </w:style>
  <w:style w:type="paragraph" w:styleId="NormalWeb">
    <w:name w:val="Normal (Web)"/>
    <w:basedOn w:val="Normal"/>
    <w:uiPriority w:val="99"/>
    <w:semiHidden/>
    <w:unhideWhenUsed/>
    <w:rsid w:val="00A81150"/>
    <w:pPr>
      <w:spacing w:before="100" w:beforeAutospacing="1" w:after="100" w:afterAutospacing="1" w:line="240" w:lineRule="auto"/>
      <w:jc w:val="left"/>
    </w:pPr>
    <w:rPr>
      <w:rFonts w:eastAsia="Times New Roman" w:cs="Times New Roman"/>
      <w:szCs w:val="24"/>
    </w:rPr>
  </w:style>
  <w:style w:type="character" w:styleId="Heading2Char" w:customStyle="1">
    <w:name w:val="Heading 2 Char"/>
    <w:basedOn w:val="DefaultParagraphFont"/>
    <w:link w:val="Heading2"/>
    <w:uiPriority w:val="9"/>
    <w:rsid w:val="00A81150"/>
    <w:rPr>
      <w:rFonts w:ascii="Times New Roman" w:hAnsi="Times New Roman" w:eastAsiaTheme="majorEastAsia" w:cstheme="majorBidi"/>
      <w:b/>
      <w:i/>
      <w:color w:val="2F5496" w:themeColor="accent1" w:themeShade="BF"/>
      <w:sz w:val="24"/>
      <w:szCs w:val="26"/>
    </w:rPr>
  </w:style>
  <w:style w:type="character" w:styleId="Hyperlink">
    <w:name w:val="Hyperlink"/>
    <w:basedOn w:val="DefaultParagraphFont"/>
    <w:uiPriority w:val="99"/>
    <w:unhideWhenUsed/>
    <w:rsid w:val="00CF73FD"/>
    <w:rPr>
      <w:color w:val="0000FF"/>
      <w:u w:val="single"/>
    </w:rPr>
  </w:style>
  <w:style w:type="paragraph" w:styleId="ListParagraph">
    <w:name w:val="List Paragraph"/>
    <w:basedOn w:val="Normal"/>
    <w:uiPriority w:val="34"/>
    <w:qFormat/>
    <w:rsid w:val="00CF73FD"/>
    <w:pPr>
      <w:ind w:left="720"/>
      <w:contextualSpacing/>
    </w:pPr>
  </w:style>
  <w:style w:type="table" w:styleId="TableGrid">
    <w:name w:val="Table Grid"/>
    <w:basedOn w:val="TableNormal"/>
    <w:uiPriority w:val="39"/>
    <w:rsid w:val="00371C3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13615D"/>
    <w:pPr>
      <w:keepNext/>
      <w:keepLines/>
      <w:spacing w:before="240" w:beforeAutospacing="0" w:after="0" w:afterAutospacing="0" w:line="259" w:lineRule="auto"/>
      <w:jc w:val="left"/>
      <w:outlineLvl w:val="9"/>
    </w:pPr>
    <w:rPr>
      <w:rFonts w:asciiTheme="majorHAnsi" w:hAnsiTheme="majorHAnsi" w:eastAsiaTheme="majorEastAsia" w:cstheme="majorBidi"/>
      <w:b w:val="0"/>
      <w:bCs w:val="0"/>
      <w:color w:val="2F5496" w:themeColor="accent1" w:themeShade="BF"/>
      <w:kern w:val="0"/>
      <w:szCs w:val="32"/>
    </w:rPr>
  </w:style>
  <w:style w:type="paragraph" w:styleId="TOC1">
    <w:name w:val="toc 1"/>
    <w:basedOn w:val="Normal"/>
    <w:next w:val="Normal"/>
    <w:autoRedefine/>
    <w:uiPriority w:val="39"/>
    <w:unhideWhenUsed/>
    <w:rsid w:val="0013615D"/>
    <w:pPr>
      <w:spacing w:after="100"/>
    </w:pPr>
  </w:style>
  <w:style w:type="paragraph" w:styleId="TOC2">
    <w:name w:val="toc 2"/>
    <w:basedOn w:val="Normal"/>
    <w:next w:val="Normal"/>
    <w:autoRedefine/>
    <w:uiPriority w:val="39"/>
    <w:unhideWhenUsed/>
    <w:rsid w:val="0013615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39211">
      <w:bodyDiv w:val="1"/>
      <w:marLeft w:val="0"/>
      <w:marRight w:val="0"/>
      <w:marTop w:val="0"/>
      <w:marBottom w:val="0"/>
      <w:divBdr>
        <w:top w:val="none" w:sz="0" w:space="0" w:color="auto"/>
        <w:left w:val="none" w:sz="0" w:space="0" w:color="auto"/>
        <w:bottom w:val="none" w:sz="0" w:space="0" w:color="auto"/>
        <w:right w:val="none" w:sz="0" w:space="0" w:color="auto"/>
      </w:divBdr>
      <w:divsChild>
        <w:div w:id="1098871683">
          <w:marLeft w:val="0"/>
          <w:marRight w:val="0"/>
          <w:marTop w:val="120"/>
          <w:marBottom w:val="120"/>
          <w:divBdr>
            <w:top w:val="none" w:sz="0" w:space="0" w:color="auto"/>
            <w:left w:val="none" w:sz="0" w:space="0" w:color="auto"/>
            <w:bottom w:val="none" w:sz="0" w:space="0" w:color="auto"/>
            <w:right w:val="none" w:sz="0" w:space="0" w:color="auto"/>
          </w:divBdr>
        </w:div>
      </w:divsChild>
    </w:div>
    <w:div w:id="138620219">
      <w:bodyDiv w:val="1"/>
      <w:marLeft w:val="0"/>
      <w:marRight w:val="0"/>
      <w:marTop w:val="0"/>
      <w:marBottom w:val="0"/>
      <w:divBdr>
        <w:top w:val="none" w:sz="0" w:space="0" w:color="auto"/>
        <w:left w:val="none" w:sz="0" w:space="0" w:color="auto"/>
        <w:bottom w:val="none" w:sz="0" w:space="0" w:color="auto"/>
        <w:right w:val="none" w:sz="0" w:space="0" w:color="auto"/>
      </w:divBdr>
      <w:divsChild>
        <w:div w:id="976960186">
          <w:marLeft w:val="0"/>
          <w:marRight w:val="0"/>
          <w:marTop w:val="0"/>
          <w:marBottom w:val="0"/>
          <w:divBdr>
            <w:top w:val="none" w:sz="0" w:space="0" w:color="auto"/>
            <w:left w:val="none" w:sz="0" w:space="0" w:color="auto"/>
            <w:bottom w:val="none" w:sz="0" w:space="0" w:color="auto"/>
            <w:right w:val="none" w:sz="0" w:space="0" w:color="auto"/>
          </w:divBdr>
          <w:divsChild>
            <w:div w:id="2079401124">
              <w:marLeft w:val="0"/>
              <w:marRight w:val="0"/>
              <w:marTop w:val="0"/>
              <w:marBottom w:val="0"/>
              <w:divBdr>
                <w:top w:val="none" w:sz="0" w:space="0" w:color="auto"/>
                <w:left w:val="none" w:sz="0" w:space="0" w:color="auto"/>
                <w:bottom w:val="none" w:sz="0" w:space="0" w:color="auto"/>
                <w:right w:val="none" w:sz="0" w:space="0" w:color="auto"/>
              </w:divBdr>
              <w:divsChild>
                <w:div w:id="493227492">
                  <w:marLeft w:val="0"/>
                  <w:marRight w:val="0"/>
                  <w:marTop w:val="0"/>
                  <w:marBottom w:val="0"/>
                  <w:divBdr>
                    <w:top w:val="none" w:sz="0" w:space="0" w:color="auto"/>
                    <w:left w:val="none" w:sz="0" w:space="0" w:color="auto"/>
                    <w:bottom w:val="none" w:sz="0" w:space="0" w:color="auto"/>
                    <w:right w:val="none" w:sz="0" w:space="0" w:color="auto"/>
                  </w:divBdr>
                </w:div>
              </w:divsChild>
            </w:div>
            <w:div w:id="1390375655">
              <w:marLeft w:val="0"/>
              <w:marRight w:val="0"/>
              <w:marTop w:val="0"/>
              <w:marBottom w:val="0"/>
              <w:divBdr>
                <w:top w:val="none" w:sz="0" w:space="0" w:color="auto"/>
                <w:left w:val="none" w:sz="0" w:space="0" w:color="auto"/>
                <w:bottom w:val="none" w:sz="0" w:space="0" w:color="auto"/>
                <w:right w:val="none" w:sz="0" w:space="0" w:color="auto"/>
              </w:divBdr>
              <w:divsChild>
                <w:div w:id="1159732477">
                  <w:marLeft w:val="0"/>
                  <w:marRight w:val="0"/>
                  <w:marTop w:val="0"/>
                  <w:marBottom w:val="0"/>
                  <w:divBdr>
                    <w:top w:val="none" w:sz="0" w:space="0" w:color="auto"/>
                    <w:left w:val="none" w:sz="0" w:space="0" w:color="auto"/>
                    <w:bottom w:val="none" w:sz="0" w:space="0" w:color="auto"/>
                    <w:right w:val="none" w:sz="0" w:space="0" w:color="auto"/>
                  </w:divBdr>
                </w:div>
                <w:div w:id="83633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883783">
          <w:marLeft w:val="0"/>
          <w:marRight w:val="0"/>
          <w:marTop w:val="0"/>
          <w:marBottom w:val="0"/>
          <w:divBdr>
            <w:top w:val="none" w:sz="0" w:space="0" w:color="auto"/>
            <w:left w:val="none" w:sz="0" w:space="0" w:color="auto"/>
            <w:bottom w:val="none" w:sz="0" w:space="0" w:color="auto"/>
            <w:right w:val="none" w:sz="0" w:space="0" w:color="auto"/>
          </w:divBdr>
          <w:divsChild>
            <w:div w:id="615529783">
              <w:marLeft w:val="0"/>
              <w:marRight w:val="0"/>
              <w:marTop w:val="0"/>
              <w:marBottom w:val="0"/>
              <w:divBdr>
                <w:top w:val="none" w:sz="0" w:space="0" w:color="auto"/>
                <w:left w:val="none" w:sz="0" w:space="0" w:color="auto"/>
                <w:bottom w:val="none" w:sz="0" w:space="0" w:color="auto"/>
                <w:right w:val="none" w:sz="0" w:space="0" w:color="auto"/>
              </w:divBdr>
              <w:divsChild>
                <w:div w:id="2034769846">
                  <w:marLeft w:val="0"/>
                  <w:marRight w:val="0"/>
                  <w:marTop w:val="0"/>
                  <w:marBottom w:val="0"/>
                  <w:divBdr>
                    <w:top w:val="none" w:sz="0" w:space="0" w:color="auto"/>
                    <w:left w:val="none" w:sz="0" w:space="0" w:color="auto"/>
                    <w:bottom w:val="none" w:sz="0" w:space="0" w:color="auto"/>
                    <w:right w:val="none" w:sz="0" w:space="0" w:color="auto"/>
                  </w:divBdr>
                </w:div>
              </w:divsChild>
            </w:div>
            <w:div w:id="1679232296">
              <w:marLeft w:val="0"/>
              <w:marRight w:val="0"/>
              <w:marTop w:val="0"/>
              <w:marBottom w:val="0"/>
              <w:divBdr>
                <w:top w:val="none" w:sz="0" w:space="0" w:color="auto"/>
                <w:left w:val="none" w:sz="0" w:space="0" w:color="auto"/>
                <w:bottom w:val="none" w:sz="0" w:space="0" w:color="auto"/>
                <w:right w:val="none" w:sz="0" w:space="0" w:color="auto"/>
              </w:divBdr>
              <w:divsChild>
                <w:div w:id="20050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677105">
          <w:marLeft w:val="0"/>
          <w:marRight w:val="0"/>
          <w:marTop w:val="0"/>
          <w:marBottom w:val="0"/>
          <w:divBdr>
            <w:top w:val="none" w:sz="0" w:space="0" w:color="auto"/>
            <w:left w:val="none" w:sz="0" w:space="0" w:color="auto"/>
            <w:bottom w:val="none" w:sz="0" w:space="0" w:color="auto"/>
            <w:right w:val="none" w:sz="0" w:space="0" w:color="auto"/>
          </w:divBdr>
          <w:divsChild>
            <w:div w:id="1137717815">
              <w:marLeft w:val="0"/>
              <w:marRight w:val="0"/>
              <w:marTop w:val="0"/>
              <w:marBottom w:val="0"/>
              <w:divBdr>
                <w:top w:val="none" w:sz="0" w:space="0" w:color="auto"/>
                <w:left w:val="none" w:sz="0" w:space="0" w:color="auto"/>
                <w:bottom w:val="none" w:sz="0" w:space="0" w:color="auto"/>
                <w:right w:val="none" w:sz="0" w:space="0" w:color="auto"/>
              </w:divBdr>
              <w:divsChild>
                <w:div w:id="1224872896">
                  <w:marLeft w:val="0"/>
                  <w:marRight w:val="0"/>
                  <w:marTop w:val="0"/>
                  <w:marBottom w:val="0"/>
                  <w:divBdr>
                    <w:top w:val="none" w:sz="0" w:space="0" w:color="auto"/>
                    <w:left w:val="none" w:sz="0" w:space="0" w:color="auto"/>
                    <w:bottom w:val="none" w:sz="0" w:space="0" w:color="auto"/>
                    <w:right w:val="none" w:sz="0" w:space="0" w:color="auto"/>
                  </w:divBdr>
                </w:div>
              </w:divsChild>
            </w:div>
            <w:div w:id="964887324">
              <w:marLeft w:val="0"/>
              <w:marRight w:val="0"/>
              <w:marTop w:val="0"/>
              <w:marBottom w:val="0"/>
              <w:divBdr>
                <w:top w:val="none" w:sz="0" w:space="0" w:color="auto"/>
                <w:left w:val="none" w:sz="0" w:space="0" w:color="auto"/>
                <w:bottom w:val="none" w:sz="0" w:space="0" w:color="auto"/>
                <w:right w:val="none" w:sz="0" w:space="0" w:color="auto"/>
              </w:divBdr>
              <w:divsChild>
                <w:div w:id="1910112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488333">
          <w:marLeft w:val="0"/>
          <w:marRight w:val="0"/>
          <w:marTop w:val="0"/>
          <w:marBottom w:val="0"/>
          <w:divBdr>
            <w:top w:val="none" w:sz="0" w:space="0" w:color="auto"/>
            <w:left w:val="none" w:sz="0" w:space="0" w:color="auto"/>
            <w:bottom w:val="none" w:sz="0" w:space="0" w:color="auto"/>
            <w:right w:val="none" w:sz="0" w:space="0" w:color="auto"/>
          </w:divBdr>
          <w:divsChild>
            <w:div w:id="411316254">
              <w:marLeft w:val="0"/>
              <w:marRight w:val="0"/>
              <w:marTop w:val="0"/>
              <w:marBottom w:val="0"/>
              <w:divBdr>
                <w:top w:val="none" w:sz="0" w:space="0" w:color="auto"/>
                <w:left w:val="none" w:sz="0" w:space="0" w:color="auto"/>
                <w:bottom w:val="none" w:sz="0" w:space="0" w:color="auto"/>
                <w:right w:val="none" w:sz="0" w:space="0" w:color="auto"/>
              </w:divBdr>
              <w:divsChild>
                <w:div w:id="285042559">
                  <w:marLeft w:val="0"/>
                  <w:marRight w:val="0"/>
                  <w:marTop w:val="0"/>
                  <w:marBottom w:val="0"/>
                  <w:divBdr>
                    <w:top w:val="none" w:sz="0" w:space="0" w:color="auto"/>
                    <w:left w:val="none" w:sz="0" w:space="0" w:color="auto"/>
                    <w:bottom w:val="none" w:sz="0" w:space="0" w:color="auto"/>
                    <w:right w:val="none" w:sz="0" w:space="0" w:color="auto"/>
                  </w:divBdr>
                </w:div>
              </w:divsChild>
            </w:div>
            <w:div w:id="2053260656">
              <w:marLeft w:val="0"/>
              <w:marRight w:val="0"/>
              <w:marTop w:val="0"/>
              <w:marBottom w:val="0"/>
              <w:divBdr>
                <w:top w:val="none" w:sz="0" w:space="0" w:color="auto"/>
                <w:left w:val="none" w:sz="0" w:space="0" w:color="auto"/>
                <w:bottom w:val="none" w:sz="0" w:space="0" w:color="auto"/>
                <w:right w:val="none" w:sz="0" w:space="0" w:color="auto"/>
              </w:divBdr>
              <w:divsChild>
                <w:div w:id="170994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227536">
          <w:marLeft w:val="0"/>
          <w:marRight w:val="0"/>
          <w:marTop w:val="0"/>
          <w:marBottom w:val="0"/>
          <w:divBdr>
            <w:top w:val="none" w:sz="0" w:space="0" w:color="auto"/>
            <w:left w:val="none" w:sz="0" w:space="0" w:color="auto"/>
            <w:bottom w:val="none" w:sz="0" w:space="0" w:color="auto"/>
            <w:right w:val="none" w:sz="0" w:space="0" w:color="auto"/>
          </w:divBdr>
          <w:divsChild>
            <w:div w:id="1293631574">
              <w:marLeft w:val="0"/>
              <w:marRight w:val="0"/>
              <w:marTop w:val="0"/>
              <w:marBottom w:val="0"/>
              <w:divBdr>
                <w:top w:val="none" w:sz="0" w:space="0" w:color="auto"/>
                <w:left w:val="none" w:sz="0" w:space="0" w:color="auto"/>
                <w:bottom w:val="none" w:sz="0" w:space="0" w:color="auto"/>
                <w:right w:val="none" w:sz="0" w:space="0" w:color="auto"/>
              </w:divBdr>
              <w:divsChild>
                <w:div w:id="779033040">
                  <w:marLeft w:val="0"/>
                  <w:marRight w:val="0"/>
                  <w:marTop w:val="0"/>
                  <w:marBottom w:val="0"/>
                  <w:divBdr>
                    <w:top w:val="none" w:sz="0" w:space="0" w:color="auto"/>
                    <w:left w:val="none" w:sz="0" w:space="0" w:color="auto"/>
                    <w:bottom w:val="none" w:sz="0" w:space="0" w:color="auto"/>
                    <w:right w:val="none" w:sz="0" w:space="0" w:color="auto"/>
                  </w:divBdr>
                </w:div>
              </w:divsChild>
            </w:div>
            <w:div w:id="46421604">
              <w:marLeft w:val="0"/>
              <w:marRight w:val="0"/>
              <w:marTop w:val="0"/>
              <w:marBottom w:val="0"/>
              <w:divBdr>
                <w:top w:val="none" w:sz="0" w:space="0" w:color="auto"/>
                <w:left w:val="none" w:sz="0" w:space="0" w:color="auto"/>
                <w:bottom w:val="none" w:sz="0" w:space="0" w:color="auto"/>
                <w:right w:val="none" w:sz="0" w:space="0" w:color="auto"/>
              </w:divBdr>
              <w:divsChild>
                <w:div w:id="104401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15765">
          <w:marLeft w:val="0"/>
          <w:marRight w:val="0"/>
          <w:marTop w:val="0"/>
          <w:marBottom w:val="0"/>
          <w:divBdr>
            <w:top w:val="none" w:sz="0" w:space="0" w:color="auto"/>
            <w:left w:val="none" w:sz="0" w:space="0" w:color="auto"/>
            <w:bottom w:val="none" w:sz="0" w:space="0" w:color="auto"/>
            <w:right w:val="none" w:sz="0" w:space="0" w:color="auto"/>
          </w:divBdr>
          <w:divsChild>
            <w:div w:id="1807814609">
              <w:marLeft w:val="0"/>
              <w:marRight w:val="0"/>
              <w:marTop w:val="0"/>
              <w:marBottom w:val="0"/>
              <w:divBdr>
                <w:top w:val="none" w:sz="0" w:space="0" w:color="auto"/>
                <w:left w:val="none" w:sz="0" w:space="0" w:color="auto"/>
                <w:bottom w:val="none" w:sz="0" w:space="0" w:color="auto"/>
                <w:right w:val="none" w:sz="0" w:space="0" w:color="auto"/>
              </w:divBdr>
              <w:divsChild>
                <w:div w:id="1254587954">
                  <w:marLeft w:val="0"/>
                  <w:marRight w:val="0"/>
                  <w:marTop w:val="0"/>
                  <w:marBottom w:val="0"/>
                  <w:divBdr>
                    <w:top w:val="none" w:sz="0" w:space="0" w:color="auto"/>
                    <w:left w:val="none" w:sz="0" w:space="0" w:color="auto"/>
                    <w:bottom w:val="none" w:sz="0" w:space="0" w:color="auto"/>
                    <w:right w:val="none" w:sz="0" w:space="0" w:color="auto"/>
                  </w:divBdr>
                </w:div>
              </w:divsChild>
            </w:div>
            <w:div w:id="407457928">
              <w:marLeft w:val="0"/>
              <w:marRight w:val="0"/>
              <w:marTop w:val="0"/>
              <w:marBottom w:val="0"/>
              <w:divBdr>
                <w:top w:val="none" w:sz="0" w:space="0" w:color="auto"/>
                <w:left w:val="none" w:sz="0" w:space="0" w:color="auto"/>
                <w:bottom w:val="none" w:sz="0" w:space="0" w:color="auto"/>
                <w:right w:val="none" w:sz="0" w:space="0" w:color="auto"/>
              </w:divBdr>
              <w:divsChild>
                <w:div w:id="163860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389866">
          <w:marLeft w:val="0"/>
          <w:marRight w:val="0"/>
          <w:marTop w:val="0"/>
          <w:marBottom w:val="0"/>
          <w:divBdr>
            <w:top w:val="none" w:sz="0" w:space="0" w:color="auto"/>
            <w:left w:val="none" w:sz="0" w:space="0" w:color="auto"/>
            <w:bottom w:val="none" w:sz="0" w:space="0" w:color="auto"/>
            <w:right w:val="none" w:sz="0" w:space="0" w:color="auto"/>
          </w:divBdr>
          <w:divsChild>
            <w:div w:id="1412389577">
              <w:marLeft w:val="0"/>
              <w:marRight w:val="0"/>
              <w:marTop w:val="0"/>
              <w:marBottom w:val="0"/>
              <w:divBdr>
                <w:top w:val="none" w:sz="0" w:space="0" w:color="auto"/>
                <w:left w:val="none" w:sz="0" w:space="0" w:color="auto"/>
                <w:bottom w:val="none" w:sz="0" w:space="0" w:color="auto"/>
                <w:right w:val="none" w:sz="0" w:space="0" w:color="auto"/>
              </w:divBdr>
              <w:divsChild>
                <w:div w:id="2115321676">
                  <w:marLeft w:val="0"/>
                  <w:marRight w:val="0"/>
                  <w:marTop w:val="0"/>
                  <w:marBottom w:val="0"/>
                  <w:divBdr>
                    <w:top w:val="none" w:sz="0" w:space="0" w:color="auto"/>
                    <w:left w:val="none" w:sz="0" w:space="0" w:color="auto"/>
                    <w:bottom w:val="none" w:sz="0" w:space="0" w:color="auto"/>
                    <w:right w:val="none" w:sz="0" w:space="0" w:color="auto"/>
                  </w:divBdr>
                </w:div>
              </w:divsChild>
            </w:div>
            <w:div w:id="1245336340">
              <w:marLeft w:val="0"/>
              <w:marRight w:val="0"/>
              <w:marTop w:val="0"/>
              <w:marBottom w:val="0"/>
              <w:divBdr>
                <w:top w:val="none" w:sz="0" w:space="0" w:color="auto"/>
                <w:left w:val="none" w:sz="0" w:space="0" w:color="auto"/>
                <w:bottom w:val="none" w:sz="0" w:space="0" w:color="auto"/>
                <w:right w:val="none" w:sz="0" w:space="0" w:color="auto"/>
              </w:divBdr>
              <w:divsChild>
                <w:div w:id="56520001">
                  <w:marLeft w:val="0"/>
                  <w:marRight w:val="0"/>
                  <w:marTop w:val="0"/>
                  <w:marBottom w:val="0"/>
                  <w:divBdr>
                    <w:top w:val="none" w:sz="0" w:space="0" w:color="auto"/>
                    <w:left w:val="none" w:sz="0" w:space="0" w:color="auto"/>
                    <w:bottom w:val="none" w:sz="0" w:space="0" w:color="auto"/>
                    <w:right w:val="none" w:sz="0" w:space="0" w:color="auto"/>
                  </w:divBdr>
                </w:div>
                <w:div w:id="213840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298215">
          <w:marLeft w:val="0"/>
          <w:marRight w:val="0"/>
          <w:marTop w:val="0"/>
          <w:marBottom w:val="0"/>
          <w:divBdr>
            <w:top w:val="none" w:sz="0" w:space="0" w:color="auto"/>
            <w:left w:val="none" w:sz="0" w:space="0" w:color="auto"/>
            <w:bottom w:val="none" w:sz="0" w:space="0" w:color="auto"/>
            <w:right w:val="none" w:sz="0" w:space="0" w:color="auto"/>
          </w:divBdr>
          <w:divsChild>
            <w:div w:id="179589046">
              <w:marLeft w:val="0"/>
              <w:marRight w:val="0"/>
              <w:marTop w:val="0"/>
              <w:marBottom w:val="0"/>
              <w:divBdr>
                <w:top w:val="none" w:sz="0" w:space="0" w:color="auto"/>
                <w:left w:val="none" w:sz="0" w:space="0" w:color="auto"/>
                <w:bottom w:val="none" w:sz="0" w:space="0" w:color="auto"/>
                <w:right w:val="none" w:sz="0" w:space="0" w:color="auto"/>
              </w:divBdr>
              <w:divsChild>
                <w:div w:id="906840042">
                  <w:marLeft w:val="0"/>
                  <w:marRight w:val="0"/>
                  <w:marTop w:val="0"/>
                  <w:marBottom w:val="0"/>
                  <w:divBdr>
                    <w:top w:val="none" w:sz="0" w:space="0" w:color="auto"/>
                    <w:left w:val="none" w:sz="0" w:space="0" w:color="auto"/>
                    <w:bottom w:val="none" w:sz="0" w:space="0" w:color="auto"/>
                    <w:right w:val="none" w:sz="0" w:space="0" w:color="auto"/>
                  </w:divBdr>
                </w:div>
              </w:divsChild>
            </w:div>
            <w:div w:id="643969869">
              <w:marLeft w:val="0"/>
              <w:marRight w:val="0"/>
              <w:marTop w:val="0"/>
              <w:marBottom w:val="0"/>
              <w:divBdr>
                <w:top w:val="none" w:sz="0" w:space="0" w:color="auto"/>
                <w:left w:val="none" w:sz="0" w:space="0" w:color="auto"/>
                <w:bottom w:val="none" w:sz="0" w:space="0" w:color="auto"/>
                <w:right w:val="none" w:sz="0" w:space="0" w:color="auto"/>
              </w:divBdr>
              <w:divsChild>
                <w:div w:id="38372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699453">
          <w:marLeft w:val="0"/>
          <w:marRight w:val="0"/>
          <w:marTop w:val="0"/>
          <w:marBottom w:val="0"/>
          <w:divBdr>
            <w:top w:val="none" w:sz="0" w:space="0" w:color="auto"/>
            <w:left w:val="none" w:sz="0" w:space="0" w:color="auto"/>
            <w:bottom w:val="none" w:sz="0" w:space="0" w:color="auto"/>
            <w:right w:val="none" w:sz="0" w:space="0" w:color="auto"/>
          </w:divBdr>
          <w:divsChild>
            <w:div w:id="575554828">
              <w:marLeft w:val="0"/>
              <w:marRight w:val="0"/>
              <w:marTop w:val="0"/>
              <w:marBottom w:val="0"/>
              <w:divBdr>
                <w:top w:val="none" w:sz="0" w:space="0" w:color="auto"/>
                <w:left w:val="none" w:sz="0" w:space="0" w:color="auto"/>
                <w:bottom w:val="none" w:sz="0" w:space="0" w:color="auto"/>
                <w:right w:val="none" w:sz="0" w:space="0" w:color="auto"/>
              </w:divBdr>
              <w:divsChild>
                <w:div w:id="1064376546">
                  <w:marLeft w:val="0"/>
                  <w:marRight w:val="0"/>
                  <w:marTop w:val="0"/>
                  <w:marBottom w:val="0"/>
                  <w:divBdr>
                    <w:top w:val="none" w:sz="0" w:space="0" w:color="auto"/>
                    <w:left w:val="none" w:sz="0" w:space="0" w:color="auto"/>
                    <w:bottom w:val="none" w:sz="0" w:space="0" w:color="auto"/>
                    <w:right w:val="none" w:sz="0" w:space="0" w:color="auto"/>
                  </w:divBdr>
                </w:div>
              </w:divsChild>
            </w:div>
            <w:div w:id="1346177379">
              <w:marLeft w:val="0"/>
              <w:marRight w:val="0"/>
              <w:marTop w:val="0"/>
              <w:marBottom w:val="0"/>
              <w:divBdr>
                <w:top w:val="none" w:sz="0" w:space="0" w:color="auto"/>
                <w:left w:val="none" w:sz="0" w:space="0" w:color="auto"/>
                <w:bottom w:val="none" w:sz="0" w:space="0" w:color="auto"/>
                <w:right w:val="none" w:sz="0" w:space="0" w:color="auto"/>
              </w:divBdr>
              <w:divsChild>
                <w:div w:id="190533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06056">
          <w:marLeft w:val="0"/>
          <w:marRight w:val="0"/>
          <w:marTop w:val="0"/>
          <w:marBottom w:val="0"/>
          <w:divBdr>
            <w:top w:val="none" w:sz="0" w:space="0" w:color="auto"/>
            <w:left w:val="none" w:sz="0" w:space="0" w:color="auto"/>
            <w:bottom w:val="none" w:sz="0" w:space="0" w:color="auto"/>
            <w:right w:val="none" w:sz="0" w:space="0" w:color="auto"/>
          </w:divBdr>
          <w:divsChild>
            <w:div w:id="1738239080">
              <w:marLeft w:val="0"/>
              <w:marRight w:val="0"/>
              <w:marTop w:val="0"/>
              <w:marBottom w:val="0"/>
              <w:divBdr>
                <w:top w:val="none" w:sz="0" w:space="0" w:color="auto"/>
                <w:left w:val="none" w:sz="0" w:space="0" w:color="auto"/>
                <w:bottom w:val="none" w:sz="0" w:space="0" w:color="auto"/>
                <w:right w:val="none" w:sz="0" w:space="0" w:color="auto"/>
              </w:divBdr>
              <w:divsChild>
                <w:div w:id="463617501">
                  <w:marLeft w:val="0"/>
                  <w:marRight w:val="0"/>
                  <w:marTop w:val="0"/>
                  <w:marBottom w:val="0"/>
                  <w:divBdr>
                    <w:top w:val="none" w:sz="0" w:space="0" w:color="auto"/>
                    <w:left w:val="none" w:sz="0" w:space="0" w:color="auto"/>
                    <w:bottom w:val="none" w:sz="0" w:space="0" w:color="auto"/>
                    <w:right w:val="none" w:sz="0" w:space="0" w:color="auto"/>
                  </w:divBdr>
                </w:div>
              </w:divsChild>
            </w:div>
            <w:div w:id="1705594894">
              <w:marLeft w:val="0"/>
              <w:marRight w:val="0"/>
              <w:marTop w:val="0"/>
              <w:marBottom w:val="0"/>
              <w:divBdr>
                <w:top w:val="none" w:sz="0" w:space="0" w:color="auto"/>
                <w:left w:val="none" w:sz="0" w:space="0" w:color="auto"/>
                <w:bottom w:val="none" w:sz="0" w:space="0" w:color="auto"/>
                <w:right w:val="none" w:sz="0" w:space="0" w:color="auto"/>
              </w:divBdr>
              <w:divsChild>
                <w:div w:id="183449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805890">
      <w:bodyDiv w:val="1"/>
      <w:marLeft w:val="0"/>
      <w:marRight w:val="0"/>
      <w:marTop w:val="0"/>
      <w:marBottom w:val="0"/>
      <w:divBdr>
        <w:top w:val="none" w:sz="0" w:space="0" w:color="auto"/>
        <w:left w:val="none" w:sz="0" w:space="0" w:color="auto"/>
        <w:bottom w:val="none" w:sz="0" w:space="0" w:color="auto"/>
        <w:right w:val="none" w:sz="0" w:space="0" w:color="auto"/>
      </w:divBdr>
      <w:divsChild>
        <w:div w:id="530650529">
          <w:marLeft w:val="0"/>
          <w:marRight w:val="0"/>
          <w:marTop w:val="0"/>
          <w:marBottom w:val="0"/>
          <w:divBdr>
            <w:top w:val="none" w:sz="0" w:space="0" w:color="auto"/>
            <w:left w:val="none" w:sz="0" w:space="0" w:color="auto"/>
            <w:bottom w:val="none" w:sz="0" w:space="0" w:color="auto"/>
            <w:right w:val="none" w:sz="0" w:space="0" w:color="auto"/>
          </w:divBdr>
          <w:divsChild>
            <w:div w:id="185825481">
              <w:marLeft w:val="0"/>
              <w:marRight w:val="0"/>
              <w:marTop w:val="0"/>
              <w:marBottom w:val="0"/>
              <w:divBdr>
                <w:top w:val="none" w:sz="0" w:space="0" w:color="auto"/>
                <w:left w:val="none" w:sz="0" w:space="0" w:color="auto"/>
                <w:bottom w:val="none" w:sz="0" w:space="0" w:color="auto"/>
                <w:right w:val="none" w:sz="0" w:space="0" w:color="auto"/>
              </w:divBdr>
              <w:divsChild>
                <w:div w:id="1175848107">
                  <w:marLeft w:val="0"/>
                  <w:marRight w:val="0"/>
                  <w:marTop w:val="0"/>
                  <w:marBottom w:val="0"/>
                  <w:divBdr>
                    <w:top w:val="none" w:sz="0" w:space="0" w:color="auto"/>
                    <w:left w:val="none" w:sz="0" w:space="0" w:color="auto"/>
                    <w:bottom w:val="none" w:sz="0" w:space="0" w:color="auto"/>
                    <w:right w:val="none" w:sz="0" w:space="0" w:color="auto"/>
                  </w:divBdr>
                </w:div>
              </w:divsChild>
            </w:div>
            <w:div w:id="1265266056">
              <w:marLeft w:val="0"/>
              <w:marRight w:val="0"/>
              <w:marTop w:val="0"/>
              <w:marBottom w:val="0"/>
              <w:divBdr>
                <w:top w:val="none" w:sz="0" w:space="0" w:color="auto"/>
                <w:left w:val="none" w:sz="0" w:space="0" w:color="auto"/>
                <w:bottom w:val="none" w:sz="0" w:space="0" w:color="auto"/>
                <w:right w:val="none" w:sz="0" w:space="0" w:color="auto"/>
              </w:divBdr>
              <w:divsChild>
                <w:div w:id="147221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58270">
          <w:marLeft w:val="0"/>
          <w:marRight w:val="0"/>
          <w:marTop w:val="0"/>
          <w:marBottom w:val="0"/>
          <w:divBdr>
            <w:top w:val="none" w:sz="0" w:space="0" w:color="auto"/>
            <w:left w:val="none" w:sz="0" w:space="0" w:color="auto"/>
            <w:bottom w:val="none" w:sz="0" w:space="0" w:color="auto"/>
            <w:right w:val="none" w:sz="0" w:space="0" w:color="auto"/>
          </w:divBdr>
          <w:divsChild>
            <w:div w:id="1127117577">
              <w:marLeft w:val="0"/>
              <w:marRight w:val="0"/>
              <w:marTop w:val="0"/>
              <w:marBottom w:val="0"/>
              <w:divBdr>
                <w:top w:val="none" w:sz="0" w:space="0" w:color="auto"/>
                <w:left w:val="none" w:sz="0" w:space="0" w:color="auto"/>
                <w:bottom w:val="none" w:sz="0" w:space="0" w:color="auto"/>
                <w:right w:val="none" w:sz="0" w:space="0" w:color="auto"/>
              </w:divBdr>
              <w:divsChild>
                <w:div w:id="1524977971">
                  <w:marLeft w:val="0"/>
                  <w:marRight w:val="0"/>
                  <w:marTop w:val="0"/>
                  <w:marBottom w:val="0"/>
                  <w:divBdr>
                    <w:top w:val="none" w:sz="0" w:space="0" w:color="auto"/>
                    <w:left w:val="none" w:sz="0" w:space="0" w:color="auto"/>
                    <w:bottom w:val="none" w:sz="0" w:space="0" w:color="auto"/>
                    <w:right w:val="none" w:sz="0" w:space="0" w:color="auto"/>
                  </w:divBdr>
                </w:div>
              </w:divsChild>
            </w:div>
            <w:div w:id="1369259184">
              <w:marLeft w:val="0"/>
              <w:marRight w:val="0"/>
              <w:marTop w:val="0"/>
              <w:marBottom w:val="0"/>
              <w:divBdr>
                <w:top w:val="none" w:sz="0" w:space="0" w:color="auto"/>
                <w:left w:val="none" w:sz="0" w:space="0" w:color="auto"/>
                <w:bottom w:val="none" w:sz="0" w:space="0" w:color="auto"/>
                <w:right w:val="none" w:sz="0" w:space="0" w:color="auto"/>
              </w:divBdr>
              <w:divsChild>
                <w:div w:id="106399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778757">
          <w:marLeft w:val="0"/>
          <w:marRight w:val="0"/>
          <w:marTop w:val="0"/>
          <w:marBottom w:val="0"/>
          <w:divBdr>
            <w:top w:val="none" w:sz="0" w:space="0" w:color="auto"/>
            <w:left w:val="none" w:sz="0" w:space="0" w:color="auto"/>
            <w:bottom w:val="none" w:sz="0" w:space="0" w:color="auto"/>
            <w:right w:val="none" w:sz="0" w:space="0" w:color="auto"/>
          </w:divBdr>
          <w:divsChild>
            <w:div w:id="334234776">
              <w:marLeft w:val="0"/>
              <w:marRight w:val="0"/>
              <w:marTop w:val="0"/>
              <w:marBottom w:val="0"/>
              <w:divBdr>
                <w:top w:val="none" w:sz="0" w:space="0" w:color="auto"/>
                <w:left w:val="none" w:sz="0" w:space="0" w:color="auto"/>
                <w:bottom w:val="none" w:sz="0" w:space="0" w:color="auto"/>
                <w:right w:val="none" w:sz="0" w:space="0" w:color="auto"/>
              </w:divBdr>
              <w:divsChild>
                <w:div w:id="844709366">
                  <w:marLeft w:val="0"/>
                  <w:marRight w:val="0"/>
                  <w:marTop w:val="0"/>
                  <w:marBottom w:val="0"/>
                  <w:divBdr>
                    <w:top w:val="none" w:sz="0" w:space="0" w:color="auto"/>
                    <w:left w:val="none" w:sz="0" w:space="0" w:color="auto"/>
                    <w:bottom w:val="none" w:sz="0" w:space="0" w:color="auto"/>
                    <w:right w:val="none" w:sz="0" w:space="0" w:color="auto"/>
                  </w:divBdr>
                </w:div>
              </w:divsChild>
            </w:div>
            <w:div w:id="1952123045">
              <w:marLeft w:val="0"/>
              <w:marRight w:val="0"/>
              <w:marTop w:val="0"/>
              <w:marBottom w:val="0"/>
              <w:divBdr>
                <w:top w:val="none" w:sz="0" w:space="0" w:color="auto"/>
                <w:left w:val="none" w:sz="0" w:space="0" w:color="auto"/>
                <w:bottom w:val="none" w:sz="0" w:space="0" w:color="auto"/>
                <w:right w:val="none" w:sz="0" w:space="0" w:color="auto"/>
              </w:divBdr>
              <w:divsChild>
                <w:div w:id="89751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157793">
          <w:marLeft w:val="0"/>
          <w:marRight w:val="0"/>
          <w:marTop w:val="0"/>
          <w:marBottom w:val="0"/>
          <w:divBdr>
            <w:top w:val="none" w:sz="0" w:space="0" w:color="auto"/>
            <w:left w:val="none" w:sz="0" w:space="0" w:color="auto"/>
            <w:bottom w:val="none" w:sz="0" w:space="0" w:color="auto"/>
            <w:right w:val="none" w:sz="0" w:space="0" w:color="auto"/>
          </w:divBdr>
          <w:divsChild>
            <w:div w:id="598485566">
              <w:marLeft w:val="0"/>
              <w:marRight w:val="0"/>
              <w:marTop w:val="0"/>
              <w:marBottom w:val="0"/>
              <w:divBdr>
                <w:top w:val="none" w:sz="0" w:space="0" w:color="auto"/>
                <w:left w:val="none" w:sz="0" w:space="0" w:color="auto"/>
                <w:bottom w:val="none" w:sz="0" w:space="0" w:color="auto"/>
                <w:right w:val="none" w:sz="0" w:space="0" w:color="auto"/>
              </w:divBdr>
              <w:divsChild>
                <w:div w:id="1180389579">
                  <w:marLeft w:val="0"/>
                  <w:marRight w:val="0"/>
                  <w:marTop w:val="0"/>
                  <w:marBottom w:val="0"/>
                  <w:divBdr>
                    <w:top w:val="none" w:sz="0" w:space="0" w:color="auto"/>
                    <w:left w:val="none" w:sz="0" w:space="0" w:color="auto"/>
                    <w:bottom w:val="none" w:sz="0" w:space="0" w:color="auto"/>
                    <w:right w:val="none" w:sz="0" w:space="0" w:color="auto"/>
                  </w:divBdr>
                </w:div>
              </w:divsChild>
            </w:div>
            <w:div w:id="2018576274">
              <w:marLeft w:val="0"/>
              <w:marRight w:val="0"/>
              <w:marTop w:val="0"/>
              <w:marBottom w:val="0"/>
              <w:divBdr>
                <w:top w:val="none" w:sz="0" w:space="0" w:color="auto"/>
                <w:left w:val="none" w:sz="0" w:space="0" w:color="auto"/>
                <w:bottom w:val="none" w:sz="0" w:space="0" w:color="auto"/>
                <w:right w:val="none" w:sz="0" w:space="0" w:color="auto"/>
              </w:divBdr>
              <w:divsChild>
                <w:div w:id="54206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32131">
          <w:marLeft w:val="0"/>
          <w:marRight w:val="0"/>
          <w:marTop w:val="0"/>
          <w:marBottom w:val="0"/>
          <w:divBdr>
            <w:top w:val="none" w:sz="0" w:space="0" w:color="auto"/>
            <w:left w:val="none" w:sz="0" w:space="0" w:color="auto"/>
            <w:bottom w:val="none" w:sz="0" w:space="0" w:color="auto"/>
            <w:right w:val="none" w:sz="0" w:space="0" w:color="auto"/>
          </w:divBdr>
          <w:divsChild>
            <w:div w:id="1308434313">
              <w:marLeft w:val="0"/>
              <w:marRight w:val="0"/>
              <w:marTop w:val="0"/>
              <w:marBottom w:val="0"/>
              <w:divBdr>
                <w:top w:val="none" w:sz="0" w:space="0" w:color="auto"/>
                <w:left w:val="none" w:sz="0" w:space="0" w:color="auto"/>
                <w:bottom w:val="none" w:sz="0" w:space="0" w:color="auto"/>
                <w:right w:val="none" w:sz="0" w:space="0" w:color="auto"/>
              </w:divBdr>
              <w:divsChild>
                <w:div w:id="899708411">
                  <w:marLeft w:val="0"/>
                  <w:marRight w:val="0"/>
                  <w:marTop w:val="0"/>
                  <w:marBottom w:val="0"/>
                  <w:divBdr>
                    <w:top w:val="none" w:sz="0" w:space="0" w:color="auto"/>
                    <w:left w:val="none" w:sz="0" w:space="0" w:color="auto"/>
                    <w:bottom w:val="none" w:sz="0" w:space="0" w:color="auto"/>
                    <w:right w:val="none" w:sz="0" w:space="0" w:color="auto"/>
                  </w:divBdr>
                </w:div>
              </w:divsChild>
            </w:div>
            <w:div w:id="268708518">
              <w:marLeft w:val="0"/>
              <w:marRight w:val="0"/>
              <w:marTop w:val="0"/>
              <w:marBottom w:val="0"/>
              <w:divBdr>
                <w:top w:val="none" w:sz="0" w:space="0" w:color="auto"/>
                <w:left w:val="none" w:sz="0" w:space="0" w:color="auto"/>
                <w:bottom w:val="none" w:sz="0" w:space="0" w:color="auto"/>
                <w:right w:val="none" w:sz="0" w:space="0" w:color="auto"/>
              </w:divBdr>
              <w:divsChild>
                <w:div w:id="155650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528293">
          <w:marLeft w:val="0"/>
          <w:marRight w:val="0"/>
          <w:marTop w:val="0"/>
          <w:marBottom w:val="0"/>
          <w:divBdr>
            <w:top w:val="none" w:sz="0" w:space="0" w:color="auto"/>
            <w:left w:val="none" w:sz="0" w:space="0" w:color="auto"/>
            <w:bottom w:val="none" w:sz="0" w:space="0" w:color="auto"/>
            <w:right w:val="none" w:sz="0" w:space="0" w:color="auto"/>
          </w:divBdr>
          <w:divsChild>
            <w:div w:id="1387727191">
              <w:marLeft w:val="0"/>
              <w:marRight w:val="0"/>
              <w:marTop w:val="0"/>
              <w:marBottom w:val="0"/>
              <w:divBdr>
                <w:top w:val="none" w:sz="0" w:space="0" w:color="auto"/>
                <w:left w:val="none" w:sz="0" w:space="0" w:color="auto"/>
                <w:bottom w:val="none" w:sz="0" w:space="0" w:color="auto"/>
                <w:right w:val="none" w:sz="0" w:space="0" w:color="auto"/>
              </w:divBdr>
              <w:divsChild>
                <w:div w:id="523711217">
                  <w:marLeft w:val="0"/>
                  <w:marRight w:val="0"/>
                  <w:marTop w:val="0"/>
                  <w:marBottom w:val="0"/>
                  <w:divBdr>
                    <w:top w:val="none" w:sz="0" w:space="0" w:color="auto"/>
                    <w:left w:val="none" w:sz="0" w:space="0" w:color="auto"/>
                    <w:bottom w:val="none" w:sz="0" w:space="0" w:color="auto"/>
                    <w:right w:val="none" w:sz="0" w:space="0" w:color="auto"/>
                  </w:divBdr>
                </w:div>
              </w:divsChild>
            </w:div>
            <w:div w:id="1358265824">
              <w:marLeft w:val="0"/>
              <w:marRight w:val="0"/>
              <w:marTop w:val="0"/>
              <w:marBottom w:val="0"/>
              <w:divBdr>
                <w:top w:val="none" w:sz="0" w:space="0" w:color="auto"/>
                <w:left w:val="none" w:sz="0" w:space="0" w:color="auto"/>
                <w:bottom w:val="none" w:sz="0" w:space="0" w:color="auto"/>
                <w:right w:val="none" w:sz="0" w:space="0" w:color="auto"/>
              </w:divBdr>
              <w:divsChild>
                <w:div w:id="175643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380073">
          <w:marLeft w:val="0"/>
          <w:marRight w:val="0"/>
          <w:marTop w:val="0"/>
          <w:marBottom w:val="0"/>
          <w:divBdr>
            <w:top w:val="none" w:sz="0" w:space="0" w:color="auto"/>
            <w:left w:val="none" w:sz="0" w:space="0" w:color="auto"/>
            <w:bottom w:val="none" w:sz="0" w:space="0" w:color="auto"/>
            <w:right w:val="none" w:sz="0" w:space="0" w:color="auto"/>
          </w:divBdr>
          <w:divsChild>
            <w:div w:id="1106582859">
              <w:marLeft w:val="0"/>
              <w:marRight w:val="0"/>
              <w:marTop w:val="0"/>
              <w:marBottom w:val="0"/>
              <w:divBdr>
                <w:top w:val="none" w:sz="0" w:space="0" w:color="auto"/>
                <w:left w:val="none" w:sz="0" w:space="0" w:color="auto"/>
                <w:bottom w:val="none" w:sz="0" w:space="0" w:color="auto"/>
                <w:right w:val="none" w:sz="0" w:space="0" w:color="auto"/>
              </w:divBdr>
              <w:divsChild>
                <w:div w:id="712073595">
                  <w:marLeft w:val="0"/>
                  <w:marRight w:val="0"/>
                  <w:marTop w:val="0"/>
                  <w:marBottom w:val="0"/>
                  <w:divBdr>
                    <w:top w:val="none" w:sz="0" w:space="0" w:color="auto"/>
                    <w:left w:val="none" w:sz="0" w:space="0" w:color="auto"/>
                    <w:bottom w:val="none" w:sz="0" w:space="0" w:color="auto"/>
                    <w:right w:val="none" w:sz="0" w:space="0" w:color="auto"/>
                  </w:divBdr>
                </w:div>
              </w:divsChild>
            </w:div>
            <w:div w:id="1549419239">
              <w:marLeft w:val="0"/>
              <w:marRight w:val="0"/>
              <w:marTop w:val="0"/>
              <w:marBottom w:val="0"/>
              <w:divBdr>
                <w:top w:val="none" w:sz="0" w:space="0" w:color="auto"/>
                <w:left w:val="none" w:sz="0" w:space="0" w:color="auto"/>
                <w:bottom w:val="none" w:sz="0" w:space="0" w:color="auto"/>
                <w:right w:val="none" w:sz="0" w:space="0" w:color="auto"/>
              </w:divBdr>
              <w:divsChild>
                <w:div w:id="150354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20665">
          <w:marLeft w:val="0"/>
          <w:marRight w:val="0"/>
          <w:marTop w:val="0"/>
          <w:marBottom w:val="0"/>
          <w:divBdr>
            <w:top w:val="none" w:sz="0" w:space="0" w:color="auto"/>
            <w:left w:val="none" w:sz="0" w:space="0" w:color="auto"/>
            <w:bottom w:val="none" w:sz="0" w:space="0" w:color="auto"/>
            <w:right w:val="none" w:sz="0" w:space="0" w:color="auto"/>
          </w:divBdr>
          <w:divsChild>
            <w:div w:id="877622948">
              <w:marLeft w:val="0"/>
              <w:marRight w:val="0"/>
              <w:marTop w:val="0"/>
              <w:marBottom w:val="0"/>
              <w:divBdr>
                <w:top w:val="none" w:sz="0" w:space="0" w:color="auto"/>
                <w:left w:val="none" w:sz="0" w:space="0" w:color="auto"/>
                <w:bottom w:val="none" w:sz="0" w:space="0" w:color="auto"/>
                <w:right w:val="none" w:sz="0" w:space="0" w:color="auto"/>
              </w:divBdr>
              <w:divsChild>
                <w:div w:id="1761102427">
                  <w:marLeft w:val="0"/>
                  <w:marRight w:val="0"/>
                  <w:marTop w:val="0"/>
                  <w:marBottom w:val="0"/>
                  <w:divBdr>
                    <w:top w:val="none" w:sz="0" w:space="0" w:color="auto"/>
                    <w:left w:val="none" w:sz="0" w:space="0" w:color="auto"/>
                    <w:bottom w:val="none" w:sz="0" w:space="0" w:color="auto"/>
                    <w:right w:val="none" w:sz="0" w:space="0" w:color="auto"/>
                  </w:divBdr>
                </w:div>
              </w:divsChild>
            </w:div>
            <w:div w:id="152450973">
              <w:marLeft w:val="0"/>
              <w:marRight w:val="0"/>
              <w:marTop w:val="0"/>
              <w:marBottom w:val="0"/>
              <w:divBdr>
                <w:top w:val="none" w:sz="0" w:space="0" w:color="auto"/>
                <w:left w:val="none" w:sz="0" w:space="0" w:color="auto"/>
                <w:bottom w:val="none" w:sz="0" w:space="0" w:color="auto"/>
                <w:right w:val="none" w:sz="0" w:space="0" w:color="auto"/>
              </w:divBdr>
              <w:divsChild>
                <w:div w:id="29957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499307">
          <w:marLeft w:val="0"/>
          <w:marRight w:val="0"/>
          <w:marTop w:val="0"/>
          <w:marBottom w:val="0"/>
          <w:divBdr>
            <w:top w:val="none" w:sz="0" w:space="0" w:color="auto"/>
            <w:left w:val="none" w:sz="0" w:space="0" w:color="auto"/>
            <w:bottom w:val="none" w:sz="0" w:space="0" w:color="auto"/>
            <w:right w:val="none" w:sz="0" w:space="0" w:color="auto"/>
          </w:divBdr>
          <w:divsChild>
            <w:div w:id="185948354">
              <w:marLeft w:val="0"/>
              <w:marRight w:val="0"/>
              <w:marTop w:val="0"/>
              <w:marBottom w:val="0"/>
              <w:divBdr>
                <w:top w:val="none" w:sz="0" w:space="0" w:color="auto"/>
                <w:left w:val="none" w:sz="0" w:space="0" w:color="auto"/>
                <w:bottom w:val="none" w:sz="0" w:space="0" w:color="auto"/>
                <w:right w:val="none" w:sz="0" w:space="0" w:color="auto"/>
              </w:divBdr>
              <w:divsChild>
                <w:div w:id="1434201492">
                  <w:marLeft w:val="0"/>
                  <w:marRight w:val="0"/>
                  <w:marTop w:val="0"/>
                  <w:marBottom w:val="0"/>
                  <w:divBdr>
                    <w:top w:val="none" w:sz="0" w:space="0" w:color="auto"/>
                    <w:left w:val="none" w:sz="0" w:space="0" w:color="auto"/>
                    <w:bottom w:val="none" w:sz="0" w:space="0" w:color="auto"/>
                    <w:right w:val="none" w:sz="0" w:space="0" w:color="auto"/>
                  </w:divBdr>
                </w:div>
              </w:divsChild>
            </w:div>
            <w:div w:id="1162354232">
              <w:marLeft w:val="0"/>
              <w:marRight w:val="0"/>
              <w:marTop w:val="0"/>
              <w:marBottom w:val="0"/>
              <w:divBdr>
                <w:top w:val="none" w:sz="0" w:space="0" w:color="auto"/>
                <w:left w:val="none" w:sz="0" w:space="0" w:color="auto"/>
                <w:bottom w:val="none" w:sz="0" w:space="0" w:color="auto"/>
                <w:right w:val="none" w:sz="0" w:space="0" w:color="auto"/>
              </w:divBdr>
              <w:divsChild>
                <w:div w:id="104937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852442">
          <w:marLeft w:val="0"/>
          <w:marRight w:val="0"/>
          <w:marTop w:val="0"/>
          <w:marBottom w:val="0"/>
          <w:divBdr>
            <w:top w:val="none" w:sz="0" w:space="0" w:color="auto"/>
            <w:left w:val="none" w:sz="0" w:space="0" w:color="auto"/>
            <w:bottom w:val="none" w:sz="0" w:space="0" w:color="auto"/>
            <w:right w:val="none" w:sz="0" w:space="0" w:color="auto"/>
          </w:divBdr>
          <w:divsChild>
            <w:div w:id="908616277">
              <w:marLeft w:val="0"/>
              <w:marRight w:val="0"/>
              <w:marTop w:val="0"/>
              <w:marBottom w:val="0"/>
              <w:divBdr>
                <w:top w:val="none" w:sz="0" w:space="0" w:color="auto"/>
                <w:left w:val="none" w:sz="0" w:space="0" w:color="auto"/>
                <w:bottom w:val="none" w:sz="0" w:space="0" w:color="auto"/>
                <w:right w:val="none" w:sz="0" w:space="0" w:color="auto"/>
              </w:divBdr>
              <w:divsChild>
                <w:div w:id="486945336">
                  <w:marLeft w:val="0"/>
                  <w:marRight w:val="0"/>
                  <w:marTop w:val="0"/>
                  <w:marBottom w:val="0"/>
                  <w:divBdr>
                    <w:top w:val="none" w:sz="0" w:space="0" w:color="auto"/>
                    <w:left w:val="none" w:sz="0" w:space="0" w:color="auto"/>
                    <w:bottom w:val="none" w:sz="0" w:space="0" w:color="auto"/>
                    <w:right w:val="none" w:sz="0" w:space="0" w:color="auto"/>
                  </w:divBdr>
                </w:div>
              </w:divsChild>
            </w:div>
            <w:div w:id="303244106">
              <w:marLeft w:val="0"/>
              <w:marRight w:val="0"/>
              <w:marTop w:val="0"/>
              <w:marBottom w:val="0"/>
              <w:divBdr>
                <w:top w:val="none" w:sz="0" w:space="0" w:color="auto"/>
                <w:left w:val="none" w:sz="0" w:space="0" w:color="auto"/>
                <w:bottom w:val="none" w:sz="0" w:space="0" w:color="auto"/>
                <w:right w:val="none" w:sz="0" w:space="0" w:color="auto"/>
              </w:divBdr>
              <w:divsChild>
                <w:div w:id="198399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523908">
      <w:bodyDiv w:val="1"/>
      <w:marLeft w:val="0"/>
      <w:marRight w:val="0"/>
      <w:marTop w:val="0"/>
      <w:marBottom w:val="0"/>
      <w:divBdr>
        <w:top w:val="none" w:sz="0" w:space="0" w:color="auto"/>
        <w:left w:val="none" w:sz="0" w:space="0" w:color="auto"/>
        <w:bottom w:val="none" w:sz="0" w:space="0" w:color="auto"/>
        <w:right w:val="none" w:sz="0" w:space="0" w:color="auto"/>
      </w:divBdr>
      <w:divsChild>
        <w:div w:id="789513674">
          <w:marLeft w:val="0"/>
          <w:marRight w:val="0"/>
          <w:marTop w:val="120"/>
          <w:marBottom w:val="120"/>
          <w:divBdr>
            <w:top w:val="none" w:sz="0" w:space="0" w:color="auto"/>
            <w:left w:val="none" w:sz="0" w:space="0" w:color="auto"/>
            <w:bottom w:val="none" w:sz="0" w:space="0" w:color="auto"/>
            <w:right w:val="none" w:sz="0" w:space="0" w:color="auto"/>
          </w:divBdr>
        </w:div>
        <w:div w:id="404106747">
          <w:marLeft w:val="0"/>
          <w:marRight w:val="0"/>
          <w:marTop w:val="120"/>
          <w:marBottom w:val="120"/>
          <w:divBdr>
            <w:top w:val="none" w:sz="0" w:space="0" w:color="auto"/>
            <w:left w:val="none" w:sz="0" w:space="0" w:color="auto"/>
            <w:bottom w:val="none" w:sz="0" w:space="0" w:color="auto"/>
            <w:right w:val="none" w:sz="0" w:space="0" w:color="auto"/>
          </w:divBdr>
        </w:div>
      </w:divsChild>
    </w:div>
    <w:div w:id="292946761">
      <w:bodyDiv w:val="1"/>
      <w:marLeft w:val="0"/>
      <w:marRight w:val="0"/>
      <w:marTop w:val="0"/>
      <w:marBottom w:val="0"/>
      <w:divBdr>
        <w:top w:val="none" w:sz="0" w:space="0" w:color="auto"/>
        <w:left w:val="none" w:sz="0" w:space="0" w:color="auto"/>
        <w:bottom w:val="none" w:sz="0" w:space="0" w:color="auto"/>
        <w:right w:val="none" w:sz="0" w:space="0" w:color="auto"/>
      </w:divBdr>
    </w:div>
    <w:div w:id="322438631">
      <w:bodyDiv w:val="1"/>
      <w:marLeft w:val="0"/>
      <w:marRight w:val="0"/>
      <w:marTop w:val="0"/>
      <w:marBottom w:val="0"/>
      <w:divBdr>
        <w:top w:val="none" w:sz="0" w:space="0" w:color="auto"/>
        <w:left w:val="none" w:sz="0" w:space="0" w:color="auto"/>
        <w:bottom w:val="none" w:sz="0" w:space="0" w:color="auto"/>
        <w:right w:val="none" w:sz="0" w:space="0" w:color="auto"/>
      </w:divBdr>
      <w:divsChild>
        <w:div w:id="371347498">
          <w:marLeft w:val="0"/>
          <w:marRight w:val="0"/>
          <w:marTop w:val="120"/>
          <w:marBottom w:val="120"/>
          <w:divBdr>
            <w:top w:val="none" w:sz="0" w:space="0" w:color="auto"/>
            <w:left w:val="none" w:sz="0" w:space="0" w:color="auto"/>
            <w:bottom w:val="none" w:sz="0" w:space="0" w:color="auto"/>
            <w:right w:val="none" w:sz="0" w:space="0" w:color="auto"/>
          </w:divBdr>
        </w:div>
        <w:div w:id="1758331008">
          <w:marLeft w:val="0"/>
          <w:marRight w:val="0"/>
          <w:marTop w:val="120"/>
          <w:marBottom w:val="120"/>
          <w:divBdr>
            <w:top w:val="none" w:sz="0" w:space="0" w:color="auto"/>
            <w:left w:val="none" w:sz="0" w:space="0" w:color="auto"/>
            <w:bottom w:val="none" w:sz="0" w:space="0" w:color="auto"/>
            <w:right w:val="none" w:sz="0" w:space="0" w:color="auto"/>
          </w:divBdr>
        </w:div>
        <w:div w:id="790980455">
          <w:marLeft w:val="0"/>
          <w:marRight w:val="0"/>
          <w:marTop w:val="120"/>
          <w:marBottom w:val="120"/>
          <w:divBdr>
            <w:top w:val="none" w:sz="0" w:space="0" w:color="auto"/>
            <w:left w:val="none" w:sz="0" w:space="0" w:color="auto"/>
            <w:bottom w:val="none" w:sz="0" w:space="0" w:color="auto"/>
            <w:right w:val="none" w:sz="0" w:space="0" w:color="auto"/>
          </w:divBdr>
        </w:div>
      </w:divsChild>
    </w:div>
    <w:div w:id="341250867">
      <w:bodyDiv w:val="1"/>
      <w:marLeft w:val="0"/>
      <w:marRight w:val="0"/>
      <w:marTop w:val="0"/>
      <w:marBottom w:val="0"/>
      <w:divBdr>
        <w:top w:val="none" w:sz="0" w:space="0" w:color="auto"/>
        <w:left w:val="none" w:sz="0" w:space="0" w:color="auto"/>
        <w:bottom w:val="none" w:sz="0" w:space="0" w:color="auto"/>
        <w:right w:val="none" w:sz="0" w:space="0" w:color="auto"/>
      </w:divBdr>
      <w:divsChild>
        <w:div w:id="974873219">
          <w:marLeft w:val="0"/>
          <w:marRight w:val="0"/>
          <w:marTop w:val="120"/>
          <w:marBottom w:val="120"/>
          <w:divBdr>
            <w:top w:val="none" w:sz="0" w:space="0" w:color="auto"/>
            <w:left w:val="none" w:sz="0" w:space="0" w:color="auto"/>
            <w:bottom w:val="none" w:sz="0" w:space="0" w:color="auto"/>
            <w:right w:val="none" w:sz="0" w:space="0" w:color="auto"/>
          </w:divBdr>
        </w:div>
        <w:div w:id="1734042992">
          <w:marLeft w:val="0"/>
          <w:marRight w:val="0"/>
          <w:marTop w:val="120"/>
          <w:marBottom w:val="120"/>
          <w:divBdr>
            <w:top w:val="none" w:sz="0" w:space="0" w:color="auto"/>
            <w:left w:val="none" w:sz="0" w:space="0" w:color="auto"/>
            <w:bottom w:val="none" w:sz="0" w:space="0" w:color="auto"/>
            <w:right w:val="none" w:sz="0" w:space="0" w:color="auto"/>
          </w:divBdr>
        </w:div>
      </w:divsChild>
    </w:div>
    <w:div w:id="360742667">
      <w:bodyDiv w:val="1"/>
      <w:marLeft w:val="0"/>
      <w:marRight w:val="0"/>
      <w:marTop w:val="0"/>
      <w:marBottom w:val="0"/>
      <w:divBdr>
        <w:top w:val="none" w:sz="0" w:space="0" w:color="auto"/>
        <w:left w:val="none" w:sz="0" w:space="0" w:color="auto"/>
        <w:bottom w:val="none" w:sz="0" w:space="0" w:color="auto"/>
        <w:right w:val="none" w:sz="0" w:space="0" w:color="auto"/>
      </w:divBdr>
      <w:divsChild>
        <w:div w:id="1399862827">
          <w:marLeft w:val="0"/>
          <w:marRight w:val="0"/>
          <w:marTop w:val="120"/>
          <w:marBottom w:val="120"/>
          <w:divBdr>
            <w:top w:val="none" w:sz="0" w:space="0" w:color="auto"/>
            <w:left w:val="none" w:sz="0" w:space="0" w:color="auto"/>
            <w:bottom w:val="none" w:sz="0" w:space="0" w:color="auto"/>
            <w:right w:val="none" w:sz="0" w:space="0" w:color="auto"/>
          </w:divBdr>
        </w:div>
        <w:div w:id="908803347">
          <w:marLeft w:val="0"/>
          <w:marRight w:val="0"/>
          <w:marTop w:val="120"/>
          <w:marBottom w:val="120"/>
          <w:divBdr>
            <w:top w:val="none" w:sz="0" w:space="0" w:color="auto"/>
            <w:left w:val="none" w:sz="0" w:space="0" w:color="auto"/>
            <w:bottom w:val="none" w:sz="0" w:space="0" w:color="auto"/>
            <w:right w:val="none" w:sz="0" w:space="0" w:color="auto"/>
          </w:divBdr>
        </w:div>
      </w:divsChild>
    </w:div>
    <w:div w:id="712268607">
      <w:bodyDiv w:val="1"/>
      <w:marLeft w:val="0"/>
      <w:marRight w:val="0"/>
      <w:marTop w:val="0"/>
      <w:marBottom w:val="0"/>
      <w:divBdr>
        <w:top w:val="none" w:sz="0" w:space="0" w:color="auto"/>
        <w:left w:val="none" w:sz="0" w:space="0" w:color="auto"/>
        <w:bottom w:val="none" w:sz="0" w:space="0" w:color="auto"/>
        <w:right w:val="none" w:sz="0" w:space="0" w:color="auto"/>
      </w:divBdr>
      <w:divsChild>
        <w:div w:id="1102919320">
          <w:marLeft w:val="0"/>
          <w:marRight w:val="0"/>
          <w:marTop w:val="0"/>
          <w:marBottom w:val="0"/>
          <w:divBdr>
            <w:top w:val="none" w:sz="0" w:space="0" w:color="auto"/>
            <w:left w:val="none" w:sz="0" w:space="0" w:color="auto"/>
            <w:bottom w:val="none" w:sz="0" w:space="0" w:color="auto"/>
            <w:right w:val="none" w:sz="0" w:space="0" w:color="auto"/>
          </w:divBdr>
          <w:divsChild>
            <w:div w:id="1661732786">
              <w:marLeft w:val="0"/>
              <w:marRight w:val="0"/>
              <w:marTop w:val="0"/>
              <w:marBottom w:val="0"/>
              <w:divBdr>
                <w:top w:val="none" w:sz="0" w:space="0" w:color="auto"/>
                <w:left w:val="none" w:sz="0" w:space="0" w:color="auto"/>
                <w:bottom w:val="none" w:sz="0" w:space="0" w:color="auto"/>
                <w:right w:val="none" w:sz="0" w:space="0" w:color="auto"/>
              </w:divBdr>
              <w:divsChild>
                <w:div w:id="615602975">
                  <w:marLeft w:val="0"/>
                  <w:marRight w:val="0"/>
                  <w:marTop w:val="0"/>
                  <w:marBottom w:val="0"/>
                  <w:divBdr>
                    <w:top w:val="none" w:sz="0" w:space="0" w:color="auto"/>
                    <w:left w:val="none" w:sz="0" w:space="0" w:color="auto"/>
                    <w:bottom w:val="none" w:sz="0" w:space="0" w:color="auto"/>
                    <w:right w:val="none" w:sz="0" w:space="0" w:color="auto"/>
                  </w:divBdr>
                </w:div>
              </w:divsChild>
            </w:div>
            <w:div w:id="991640208">
              <w:marLeft w:val="0"/>
              <w:marRight w:val="0"/>
              <w:marTop w:val="0"/>
              <w:marBottom w:val="0"/>
              <w:divBdr>
                <w:top w:val="none" w:sz="0" w:space="0" w:color="auto"/>
                <w:left w:val="none" w:sz="0" w:space="0" w:color="auto"/>
                <w:bottom w:val="none" w:sz="0" w:space="0" w:color="auto"/>
                <w:right w:val="none" w:sz="0" w:space="0" w:color="auto"/>
              </w:divBdr>
              <w:divsChild>
                <w:div w:id="1163814258">
                  <w:marLeft w:val="0"/>
                  <w:marRight w:val="0"/>
                  <w:marTop w:val="0"/>
                  <w:marBottom w:val="0"/>
                  <w:divBdr>
                    <w:top w:val="none" w:sz="0" w:space="0" w:color="auto"/>
                    <w:left w:val="none" w:sz="0" w:space="0" w:color="auto"/>
                    <w:bottom w:val="none" w:sz="0" w:space="0" w:color="auto"/>
                    <w:right w:val="none" w:sz="0" w:space="0" w:color="auto"/>
                  </w:divBdr>
                </w:div>
                <w:div w:id="171758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567066">
          <w:marLeft w:val="0"/>
          <w:marRight w:val="0"/>
          <w:marTop w:val="0"/>
          <w:marBottom w:val="0"/>
          <w:divBdr>
            <w:top w:val="none" w:sz="0" w:space="0" w:color="auto"/>
            <w:left w:val="none" w:sz="0" w:space="0" w:color="auto"/>
            <w:bottom w:val="none" w:sz="0" w:space="0" w:color="auto"/>
            <w:right w:val="none" w:sz="0" w:space="0" w:color="auto"/>
          </w:divBdr>
          <w:divsChild>
            <w:div w:id="1516994511">
              <w:marLeft w:val="0"/>
              <w:marRight w:val="0"/>
              <w:marTop w:val="0"/>
              <w:marBottom w:val="0"/>
              <w:divBdr>
                <w:top w:val="none" w:sz="0" w:space="0" w:color="auto"/>
                <w:left w:val="none" w:sz="0" w:space="0" w:color="auto"/>
                <w:bottom w:val="none" w:sz="0" w:space="0" w:color="auto"/>
                <w:right w:val="none" w:sz="0" w:space="0" w:color="auto"/>
              </w:divBdr>
              <w:divsChild>
                <w:div w:id="1873955764">
                  <w:marLeft w:val="0"/>
                  <w:marRight w:val="0"/>
                  <w:marTop w:val="0"/>
                  <w:marBottom w:val="0"/>
                  <w:divBdr>
                    <w:top w:val="none" w:sz="0" w:space="0" w:color="auto"/>
                    <w:left w:val="none" w:sz="0" w:space="0" w:color="auto"/>
                    <w:bottom w:val="none" w:sz="0" w:space="0" w:color="auto"/>
                    <w:right w:val="none" w:sz="0" w:space="0" w:color="auto"/>
                  </w:divBdr>
                </w:div>
              </w:divsChild>
            </w:div>
            <w:div w:id="75367653">
              <w:marLeft w:val="0"/>
              <w:marRight w:val="0"/>
              <w:marTop w:val="0"/>
              <w:marBottom w:val="0"/>
              <w:divBdr>
                <w:top w:val="none" w:sz="0" w:space="0" w:color="auto"/>
                <w:left w:val="none" w:sz="0" w:space="0" w:color="auto"/>
                <w:bottom w:val="none" w:sz="0" w:space="0" w:color="auto"/>
                <w:right w:val="none" w:sz="0" w:space="0" w:color="auto"/>
              </w:divBdr>
              <w:divsChild>
                <w:div w:id="1193035490">
                  <w:marLeft w:val="0"/>
                  <w:marRight w:val="0"/>
                  <w:marTop w:val="0"/>
                  <w:marBottom w:val="0"/>
                  <w:divBdr>
                    <w:top w:val="none" w:sz="0" w:space="0" w:color="auto"/>
                    <w:left w:val="none" w:sz="0" w:space="0" w:color="auto"/>
                    <w:bottom w:val="none" w:sz="0" w:space="0" w:color="auto"/>
                    <w:right w:val="none" w:sz="0" w:space="0" w:color="auto"/>
                  </w:divBdr>
                </w:div>
                <w:div w:id="171804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345365">
          <w:marLeft w:val="0"/>
          <w:marRight w:val="0"/>
          <w:marTop w:val="0"/>
          <w:marBottom w:val="0"/>
          <w:divBdr>
            <w:top w:val="none" w:sz="0" w:space="0" w:color="auto"/>
            <w:left w:val="none" w:sz="0" w:space="0" w:color="auto"/>
            <w:bottom w:val="none" w:sz="0" w:space="0" w:color="auto"/>
            <w:right w:val="none" w:sz="0" w:space="0" w:color="auto"/>
          </w:divBdr>
          <w:divsChild>
            <w:div w:id="324011904">
              <w:marLeft w:val="0"/>
              <w:marRight w:val="0"/>
              <w:marTop w:val="0"/>
              <w:marBottom w:val="0"/>
              <w:divBdr>
                <w:top w:val="none" w:sz="0" w:space="0" w:color="auto"/>
                <w:left w:val="none" w:sz="0" w:space="0" w:color="auto"/>
                <w:bottom w:val="none" w:sz="0" w:space="0" w:color="auto"/>
                <w:right w:val="none" w:sz="0" w:space="0" w:color="auto"/>
              </w:divBdr>
              <w:divsChild>
                <w:div w:id="613831426">
                  <w:marLeft w:val="0"/>
                  <w:marRight w:val="0"/>
                  <w:marTop w:val="0"/>
                  <w:marBottom w:val="0"/>
                  <w:divBdr>
                    <w:top w:val="none" w:sz="0" w:space="0" w:color="auto"/>
                    <w:left w:val="none" w:sz="0" w:space="0" w:color="auto"/>
                    <w:bottom w:val="none" w:sz="0" w:space="0" w:color="auto"/>
                    <w:right w:val="none" w:sz="0" w:space="0" w:color="auto"/>
                  </w:divBdr>
                </w:div>
              </w:divsChild>
            </w:div>
            <w:div w:id="436289837">
              <w:marLeft w:val="0"/>
              <w:marRight w:val="0"/>
              <w:marTop w:val="0"/>
              <w:marBottom w:val="0"/>
              <w:divBdr>
                <w:top w:val="none" w:sz="0" w:space="0" w:color="auto"/>
                <w:left w:val="none" w:sz="0" w:space="0" w:color="auto"/>
                <w:bottom w:val="none" w:sz="0" w:space="0" w:color="auto"/>
                <w:right w:val="none" w:sz="0" w:space="0" w:color="auto"/>
              </w:divBdr>
              <w:divsChild>
                <w:div w:id="92295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924356">
          <w:marLeft w:val="0"/>
          <w:marRight w:val="0"/>
          <w:marTop w:val="0"/>
          <w:marBottom w:val="0"/>
          <w:divBdr>
            <w:top w:val="none" w:sz="0" w:space="0" w:color="auto"/>
            <w:left w:val="none" w:sz="0" w:space="0" w:color="auto"/>
            <w:bottom w:val="none" w:sz="0" w:space="0" w:color="auto"/>
            <w:right w:val="none" w:sz="0" w:space="0" w:color="auto"/>
          </w:divBdr>
          <w:divsChild>
            <w:div w:id="901059743">
              <w:marLeft w:val="0"/>
              <w:marRight w:val="0"/>
              <w:marTop w:val="0"/>
              <w:marBottom w:val="0"/>
              <w:divBdr>
                <w:top w:val="none" w:sz="0" w:space="0" w:color="auto"/>
                <w:left w:val="none" w:sz="0" w:space="0" w:color="auto"/>
                <w:bottom w:val="none" w:sz="0" w:space="0" w:color="auto"/>
                <w:right w:val="none" w:sz="0" w:space="0" w:color="auto"/>
              </w:divBdr>
              <w:divsChild>
                <w:div w:id="762069361">
                  <w:marLeft w:val="0"/>
                  <w:marRight w:val="0"/>
                  <w:marTop w:val="0"/>
                  <w:marBottom w:val="0"/>
                  <w:divBdr>
                    <w:top w:val="none" w:sz="0" w:space="0" w:color="auto"/>
                    <w:left w:val="none" w:sz="0" w:space="0" w:color="auto"/>
                    <w:bottom w:val="none" w:sz="0" w:space="0" w:color="auto"/>
                    <w:right w:val="none" w:sz="0" w:space="0" w:color="auto"/>
                  </w:divBdr>
                </w:div>
              </w:divsChild>
            </w:div>
            <w:div w:id="1415085373">
              <w:marLeft w:val="0"/>
              <w:marRight w:val="0"/>
              <w:marTop w:val="0"/>
              <w:marBottom w:val="0"/>
              <w:divBdr>
                <w:top w:val="none" w:sz="0" w:space="0" w:color="auto"/>
                <w:left w:val="none" w:sz="0" w:space="0" w:color="auto"/>
                <w:bottom w:val="none" w:sz="0" w:space="0" w:color="auto"/>
                <w:right w:val="none" w:sz="0" w:space="0" w:color="auto"/>
              </w:divBdr>
              <w:divsChild>
                <w:div w:id="530648082">
                  <w:marLeft w:val="0"/>
                  <w:marRight w:val="0"/>
                  <w:marTop w:val="0"/>
                  <w:marBottom w:val="0"/>
                  <w:divBdr>
                    <w:top w:val="none" w:sz="0" w:space="0" w:color="auto"/>
                    <w:left w:val="none" w:sz="0" w:space="0" w:color="auto"/>
                    <w:bottom w:val="none" w:sz="0" w:space="0" w:color="auto"/>
                    <w:right w:val="none" w:sz="0" w:space="0" w:color="auto"/>
                  </w:divBdr>
                </w:div>
                <w:div w:id="45136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710866">
          <w:marLeft w:val="0"/>
          <w:marRight w:val="0"/>
          <w:marTop w:val="0"/>
          <w:marBottom w:val="0"/>
          <w:divBdr>
            <w:top w:val="none" w:sz="0" w:space="0" w:color="auto"/>
            <w:left w:val="none" w:sz="0" w:space="0" w:color="auto"/>
            <w:bottom w:val="none" w:sz="0" w:space="0" w:color="auto"/>
            <w:right w:val="none" w:sz="0" w:space="0" w:color="auto"/>
          </w:divBdr>
          <w:divsChild>
            <w:div w:id="1967082282">
              <w:marLeft w:val="0"/>
              <w:marRight w:val="0"/>
              <w:marTop w:val="0"/>
              <w:marBottom w:val="0"/>
              <w:divBdr>
                <w:top w:val="none" w:sz="0" w:space="0" w:color="auto"/>
                <w:left w:val="none" w:sz="0" w:space="0" w:color="auto"/>
                <w:bottom w:val="none" w:sz="0" w:space="0" w:color="auto"/>
                <w:right w:val="none" w:sz="0" w:space="0" w:color="auto"/>
              </w:divBdr>
              <w:divsChild>
                <w:div w:id="1296060201">
                  <w:marLeft w:val="0"/>
                  <w:marRight w:val="0"/>
                  <w:marTop w:val="0"/>
                  <w:marBottom w:val="0"/>
                  <w:divBdr>
                    <w:top w:val="none" w:sz="0" w:space="0" w:color="auto"/>
                    <w:left w:val="none" w:sz="0" w:space="0" w:color="auto"/>
                    <w:bottom w:val="none" w:sz="0" w:space="0" w:color="auto"/>
                    <w:right w:val="none" w:sz="0" w:space="0" w:color="auto"/>
                  </w:divBdr>
                </w:div>
              </w:divsChild>
            </w:div>
            <w:div w:id="676150300">
              <w:marLeft w:val="0"/>
              <w:marRight w:val="0"/>
              <w:marTop w:val="0"/>
              <w:marBottom w:val="0"/>
              <w:divBdr>
                <w:top w:val="none" w:sz="0" w:space="0" w:color="auto"/>
                <w:left w:val="none" w:sz="0" w:space="0" w:color="auto"/>
                <w:bottom w:val="none" w:sz="0" w:space="0" w:color="auto"/>
                <w:right w:val="none" w:sz="0" w:space="0" w:color="auto"/>
              </w:divBdr>
              <w:divsChild>
                <w:div w:id="99722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640432">
          <w:marLeft w:val="0"/>
          <w:marRight w:val="0"/>
          <w:marTop w:val="0"/>
          <w:marBottom w:val="0"/>
          <w:divBdr>
            <w:top w:val="none" w:sz="0" w:space="0" w:color="auto"/>
            <w:left w:val="none" w:sz="0" w:space="0" w:color="auto"/>
            <w:bottom w:val="none" w:sz="0" w:space="0" w:color="auto"/>
            <w:right w:val="none" w:sz="0" w:space="0" w:color="auto"/>
          </w:divBdr>
          <w:divsChild>
            <w:div w:id="2050302445">
              <w:marLeft w:val="0"/>
              <w:marRight w:val="0"/>
              <w:marTop w:val="0"/>
              <w:marBottom w:val="0"/>
              <w:divBdr>
                <w:top w:val="none" w:sz="0" w:space="0" w:color="auto"/>
                <w:left w:val="none" w:sz="0" w:space="0" w:color="auto"/>
                <w:bottom w:val="none" w:sz="0" w:space="0" w:color="auto"/>
                <w:right w:val="none" w:sz="0" w:space="0" w:color="auto"/>
              </w:divBdr>
              <w:divsChild>
                <w:div w:id="1702589761">
                  <w:marLeft w:val="0"/>
                  <w:marRight w:val="0"/>
                  <w:marTop w:val="0"/>
                  <w:marBottom w:val="0"/>
                  <w:divBdr>
                    <w:top w:val="none" w:sz="0" w:space="0" w:color="auto"/>
                    <w:left w:val="none" w:sz="0" w:space="0" w:color="auto"/>
                    <w:bottom w:val="none" w:sz="0" w:space="0" w:color="auto"/>
                    <w:right w:val="none" w:sz="0" w:space="0" w:color="auto"/>
                  </w:divBdr>
                </w:div>
              </w:divsChild>
            </w:div>
            <w:div w:id="1128738421">
              <w:marLeft w:val="0"/>
              <w:marRight w:val="0"/>
              <w:marTop w:val="0"/>
              <w:marBottom w:val="0"/>
              <w:divBdr>
                <w:top w:val="none" w:sz="0" w:space="0" w:color="auto"/>
                <w:left w:val="none" w:sz="0" w:space="0" w:color="auto"/>
                <w:bottom w:val="none" w:sz="0" w:space="0" w:color="auto"/>
                <w:right w:val="none" w:sz="0" w:space="0" w:color="auto"/>
              </w:divBdr>
              <w:divsChild>
                <w:div w:id="26535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181308">
          <w:marLeft w:val="0"/>
          <w:marRight w:val="0"/>
          <w:marTop w:val="0"/>
          <w:marBottom w:val="0"/>
          <w:divBdr>
            <w:top w:val="none" w:sz="0" w:space="0" w:color="auto"/>
            <w:left w:val="none" w:sz="0" w:space="0" w:color="auto"/>
            <w:bottom w:val="none" w:sz="0" w:space="0" w:color="auto"/>
            <w:right w:val="none" w:sz="0" w:space="0" w:color="auto"/>
          </w:divBdr>
          <w:divsChild>
            <w:div w:id="1991401981">
              <w:marLeft w:val="0"/>
              <w:marRight w:val="0"/>
              <w:marTop w:val="0"/>
              <w:marBottom w:val="0"/>
              <w:divBdr>
                <w:top w:val="none" w:sz="0" w:space="0" w:color="auto"/>
                <w:left w:val="none" w:sz="0" w:space="0" w:color="auto"/>
                <w:bottom w:val="none" w:sz="0" w:space="0" w:color="auto"/>
                <w:right w:val="none" w:sz="0" w:space="0" w:color="auto"/>
              </w:divBdr>
              <w:divsChild>
                <w:div w:id="253170078">
                  <w:marLeft w:val="0"/>
                  <w:marRight w:val="0"/>
                  <w:marTop w:val="0"/>
                  <w:marBottom w:val="0"/>
                  <w:divBdr>
                    <w:top w:val="none" w:sz="0" w:space="0" w:color="auto"/>
                    <w:left w:val="none" w:sz="0" w:space="0" w:color="auto"/>
                    <w:bottom w:val="none" w:sz="0" w:space="0" w:color="auto"/>
                    <w:right w:val="none" w:sz="0" w:space="0" w:color="auto"/>
                  </w:divBdr>
                </w:div>
              </w:divsChild>
            </w:div>
            <w:div w:id="1854150358">
              <w:marLeft w:val="0"/>
              <w:marRight w:val="0"/>
              <w:marTop w:val="0"/>
              <w:marBottom w:val="0"/>
              <w:divBdr>
                <w:top w:val="none" w:sz="0" w:space="0" w:color="auto"/>
                <w:left w:val="none" w:sz="0" w:space="0" w:color="auto"/>
                <w:bottom w:val="none" w:sz="0" w:space="0" w:color="auto"/>
                <w:right w:val="none" w:sz="0" w:space="0" w:color="auto"/>
              </w:divBdr>
              <w:divsChild>
                <w:div w:id="154652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920112">
          <w:marLeft w:val="0"/>
          <w:marRight w:val="0"/>
          <w:marTop w:val="0"/>
          <w:marBottom w:val="0"/>
          <w:divBdr>
            <w:top w:val="none" w:sz="0" w:space="0" w:color="auto"/>
            <w:left w:val="none" w:sz="0" w:space="0" w:color="auto"/>
            <w:bottom w:val="none" w:sz="0" w:space="0" w:color="auto"/>
            <w:right w:val="none" w:sz="0" w:space="0" w:color="auto"/>
          </w:divBdr>
          <w:divsChild>
            <w:div w:id="1682123008">
              <w:marLeft w:val="0"/>
              <w:marRight w:val="0"/>
              <w:marTop w:val="0"/>
              <w:marBottom w:val="0"/>
              <w:divBdr>
                <w:top w:val="none" w:sz="0" w:space="0" w:color="auto"/>
                <w:left w:val="none" w:sz="0" w:space="0" w:color="auto"/>
                <w:bottom w:val="none" w:sz="0" w:space="0" w:color="auto"/>
                <w:right w:val="none" w:sz="0" w:space="0" w:color="auto"/>
              </w:divBdr>
              <w:divsChild>
                <w:div w:id="1855220099">
                  <w:marLeft w:val="0"/>
                  <w:marRight w:val="0"/>
                  <w:marTop w:val="0"/>
                  <w:marBottom w:val="0"/>
                  <w:divBdr>
                    <w:top w:val="none" w:sz="0" w:space="0" w:color="auto"/>
                    <w:left w:val="none" w:sz="0" w:space="0" w:color="auto"/>
                    <w:bottom w:val="none" w:sz="0" w:space="0" w:color="auto"/>
                    <w:right w:val="none" w:sz="0" w:space="0" w:color="auto"/>
                  </w:divBdr>
                </w:div>
              </w:divsChild>
            </w:div>
            <w:div w:id="1553998893">
              <w:marLeft w:val="0"/>
              <w:marRight w:val="0"/>
              <w:marTop w:val="0"/>
              <w:marBottom w:val="0"/>
              <w:divBdr>
                <w:top w:val="none" w:sz="0" w:space="0" w:color="auto"/>
                <w:left w:val="none" w:sz="0" w:space="0" w:color="auto"/>
                <w:bottom w:val="none" w:sz="0" w:space="0" w:color="auto"/>
                <w:right w:val="none" w:sz="0" w:space="0" w:color="auto"/>
              </w:divBdr>
              <w:divsChild>
                <w:div w:id="171588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636387">
          <w:marLeft w:val="0"/>
          <w:marRight w:val="0"/>
          <w:marTop w:val="0"/>
          <w:marBottom w:val="0"/>
          <w:divBdr>
            <w:top w:val="none" w:sz="0" w:space="0" w:color="auto"/>
            <w:left w:val="none" w:sz="0" w:space="0" w:color="auto"/>
            <w:bottom w:val="none" w:sz="0" w:space="0" w:color="auto"/>
            <w:right w:val="none" w:sz="0" w:space="0" w:color="auto"/>
          </w:divBdr>
          <w:divsChild>
            <w:div w:id="1612666058">
              <w:marLeft w:val="0"/>
              <w:marRight w:val="0"/>
              <w:marTop w:val="0"/>
              <w:marBottom w:val="0"/>
              <w:divBdr>
                <w:top w:val="none" w:sz="0" w:space="0" w:color="auto"/>
                <w:left w:val="none" w:sz="0" w:space="0" w:color="auto"/>
                <w:bottom w:val="none" w:sz="0" w:space="0" w:color="auto"/>
                <w:right w:val="none" w:sz="0" w:space="0" w:color="auto"/>
              </w:divBdr>
              <w:divsChild>
                <w:div w:id="97411762">
                  <w:marLeft w:val="0"/>
                  <w:marRight w:val="0"/>
                  <w:marTop w:val="0"/>
                  <w:marBottom w:val="0"/>
                  <w:divBdr>
                    <w:top w:val="none" w:sz="0" w:space="0" w:color="auto"/>
                    <w:left w:val="none" w:sz="0" w:space="0" w:color="auto"/>
                    <w:bottom w:val="none" w:sz="0" w:space="0" w:color="auto"/>
                    <w:right w:val="none" w:sz="0" w:space="0" w:color="auto"/>
                  </w:divBdr>
                </w:div>
              </w:divsChild>
            </w:div>
            <w:div w:id="351340269">
              <w:marLeft w:val="0"/>
              <w:marRight w:val="0"/>
              <w:marTop w:val="0"/>
              <w:marBottom w:val="0"/>
              <w:divBdr>
                <w:top w:val="none" w:sz="0" w:space="0" w:color="auto"/>
                <w:left w:val="none" w:sz="0" w:space="0" w:color="auto"/>
                <w:bottom w:val="none" w:sz="0" w:space="0" w:color="auto"/>
                <w:right w:val="none" w:sz="0" w:space="0" w:color="auto"/>
              </w:divBdr>
              <w:divsChild>
                <w:div w:id="1818765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750138">
          <w:marLeft w:val="0"/>
          <w:marRight w:val="0"/>
          <w:marTop w:val="0"/>
          <w:marBottom w:val="0"/>
          <w:divBdr>
            <w:top w:val="none" w:sz="0" w:space="0" w:color="auto"/>
            <w:left w:val="none" w:sz="0" w:space="0" w:color="auto"/>
            <w:bottom w:val="none" w:sz="0" w:space="0" w:color="auto"/>
            <w:right w:val="none" w:sz="0" w:space="0" w:color="auto"/>
          </w:divBdr>
          <w:divsChild>
            <w:div w:id="1729377671">
              <w:marLeft w:val="0"/>
              <w:marRight w:val="0"/>
              <w:marTop w:val="0"/>
              <w:marBottom w:val="0"/>
              <w:divBdr>
                <w:top w:val="none" w:sz="0" w:space="0" w:color="auto"/>
                <w:left w:val="none" w:sz="0" w:space="0" w:color="auto"/>
                <w:bottom w:val="none" w:sz="0" w:space="0" w:color="auto"/>
                <w:right w:val="none" w:sz="0" w:space="0" w:color="auto"/>
              </w:divBdr>
              <w:divsChild>
                <w:div w:id="1304113535">
                  <w:marLeft w:val="0"/>
                  <w:marRight w:val="0"/>
                  <w:marTop w:val="0"/>
                  <w:marBottom w:val="0"/>
                  <w:divBdr>
                    <w:top w:val="none" w:sz="0" w:space="0" w:color="auto"/>
                    <w:left w:val="none" w:sz="0" w:space="0" w:color="auto"/>
                    <w:bottom w:val="none" w:sz="0" w:space="0" w:color="auto"/>
                    <w:right w:val="none" w:sz="0" w:space="0" w:color="auto"/>
                  </w:divBdr>
                </w:div>
              </w:divsChild>
            </w:div>
            <w:div w:id="1538079150">
              <w:marLeft w:val="0"/>
              <w:marRight w:val="0"/>
              <w:marTop w:val="0"/>
              <w:marBottom w:val="0"/>
              <w:divBdr>
                <w:top w:val="none" w:sz="0" w:space="0" w:color="auto"/>
                <w:left w:val="none" w:sz="0" w:space="0" w:color="auto"/>
                <w:bottom w:val="none" w:sz="0" w:space="0" w:color="auto"/>
                <w:right w:val="none" w:sz="0" w:space="0" w:color="auto"/>
              </w:divBdr>
              <w:divsChild>
                <w:div w:id="44527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2186">
          <w:marLeft w:val="0"/>
          <w:marRight w:val="0"/>
          <w:marTop w:val="0"/>
          <w:marBottom w:val="0"/>
          <w:divBdr>
            <w:top w:val="none" w:sz="0" w:space="0" w:color="auto"/>
            <w:left w:val="none" w:sz="0" w:space="0" w:color="auto"/>
            <w:bottom w:val="none" w:sz="0" w:space="0" w:color="auto"/>
            <w:right w:val="none" w:sz="0" w:space="0" w:color="auto"/>
          </w:divBdr>
          <w:divsChild>
            <w:div w:id="11345190">
              <w:marLeft w:val="0"/>
              <w:marRight w:val="0"/>
              <w:marTop w:val="0"/>
              <w:marBottom w:val="0"/>
              <w:divBdr>
                <w:top w:val="none" w:sz="0" w:space="0" w:color="auto"/>
                <w:left w:val="none" w:sz="0" w:space="0" w:color="auto"/>
                <w:bottom w:val="none" w:sz="0" w:space="0" w:color="auto"/>
                <w:right w:val="none" w:sz="0" w:space="0" w:color="auto"/>
              </w:divBdr>
              <w:divsChild>
                <w:div w:id="2036729750">
                  <w:marLeft w:val="0"/>
                  <w:marRight w:val="0"/>
                  <w:marTop w:val="0"/>
                  <w:marBottom w:val="0"/>
                  <w:divBdr>
                    <w:top w:val="none" w:sz="0" w:space="0" w:color="auto"/>
                    <w:left w:val="none" w:sz="0" w:space="0" w:color="auto"/>
                    <w:bottom w:val="none" w:sz="0" w:space="0" w:color="auto"/>
                    <w:right w:val="none" w:sz="0" w:space="0" w:color="auto"/>
                  </w:divBdr>
                </w:div>
              </w:divsChild>
            </w:div>
            <w:div w:id="811170004">
              <w:marLeft w:val="0"/>
              <w:marRight w:val="0"/>
              <w:marTop w:val="0"/>
              <w:marBottom w:val="0"/>
              <w:divBdr>
                <w:top w:val="none" w:sz="0" w:space="0" w:color="auto"/>
                <w:left w:val="none" w:sz="0" w:space="0" w:color="auto"/>
                <w:bottom w:val="none" w:sz="0" w:space="0" w:color="auto"/>
                <w:right w:val="none" w:sz="0" w:space="0" w:color="auto"/>
              </w:divBdr>
              <w:divsChild>
                <w:div w:id="1007055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153832">
          <w:marLeft w:val="0"/>
          <w:marRight w:val="0"/>
          <w:marTop w:val="0"/>
          <w:marBottom w:val="0"/>
          <w:divBdr>
            <w:top w:val="none" w:sz="0" w:space="0" w:color="auto"/>
            <w:left w:val="none" w:sz="0" w:space="0" w:color="auto"/>
            <w:bottom w:val="none" w:sz="0" w:space="0" w:color="auto"/>
            <w:right w:val="none" w:sz="0" w:space="0" w:color="auto"/>
          </w:divBdr>
          <w:divsChild>
            <w:div w:id="982927922">
              <w:marLeft w:val="0"/>
              <w:marRight w:val="0"/>
              <w:marTop w:val="0"/>
              <w:marBottom w:val="0"/>
              <w:divBdr>
                <w:top w:val="none" w:sz="0" w:space="0" w:color="auto"/>
                <w:left w:val="none" w:sz="0" w:space="0" w:color="auto"/>
                <w:bottom w:val="none" w:sz="0" w:space="0" w:color="auto"/>
                <w:right w:val="none" w:sz="0" w:space="0" w:color="auto"/>
              </w:divBdr>
              <w:divsChild>
                <w:div w:id="194780213">
                  <w:marLeft w:val="0"/>
                  <w:marRight w:val="0"/>
                  <w:marTop w:val="0"/>
                  <w:marBottom w:val="0"/>
                  <w:divBdr>
                    <w:top w:val="none" w:sz="0" w:space="0" w:color="auto"/>
                    <w:left w:val="none" w:sz="0" w:space="0" w:color="auto"/>
                    <w:bottom w:val="none" w:sz="0" w:space="0" w:color="auto"/>
                    <w:right w:val="none" w:sz="0" w:space="0" w:color="auto"/>
                  </w:divBdr>
                </w:div>
              </w:divsChild>
            </w:div>
            <w:div w:id="2014063101">
              <w:marLeft w:val="0"/>
              <w:marRight w:val="0"/>
              <w:marTop w:val="0"/>
              <w:marBottom w:val="0"/>
              <w:divBdr>
                <w:top w:val="none" w:sz="0" w:space="0" w:color="auto"/>
                <w:left w:val="none" w:sz="0" w:space="0" w:color="auto"/>
                <w:bottom w:val="none" w:sz="0" w:space="0" w:color="auto"/>
                <w:right w:val="none" w:sz="0" w:space="0" w:color="auto"/>
              </w:divBdr>
              <w:divsChild>
                <w:div w:id="195300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005870">
      <w:bodyDiv w:val="1"/>
      <w:marLeft w:val="0"/>
      <w:marRight w:val="0"/>
      <w:marTop w:val="0"/>
      <w:marBottom w:val="0"/>
      <w:divBdr>
        <w:top w:val="none" w:sz="0" w:space="0" w:color="auto"/>
        <w:left w:val="none" w:sz="0" w:space="0" w:color="auto"/>
        <w:bottom w:val="none" w:sz="0" w:space="0" w:color="auto"/>
        <w:right w:val="none" w:sz="0" w:space="0" w:color="auto"/>
      </w:divBdr>
    </w:div>
    <w:div w:id="782116241">
      <w:bodyDiv w:val="1"/>
      <w:marLeft w:val="0"/>
      <w:marRight w:val="0"/>
      <w:marTop w:val="0"/>
      <w:marBottom w:val="0"/>
      <w:divBdr>
        <w:top w:val="none" w:sz="0" w:space="0" w:color="auto"/>
        <w:left w:val="none" w:sz="0" w:space="0" w:color="auto"/>
        <w:bottom w:val="none" w:sz="0" w:space="0" w:color="auto"/>
        <w:right w:val="none" w:sz="0" w:space="0" w:color="auto"/>
      </w:divBdr>
      <w:divsChild>
        <w:div w:id="1354112606">
          <w:marLeft w:val="0"/>
          <w:marRight w:val="0"/>
          <w:marTop w:val="120"/>
          <w:marBottom w:val="120"/>
          <w:divBdr>
            <w:top w:val="none" w:sz="0" w:space="0" w:color="auto"/>
            <w:left w:val="none" w:sz="0" w:space="0" w:color="auto"/>
            <w:bottom w:val="none" w:sz="0" w:space="0" w:color="auto"/>
            <w:right w:val="none" w:sz="0" w:space="0" w:color="auto"/>
          </w:divBdr>
        </w:div>
        <w:div w:id="502816532">
          <w:marLeft w:val="0"/>
          <w:marRight w:val="0"/>
          <w:marTop w:val="120"/>
          <w:marBottom w:val="120"/>
          <w:divBdr>
            <w:top w:val="none" w:sz="0" w:space="0" w:color="auto"/>
            <w:left w:val="none" w:sz="0" w:space="0" w:color="auto"/>
            <w:bottom w:val="none" w:sz="0" w:space="0" w:color="auto"/>
            <w:right w:val="none" w:sz="0" w:space="0" w:color="auto"/>
          </w:divBdr>
        </w:div>
      </w:divsChild>
    </w:div>
    <w:div w:id="830095168">
      <w:bodyDiv w:val="1"/>
      <w:marLeft w:val="0"/>
      <w:marRight w:val="0"/>
      <w:marTop w:val="0"/>
      <w:marBottom w:val="0"/>
      <w:divBdr>
        <w:top w:val="none" w:sz="0" w:space="0" w:color="auto"/>
        <w:left w:val="none" w:sz="0" w:space="0" w:color="auto"/>
        <w:bottom w:val="none" w:sz="0" w:space="0" w:color="auto"/>
        <w:right w:val="none" w:sz="0" w:space="0" w:color="auto"/>
      </w:divBdr>
      <w:divsChild>
        <w:div w:id="1151403446">
          <w:marLeft w:val="0"/>
          <w:marRight w:val="0"/>
          <w:marTop w:val="120"/>
          <w:marBottom w:val="120"/>
          <w:divBdr>
            <w:top w:val="none" w:sz="0" w:space="0" w:color="auto"/>
            <w:left w:val="none" w:sz="0" w:space="0" w:color="auto"/>
            <w:bottom w:val="none" w:sz="0" w:space="0" w:color="auto"/>
            <w:right w:val="none" w:sz="0" w:space="0" w:color="auto"/>
          </w:divBdr>
        </w:div>
        <w:div w:id="739910475">
          <w:marLeft w:val="0"/>
          <w:marRight w:val="0"/>
          <w:marTop w:val="120"/>
          <w:marBottom w:val="120"/>
          <w:divBdr>
            <w:top w:val="none" w:sz="0" w:space="0" w:color="auto"/>
            <w:left w:val="none" w:sz="0" w:space="0" w:color="auto"/>
            <w:bottom w:val="none" w:sz="0" w:space="0" w:color="auto"/>
            <w:right w:val="none" w:sz="0" w:space="0" w:color="auto"/>
          </w:divBdr>
        </w:div>
        <w:div w:id="1978105552">
          <w:marLeft w:val="0"/>
          <w:marRight w:val="0"/>
          <w:marTop w:val="120"/>
          <w:marBottom w:val="120"/>
          <w:divBdr>
            <w:top w:val="none" w:sz="0" w:space="0" w:color="auto"/>
            <w:left w:val="none" w:sz="0" w:space="0" w:color="auto"/>
            <w:bottom w:val="none" w:sz="0" w:space="0" w:color="auto"/>
            <w:right w:val="none" w:sz="0" w:space="0" w:color="auto"/>
          </w:divBdr>
        </w:div>
      </w:divsChild>
    </w:div>
    <w:div w:id="977029909">
      <w:bodyDiv w:val="1"/>
      <w:marLeft w:val="0"/>
      <w:marRight w:val="0"/>
      <w:marTop w:val="0"/>
      <w:marBottom w:val="0"/>
      <w:divBdr>
        <w:top w:val="none" w:sz="0" w:space="0" w:color="auto"/>
        <w:left w:val="none" w:sz="0" w:space="0" w:color="auto"/>
        <w:bottom w:val="none" w:sz="0" w:space="0" w:color="auto"/>
        <w:right w:val="none" w:sz="0" w:space="0" w:color="auto"/>
      </w:divBdr>
    </w:div>
    <w:div w:id="1001083325">
      <w:bodyDiv w:val="1"/>
      <w:marLeft w:val="0"/>
      <w:marRight w:val="0"/>
      <w:marTop w:val="0"/>
      <w:marBottom w:val="0"/>
      <w:divBdr>
        <w:top w:val="none" w:sz="0" w:space="0" w:color="auto"/>
        <w:left w:val="none" w:sz="0" w:space="0" w:color="auto"/>
        <w:bottom w:val="none" w:sz="0" w:space="0" w:color="auto"/>
        <w:right w:val="none" w:sz="0" w:space="0" w:color="auto"/>
      </w:divBdr>
      <w:divsChild>
        <w:div w:id="2086031666">
          <w:marLeft w:val="0"/>
          <w:marRight w:val="0"/>
          <w:marTop w:val="120"/>
          <w:marBottom w:val="120"/>
          <w:divBdr>
            <w:top w:val="none" w:sz="0" w:space="0" w:color="auto"/>
            <w:left w:val="none" w:sz="0" w:space="0" w:color="auto"/>
            <w:bottom w:val="none" w:sz="0" w:space="0" w:color="auto"/>
            <w:right w:val="none" w:sz="0" w:space="0" w:color="auto"/>
          </w:divBdr>
        </w:div>
        <w:div w:id="373582428">
          <w:marLeft w:val="0"/>
          <w:marRight w:val="0"/>
          <w:marTop w:val="120"/>
          <w:marBottom w:val="120"/>
          <w:divBdr>
            <w:top w:val="none" w:sz="0" w:space="0" w:color="auto"/>
            <w:left w:val="none" w:sz="0" w:space="0" w:color="auto"/>
            <w:bottom w:val="none" w:sz="0" w:space="0" w:color="auto"/>
            <w:right w:val="none" w:sz="0" w:space="0" w:color="auto"/>
          </w:divBdr>
        </w:div>
        <w:div w:id="1739207098">
          <w:marLeft w:val="0"/>
          <w:marRight w:val="0"/>
          <w:marTop w:val="120"/>
          <w:marBottom w:val="120"/>
          <w:divBdr>
            <w:top w:val="none" w:sz="0" w:space="0" w:color="auto"/>
            <w:left w:val="none" w:sz="0" w:space="0" w:color="auto"/>
            <w:bottom w:val="none" w:sz="0" w:space="0" w:color="auto"/>
            <w:right w:val="none" w:sz="0" w:space="0" w:color="auto"/>
          </w:divBdr>
        </w:div>
      </w:divsChild>
    </w:div>
    <w:div w:id="1091123777">
      <w:bodyDiv w:val="1"/>
      <w:marLeft w:val="0"/>
      <w:marRight w:val="0"/>
      <w:marTop w:val="0"/>
      <w:marBottom w:val="0"/>
      <w:divBdr>
        <w:top w:val="none" w:sz="0" w:space="0" w:color="auto"/>
        <w:left w:val="none" w:sz="0" w:space="0" w:color="auto"/>
        <w:bottom w:val="none" w:sz="0" w:space="0" w:color="auto"/>
        <w:right w:val="none" w:sz="0" w:space="0" w:color="auto"/>
      </w:divBdr>
    </w:div>
    <w:div w:id="1198002610">
      <w:bodyDiv w:val="1"/>
      <w:marLeft w:val="0"/>
      <w:marRight w:val="0"/>
      <w:marTop w:val="0"/>
      <w:marBottom w:val="0"/>
      <w:divBdr>
        <w:top w:val="none" w:sz="0" w:space="0" w:color="auto"/>
        <w:left w:val="none" w:sz="0" w:space="0" w:color="auto"/>
        <w:bottom w:val="none" w:sz="0" w:space="0" w:color="auto"/>
        <w:right w:val="none" w:sz="0" w:space="0" w:color="auto"/>
      </w:divBdr>
      <w:divsChild>
        <w:div w:id="1734811070">
          <w:marLeft w:val="0"/>
          <w:marRight w:val="0"/>
          <w:marTop w:val="120"/>
          <w:marBottom w:val="120"/>
          <w:divBdr>
            <w:top w:val="none" w:sz="0" w:space="0" w:color="auto"/>
            <w:left w:val="none" w:sz="0" w:space="0" w:color="auto"/>
            <w:bottom w:val="none" w:sz="0" w:space="0" w:color="auto"/>
            <w:right w:val="none" w:sz="0" w:space="0" w:color="auto"/>
          </w:divBdr>
        </w:div>
        <w:div w:id="227999829">
          <w:marLeft w:val="0"/>
          <w:marRight w:val="0"/>
          <w:marTop w:val="120"/>
          <w:marBottom w:val="120"/>
          <w:divBdr>
            <w:top w:val="none" w:sz="0" w:space="0" w:color="auto"/>
            <w:left w:val="none" w:sz="0" w:space="0" w:color="auto"/>
            <w:bottom w:val="none" w:sz="0" w:space="0" w:color="auto"/>
            <w:right w:val="none" w:sz="0" w:space="0" w:color="auto"/>
          </w:divBdr>
        </w:div>
      </w:divsChild>
    </w:div>
    <w:div w:id="1319531357">
      <w:bodyDiv w:val="1"/>
      <w:marLeft w:val="0"/>
      <w:marRight w:val="0"/>
      <w:marTop w:val="0"/>
      <w:marBottom w:val="0"/>
      <w:divBdr>
        <w:top w:val="none" w:sz="0" w:space="0" w:color="auto"/>
        <w:left w:val="none" w:sz="0" w:space="0" w:color="auto"/>
        <w:bottom w:val="none" w:sz="0" w:space="0" w:color="auto"/>
        <w:right w:val="none" w:sz="0" w:space="0" w:color="auto"/>
      </w:divBdr>
      <w:divsChild>
        <w:div w:id="1170485513">
          <w:marLeft w:val="0"/>
          <w:marRight w:val="0"/>
          <w:marTop w:val="0"/>
          <w:marBottom w:val="0"/>
          <w:divBdr>
            <w:top w:val="none" w:sz="0" w:space="0" w:color="auto"/>
            <w:left w:val="none" w:sz="0" w:space="0" w:color="auto"/>
            <w:bottom w:val="none" w:sz="0" w:space="0" w:color="auto"/>
            <w:right w:val="none" w:sz="0" w:space="0" w:color="auto"/>
          </w:divBdr>
          <w:divsChild>
            <w:div w:id="1729306735">
              <w:marLeft w:val="0"/>
              <w:marRight w:val="0"/>
              <w:marTop w:val="0"/>
              <w:marBottom w:val="0"/>
              <w:divBdr>
                <w:top w:val="none" w:sz="0" w:space="0" w:color="auto"/>
                <w:left w:val="none" w:sz="0" w:space="0" w:color="auto"/>
                <w:bottom w:val="none" w:sz="0" w:space="0" w:color="auto"/>
                <w:right w:val="none" w:sz="0" w:space="0" w:color="auto"/>
              </w:divBdr>
              <w:divsChild>
                <w:div w:id="248933106">
                  <w:marLeft w:val="0"/>
                  <w:marRight w:val="0"/>
                  <w:marTop w:val="0"/>
                  <w:marBottom w:val="0"/>
                  <w:divBdr>
                    <w:top w:val="none" w:sz="0" w:space="0" w:color="auto"/>
                    <w:left w:val="none" w:sz="0" w:space="0" w:color="auto"/>
                    <w:bottom w:val="none" w:sz="0" w:space="0" w:color="auto"/>
                    <w:right w:val="none" w:sz="0" w:space="0" w:color="auto"/>
                  </w:divBdr>
                </w:div>
              </w:divsChild>
            </w:div>
            <w:div w:id="493691948">
              <w:marLeft w:val="0"/>
              <w:marRight w:val="0"/>
              <w:marTop w:val="0"/>
              <w:marBottom w:val="0"/>
              <w:divBdr>
                <w:top w:val="none" w:sz="0" w:space="0" w:color="auto"/>
                <w:left w:val="none" w:sz="0" w:space="0" w:color="auto"/>
                <w:bottom w:val="none" w:sz="0" w:space="0" w:color="auto"/>
                <w:right w:val="none" w:sz="0" w:space="0" w:color="auto"/>
              </w:divBdr>
              <w:divsChild>
                <w:div w:id="1701970846">
                  <w:marLeft w:val="0"/>
                  <w:marRight w:val="0"/>
                  <w:marTop w:val="0"/>
                  <w:marBottom w:val="0"/>
                  <w:divBdr>
                    <w:top w:val="none" w:sz="0" w:space="0" w:color="auto"/>
                    <w:left w:val="none" w:sz="0" w:space="0" w:color="auto"/>
                    <w:bottom w:val="none" w:sz="0" w:space="0" w:color="auto"/>
                    <w:right w:val="none" w:sz="0" w:space="0" w:color="auto"/>
                  </w:divBdr>
                </w:div>
                <w:div w:id="114769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743316">
          <w:marLeft w:val="0"/>
          <w:marRight w:val="0"/>
          <w:marTop w:val="0"/>
          <w:marBottom w:val="0"/>
          <w:divBdr>
            <w:top w:val="none" w:sz="0" w:space="0" w:color="auto"/>
            <w:left w:val="none" w:sz="0" w:space="0" w:color="auto"/>
            <w:bottom w:val="none" w:sz="0" w:space="0" w:color="auto"/>
            <w:right w:val="none" w:sz="0" w:space="0" w:color="auto"/>
          </w:divBdr>
          <w:divsChild>
            <w:div w:id="983508619">
              <w:marLeft w:val="0"/>
              <w:marRight w:val="0"/>
              <w:marTop w:val="0"/>
              <w:marBottom w:val="0"/>
              <w:divBdr>
                <w:top w:val="none" w:sz="0" w:space="0" w:color="auto"/>
                <w:left w:val="none" w:sz="0" w:space="0" w:color="auto"/>
                <w:bottom w:val="none" w:sz="0" w:space="0" w:color="auto"/>
                <w:right w:val="none" w:sz="0" w:space="0" w:color="auto"/>
              </w:divBdr>
              <w:divsChild>
                <w:div w:id="1087192106">
                  <w:marLeft w:val="0"/>
                  <w:marRight w:val="0"/>
                  <w:marTop w:val="0"/>
                  <w:marBottom w:val="0"/>
                  <w:divBdr>
                    <w:top w:val="none" w:sz="0" w:space="0" w:color="auto"/>
                    <w:left w:val="none" w:sz="0" w:space="0" w:color="auto"/>
                    <w:bottom w:val="none" w:sz="0" w:space="0" w:color="auto"/>
                    <w:right w:val="none" w:sz="0" w:space="0" w:color="auto"/>
                  </w:divBdr>
                </w:div>
              </w:divsChild>
            </w:div>
            <w:div w:id="1764493164">
              <w:marLeft w:val="0"/>
              <w:marRight w:val="0"/>
              <w:marTop w:val="0"/>
              <w:marBottom w:val="0"/>
              <w:divBdr>
                <w:top w:val="none" w:sz="0" w:space="0" w:color="auto"/>
                <w:left w:val="none" w:sz="0" w:space="0" w:color="auto"/>
                <w:bottom w:val="none" w:sz="0" w:space="0" w:color="auto"/>
                <w:right w:val="none" w:sz="0" w:space="0" w:color="auto"/>
              </w:divBdr>
              <w:divsChild>
                <w:div w:id="789513603">
                  <w:marLeft w:val="0"/>
                  <w:marRight w:val="0"/>
                  <w:marTop w:val="0"/>
                  <w:marBottom w:val="0"/>
                  <w:divBdr>
                    <w:top w:val="none" w:sz="0" w:space="0" w:color="auto"/>
                    <w:left w:val="none" w:sz="0" w:space="0" w:color="auto"/>
                    <w:bottom w:val="none" w:sz="0" w:space="0" w:color="auto"/>
                    <w:right w:val="none" w:sz="0" w:space="0" w:color="auto"/>
                  </w:divBdr>
                </w:div>
                <w:div w:id="213447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184536">
          <w:marLeft w:val="0"/>
          <w:marRight w:val="0"/>
          <w:marTop w:val="0"/>
          <w:marBottom w:val="0"/>
          <w:divBdr>
            <w:top w:val="none" w:sz="0" w:space="0" w:color="auto"/>
            <w:left w:val="none" w:sz="0" w:space="0" w:color="auto"/>
            <w:bottom w:val="none" w:sz="0" w:space="0" w:color="auto"/>
            <w:right w:val="none" w:sz="0" w:space="0" w:color="auto"/>
          </w:divBdr>
          <w:divsChild>
            <w:div w:id="1687244099">
              <w:marLeft w:val="0"/>
              <w:marRight w:val="0"/>
              <w:marTop w:val="0"/>
              <w:marBottom w:val="0"/>
              <w:divBdr>
                <w:top w:val="none" w:sz="0" w:space="0" w:color="auto"/>
                <w:left w:val="none" w:sz="0" w:space="0" w:color="auto"/>
                <w:bottom w:val="none" w:sz="0" w:space="0" w:color="auto"/>
                <w:right w:val="none" w:sz="0" w:space="0" w:color="auto"/>
              </w:divBdr>
              <w:divsChild>
                <w:div w:id="180551873">
                  <w:marLeft w:val="0"/>
                  <w:marRight w:val="0"/>
                  <w:marTop w:val="0"/>
                  <w:marBottom w:val="0"/>
                  <w:divBdr>
                    <w:top w:val="none" w:sz="0" w:space="0" w:color="auto"/>
                    <w:left w:val="none" w:sz="0" w:space="0" w:color="auto"/>
                    <w:bottom w:val="none" w:sz="0" w:space="0" w:color="auto"/>
                    <w:right w:val="none" w:sz="0" w:space="0" w:color="auto"/>
                  </w:divBdr>
                </w:div>
              </w:divsChild>
            </w:div>
            <w:div w:id="160118722">
              <w:marLeft w:val="0"/>
              <w:marRight w:val="0"/>
              <w:marTop w:val="0"/>
              <w:marBottom w:val="0"/>
              <w:divBdr>
                <w:top w:val="none" w:sz="0" w:space="0" w:color="auto"/>
                <w:left w:val="none" w:sz="0" w:space="0" w:color="auto"/>
                <w:bottom w:val="none" w:sz="0" w:space="0" w:color="auto"/>
                <w:right w:val="none" w:sz="0" w:space="0" w:color="auto"/>
              </w:divBdr>
              <w:divsChild>
                <w:div w:id="85068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712661">
          <w:marLeft w:val="0"/>
          <w:marRight w:val="0"/>
          <w:marTop w:val="0"/>
          <w:marBottom w:val="0"/>
          <w:divBdr>
            <w:top w:val="none" w:sz="0" w:space="0" w:color="auto"/>
            <w:left w:val="none" w:sz="0" w:space="0" w:color="auto"/>
            <w:bottom w:val="none" w:sz="0" w:space="0" w:color="auto"/>
            <w:right w:val="none" w:sz="0" w:space="0" w:color="auto"/>
          </w:divBdr>
          <w:divsChild>
            <w:div w:id="337930867">
              <w:marLeft w:val="0"/>
              <w:marRight w:val="0"/>
              <w:marTop w:val="0"/>
              <w:marBottom w:val="0"/>
              <w:divBdr>
                <w:top w:val="none" w:sz="0" w:space="0" w:color="auto"/>
                <w:left w:val="none" w:sz="0" w:space="0" w:color="auto"/>
                <w:bottom w:val="none" w:sz="0" w:space="0" w:color="auto"/>
                <w:right w:val="none" w:sz="0" w:space="0" w:color="auto"/>
              </w:divBdr>
              <w:divsChild>
                <w:div w:id="460341360">
                  <w:marLeft w:val="0"/>
                  <w:marRight w:val="0"/>
                  <w:marTop w:val="0"/>
                  <w:marBottom w:val="0"/>
                  <w:divBdr>
                    <w:top w:val="none" w:sz="0" w:space="0" w:color="auto"/>
                    <w:left w:val="none" w:sz="0" w:space="0" w:color="auto"/>
                    <w:bottom w:val="none" w:sz="0" w:space="0" w:color="auto"/>
                    <w:right w:val="none" w:sz="0" w:space="0" w:color="auto"/>
                  </w:divBdr>
                </w:div>
              </w:divsChild>
            </w:div>
            <w:div w:id="1817868272">
              <w:marLeft w:val="0"/>
              <w:marRight w:val="0"/>
              <w:marTop w:val="0"/>
              <w:marBottom w:val="0"/>
              <w:divBdr>
                <w:top w:val="none" w:sz="0" w:space="0" w:color="auto"/>
                <w:left w:val="none" w:sz="0" w:space="0" w:color="auto"/>
                <w:bottom w:val="none" w:sz="0" w:space="0" w:color="auto"/>
                <w:right w:val="none" w:sz="0" w:space="0" w:color="auto"/>
              </w:divBdr>
              <w:divsChild>
                <w:div w:id="1595237129">
                  <w:marLeft w:val="0"/>
                  <w:marRight w:val="0"/>
                  <w:marTop w:val="0"/>
                  <w:marBottom w:val="0"/>
                  <w:divBdr>
                    <w:top w:val="none" w:sz="0" w:space="0" w:color="auto"/>
                    <w:left w:val="none" w:sz="0" w:space="0" w:color="auto"/>
                    <w:bottom w:val="none" w:sz="0" w:space="0" w:color="auto"/>
                    <w:right w:val="none" w:sz="0" w:space="0" w:color="auto"/>
                  </w:divBdr>
                </w:div>
                <w:div w:id="1806044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597354">
          <w:marLeft w:val="0"/>
          <w:marRight w:val="0"/>
          <w:marTop w:val="0"/>
          <w:marBottom w:val="0"/>
          <w:divBdr>
            <w:top w:val="none" w:sz="0" w:space="0" w:color="auto"/>
            <w:left w:val="none" w:sz="0" w:space="0" w:color="auto"/>
            <w:bottom w:val="none" w:sz="0" w:space="0" w:color="auto"/>
            <w:right w:val="none" w:sz="0" w:space="0" w:color="auto"/>
          </w:divBdr>
          <w:divsChild>
            <w:div w:id="336812116">
              <w:marLeft w:val="0"/>
              <w:marRight w:val="0"/>
              <w:marTop w:val="0"/>
              <w:marBottom w:val="0"/>
              <w:divBdr>
                <w:top w:val="none" w:sz="0" w:space="0" w:color="auto"/>
                <w:left w:val="none" w:sz="0" w:space="0" w:color="auto"/>
                <w:bottom w:val="none" w:sz="0" w:space="0" w:color="auto"/>
                <w:right w:val="none" w:sz="0" w:space="0" w:color="auto"/>
              </w:divBdr>
              <w:divsChild>
                <w:div w:id="39595445">
                  <w:marLeft w:val="0"/>
                  <w:marRight w:val="0"/>
                  <w:marTop w:val="0"/>
                  <w:marBottom w:val="0"/>
                  <w:divBdr>
                    <w:top w:val="none" w:sz="0" w:space="0" w:color="auto"/>
                    <w:left w:val="none" w:sz="0" w:space="0" w:color="auto"/>
                    <w:bottom w:val="none" w:sz="0" w:space="0" w:color="auto"/>
                    <w:right w:val="none" w:sz="0" w:space="0" w:color="auto"/>
                  </w:divBdr>
                </w:div>
              </w:divsChild>
            </w:div>
            <w:div w:id="336277148">
              <w:marLeft w:val="0"/>
              <w:marRight w:val="0"/>
              <w:marTop w:val="0"/>
              <w:marBottom w:val="0"/>
              <w:divBdr>
                <w:top w:val="none" w:sz="0" w:space="0" w:color="auto"/>
                <w:left w:val="none" w:sz="0" w:space="0" w:color="auto"/>
                <w:bottom w:val="none" w:sz="0" w:space="0" w:color="auto"/>
                <w:right w:val="none" w:sz="0" w:space="0" w:color="auto"/>
              </w:divBdr>
              <w:divsChild>
                <w:div w:id="63460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68955">
          <w:marLeft w:val="0"/>
          <w:marRight w:val="0"/>
          <w:marTop w:val="0"/>
          <w:marBottom w:val="0"/>
          <w:divBdr>
            <w:top w:val="none" w:sz="0" w:space="0" w:color="auto"/>
            <w:left w:val="none" w:sz="0" w:space="0" w:color="auto"/>
            <w:bottom w:val="none" w:sz="0" w:space="0" w:color="auto"/>
            <w:right w:val="none" w:sz="0" w:space="0" w:color="auto"/>
          </w:divBdr>
          <w:divsChild>
            <w:div w:id="1990401910">
              <w:marLeft w:val="0"/>
              <w:marRight w:val="0"/>
              <w:marTop w:val="0"/>
              <w:marBottom w:val="0"/>
              <w:divBdr>
                <w:top w:val="none" w:sz="0" w:space="0" w:color="auto"/>
                <w:left w:val="none" w:sz="0" w:space="0" w:color="auto"/>
                <w:bottom w:val="none" w:sz="0" w:space="0" w:color="auto"/>
                <w:right w:val="none" w:sz="0" w:space="0" w:color="auto"/>
              </w:divBdr>
              <w:divsChild>
                <w:div w:id="93787667">
                  <w:marLeft w:val="0"/>
                  <w:marRight w:val="0"/>
                  <w:marTop w:val="0"/>
                  <w:marBottom w:val="0"/>
                  <w:divBdr>
                    <w:top w:val="none" w:sz="0" w:space="0" w:color="auto"/>
                    <w:left w:val="none" w:sz="0" w:space="0" w:color="auto"/>
                    <w:bottom w:val="none" w:sz="0" w:space="0" w:color="auto"/>
                    <w:right w:val="none" w:sz="0" w:space="0" w:color="auto"/>
                  </w:divBdr>
                </w:div>
              </w:divsChild>
            </w:div>
            <w:div w:id="892735402">
              <w:marLeft w:val="0"/>
              <w:marRight w:val="0"/>
              <w:marTop w:val="0"/>
              <w:marBottom w:val="0"/>
              <w:divBdr>
                <w:top w:val="none" w:sz="0" w:space="0" w:color="auto"/>
                <w:left w:val="none" w:sz="0" w:space="0" w:color="auto"/>
                <w:bottom w:val="none" w:sz="0" w:space="0" w:color="auto"/>
                <w:right w:val="none" w:sz="0" w:space="0" w:color="auto"/>
              </w:divBdr>
              <w:divsChild>
                <w:div w:id="34297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394228">
          <w:marLeft w:val="0"/>
          <w:marRight w:val="0"/>
          <w:marTop w:val="0"/>
          <w:marBottom w:val="0"/>
          <w:divBdr>
            <w:top w:val="none" w:sz="0" w:space="0" w:color="auto"/>
            <w:left w:val="none" w:sz="0" w:space="0" w:color="auto"/>
            <w:bottom w:val="none" w:sz="0" w:space="0" w:color="auto"/>
            <w:right w:val="none" w:sz="0" w:space="0" w:color="auto"/>
          </w:divBdr>
          <w:divsChild>
            <w:div w:id="1537697699">
              <w:marLeft w:val="0"/>
              <w:marRight w:val="0"/>
              <w:marTop w:val="0"/>
              <w:marBottom w:val="0"/>
              <w:divBdr>
                <w:top w:val="none" w:sz="0" w:space="0" w:color="auto"/>
                <w:left w:val="none" w:sz="0" w:space="0" w:color="auto"/>
                <w:bottom w:val="none" w:sz="0" w:space="0" w:color="auto"/>
                <w:right w:val="none" w:sz="0" w:space="0" w:color="auto"/>
              </w:divBdr>
              <w:divsChild>
                <w:div w:id="1708024274">
                  <w:marLeft w:val="0"/>
                  <w:marRight w:val="0"/>
                  <w:marTop w:val="0"/>
                  <w:marBottom w:val="0"/>
                  <w:divBdr>
                    <w:top w:val="none" w:sz="0" w:space="0" w:color="auto"/>
                    <w:left w:val="none" w:sz="0" w:space="0" w:color="auto"/>
                    <w:bottom w:val="none" w:sz="0" w:space="0" w:color="auto"/>
                    <w:right w:val="none" w:sz="0" w:space="0" w:color="auto"/>
                  </w:divBdr>
                </w:div>
              </w:divsChild>
            </w:div>
            <w:div w:id="2093621561">
              <w:marLeft w:val="0"/>
              <w:marRight w:val="0"/>
              <w:marTop w:val="0"/>
              <w:marBottom w:val="0"/>
              <w:divBdr>
                <w:top w:val="none" w:sz="0" w:space="0" w:color="auto"/>
                <w:left w:val="none" w:sz="0" w:space="0" w:color="auto"/>
                <w:bottom w:val="none" w:sz="0" w:space="0" w:color="auto"/>
                <w:right w:val="none" w:sz="0" w:space="0" w:color="auto"/>
              </w:divBdr>
              <w:divsChild>
                <w:div w:id="211697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661919">
          <w:marLeft w:val="0"/>
          <w:marRight w:val="0"/>
          <w:marTop w:val="0"/>
          <w:marBottom w:val="0"/>
          <w:divBdr>
            <w:top w:val="none" w:sz="0" w:space="0" w:color="auto"/>
            <w:left w:val="none" w:sz="0" w:space="0" w:color="auto"/>
            <w:bottom w:val="none" w:sz="0" w:space="0" w:color="auto"/>
            <w:right w:val="none" w:sz="0" w:space="0" w:color="auto"/>
          </w:divBdr>
          <w:divsChild>
            <w:div w:id="1053776640">
              <w:marLeft w:val="0"/>
              <w:marRight w:val="0"/>
              <w:marTop w:val="0"/>
              <w:marBottom w:val="0"/>
              <w:divBdr>
                <w:top w:val="none" w:sz="0" w:space="0" w:color="auto"/>
                <w:left w:val="none" w:sz="0" w:space="0" w:color="auto"/>
                <w:bottom w:val="none" w:sz="0" w:space="0" w:color="auto"/>
                <w:right w:val="none" w:sz="0" w:space="0" w:color="auto"/>
              </w:divBdr>
              <w:divsChild>
                <w:div w:id="1648706419">
                  <w:marLeft w:val="0"/>
                  <w:marRight w:val="0"/>
                  <w:marTop w:val="0"/>
                  <w:marBottom w:val="0"/>
                  <w:divBdr>
                    <w:top w:val="none" w:sz="0" w:space="0" w:color="auto"/>
                    <w:left w:val="none" w:sz="0" w:space="0" w:color="auto"/>
                    <w:bottom w:val="none" w:sz="0" w:space="0" w:color="auto"/>
                    <w:right w:val="none" w:sz="0" w:space="0" w:color="auto"/>
                  </w:divBdr>
                </w:div>
              </w:divsChild>
            </w:div>
            <w:div w:id="379138745">
              <w:marLeft w:val="0"/>
              <w:marRight w:val="0"/>
              <w:marTop w:val="0"/>
              <w:marBottom w:val="0"/>
              <w:divBdr>
                <w:top w:val="none" w:sz="0" w:space="0" w:color="auto"/>
                <w:left w:val="none" w:sz="0" w:space="0" w:color="auto"/>
                <w:bottom w:val="none" w:sz="0" w:space="0" w:color="auto"/>
                <w:right w:val="none" w:sz="0" w:space="0" w:color="auto"/>
              </w:divBdr>
              <w:divsChild>
                <w:div w:id="84254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568531">
          <w:marLeft w:val="0"/>
          <w:marRight w:val="0"/>
          <w:marTop w:val="0"/>
          <w:marBottom w:val="0"/>
          <w:divBdr>
            <w:top w:val="none" w:sz="0" w:space="0" w:color="auto"/>
            <w:left w:val="none" w:sz="0" w:space="0" w:color="auto"/>
            <w:bottom w:val="none" w:sz="0" w:space="0" w:color="auto"/>
            <w:right w:val="none" w:sz="0" w:space="0" w:color="auto"/>
          </w:divBdr>
          <w:divsChild>
            <w:div w:id="1149322075">
              <w:marLeft w:val="0"/>
              <w:marRight w:val="0"/>
              <w:marTop w:val="0"/>
              <w:marBottom w:val="0"/>
              <w:divBdr>
                <w:top w:val="none" w:sz="0" w:space="0" w:color="auto"/>
                <w:left w:val="none" w:sz="0" w:space="0" w:color="auto"/>
                <w:bottom w:val="none" w:sz="0" w:space="0" w:color="auto"/>
                <w:right w:val="none" w:sz="0" w:space="0" w:color="auto"/>
              </w:divBdr>
              <w:divsChild>
                <w:div w:id="2074504768">
                  <w:marLeft w:val="0"/>
                  <w:marRight w:val="0"/>
                  <w:marTop w:val="0"/>
                  <w:marBottom w:val="0"/>
                  <w:divBdr>
                    <w:top w:val="none" w:sz="0" w:space="0" w:color="auto"/>
                    <w:left w:val="none" w:sz="0" w:space="0" w:color="auto"/>
                    <w:bottom w:val="none" w:sz="0" w:space="0" w:color="auto"/>
                    <w:right w:val="none" w:sz="0" w:space="0" w:color="auto"/>
                  </w:divBdr>
                </w:div>
              </w:divsChild>
            </w:div>
            <w:div w:id="905914936">
              <w:marLeft w:val="0"/>
              <w:marRight w:val="0"/>
              <w:marTop w:val="0"/>
              <w:marBottom w:val="0"/>
              <w:divBdr>
                <w:top w:val="none" w:sz="0" w:space="0" w:color="auto"/>
                <w:left w:val="none" w:sz="0" w:space="0" w:color="auto"/>
                <w:bottom w:val="none" w:sz="0" w:space="0" w:color="auto"/>
                <w:right w:val="none" w:sz="0" w:space="0" w:color="auto"/>
              </w:divBdr>
              <w:divsChild>
                <w:div w:id="36210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26549">
          <w:marLeft w:val="0"/>
          <w:marRight w:val="0"/>
          <w:marTop w:val="0"/>
          <w:marBottom w:val="0"/>
          <w:divBdr>
            <w:top w:val="none" w:sz="0" w:space="0" w:color="auto"/>
            <w:left w:val="none" w:sz="0" w:space="0" w:color="auto"/>
            <w:bottom w:val="none" w:sz="0" w:space="0" w:color="auto"/>
            <w:right w:val="none" w:sz="0" w:space="0" w:color="auto"/>
          </w:divBdr>
          <w:divsChild>
            <w:div w:id="410201119">
              <w:marLeft w:val="0"/>
              <w:marRight w:val="0"/>
              <w:marTop w:val="0"/>
              <w:marBottom w:val="0"/>
              <w:divBdr>
                <w:top w:val="none" w:sz="0" w:space="0" w:color="auto"/>
                <w:left w:val="none" w:sz="0" w:space="0" w:color="auto"/>
                <w:bottom w:val="none" w:sz="0" w:space="0" w:color="auto"/>
                <w:right w:val="none" w:sz="0" w:space="0" w:color="auto"/>
              </w:divBdr>
              <w:divsChild>
                <w:div w:id="1365907165">
                  <w:marLeft w:val="0"/>
                  <w:marRight w:val="0"/>
                  <w:marTop w:val="0"/>
                  <w:marBottom w:val="0"/>
                  <w:divBdr>
                    <w:top w:val="none" w:sz="0" w:space="0" w:color="auto"/>
                    <w:left w:val="none" w:sz="0" w:space="0" w:color="auto"/>
                    <w:bottom w:val="none" w:sz="0" w:space="0" w:color="auto"/>
                    <w:right w:val="none" w:sz="0" w:space="0" w:color="auto"/>
                  </w:divBdr>
                </w:div>
              </w:divsChild>
            </w:div>
            <w:div w:id="1757896681">
              <w:marLeft w:val="0"/>
              <w:marRight w:val="0"/>
              <w:marTop w:val="0"/>
              <w:marBottom w:val="0"/>
              <w:divBdr>
                <w:top w:val="none" w:sz="0" w:space="0" w:color="auto"/>
                <w:left w:val="none" w:sz="0" w:space="0" w:color="auto"/>
                <w:bottom w:val="none" w:sz="0" w:space="0" w:color="auto"/>
                <w:right w:val="none" w:sz="0" w:space="0" w:color="auto"/>
              </w:divBdr>
              <w:divsChild>
                <w:div w:id="60315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189549">
          <w:marLeft w:val="0"/>
          <w:marRight w:val="0"/>
          <w:marTop w:val="0"/>
          <w:marBottom w:val="0"/>
          <w:divBdr>
            <w:top w:val="none" w:sz="0" w:space="0" w:color="auto"/>
            <w:left w:val="none" w:sz="0" w:space="0" w:color="auto"/>
            <w:bottom w:val="none" w:sz="0" w:space="0" w:color="auto"/>
            <w:right w:val="none" w:sz="0" w:space="0" w:color="auto"/>
          </w:divBdr>
          <w:divsChild>
            <w:div w:id="1347903118">
              <w:marLeft w:val="0"/>
              <w:marRight w:val="0"/>
              <w:marTop w:val="0"/>
              <w:marBottom w:val="0"/>
              <w:divBdr>
                <w:top w:val="none" w:sz="0" w:space="0" w:color="auto"/>
                <w:left w:val="none" w:sz="0" w:space="0" w:color="auto"/>
                <w:bottom w:val="none" w:sz="0" w:space="0" w:color="auto"/>
                <w:right w:val="none" w:sz="0" w:space="0" w:color="auto"/>
              </w:divBdr>
              <w:divsChild>
                <w:div w:id="1782067506">
                  <w:marLeft w:val="0"/>
                  <w:marRight w:val="0"/>
                  <w:marTop w:val="0"/>
                  <w:marBottom w:val="0"/>
                  <w:divBdr>
                    <w:top w:val="none" w:sz="0" w:space="0" w:color="auto"/>
                    <w:left w:val="none" w:sz="0" w:space="0" w:color="auto"/>
                    <w:bottom w:val="none" w:sz="0" w:space="0" w:color="auto"/>
                    <w:right w:val="none" w:sz="0" w:space="0" w:color="auto"/>
                  </w:divBdr>
                </w:div>
              </w:divsChild>
            </w:div>
            <w:div w:id="73170111">
              <w:marLeft w:val="0"/>
              <w:marRight w:val="0"/>
              <w:marTop w:val="0"/>
              <w:marBottom w:val="0"/>
              <w:divBdr>
                <w:top w:val="none" w:sz="0" w:space="0" w:color="auto"/>
                <w:left w:val="none" w:sz="0" w:space="0" w:color="auto"/>
                <w:bottom w:val="none" w:sz="0" w:space="0" w:color="auto"/>
                <w:right w:val="none" w:sz="0" w:space="0" w:color="auto"/>
              </w:divBdr>
              <w:divsChild>
                <w:div w:id="41937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422328">
          <w:marLeft w:val="0"/>
          <w:marRight w:val="0"/>
          <w:marTop w:val="0"/>
          <w:marBottom w:val="0"/>
          <w:divBdr>
            <w:top w:val="none" w:sz="0" w:space="0" w:color="auto"/>
            <w:left w:val="none" w:sz="0" w:space="0" w:color="auto"/>
            <w:bottom w:val="none" w:sz="0" w:space="0" w:color="auto"/>
            <w:right w:val="none" w:sz="0" w:space="0" w:color="auto"/>
          </w:divBdr>
          <w:divsChild>
            <w:div w:id="1618413033">
              <w:marLeft w:val="0"/>
              <w:marRight w:val="0"/>
              <w:marTop w:val="0"/>
              <w:marBottom w:val="0"/>
              <w:divBdr>
                <w:top w:val="none" w:sz="0" w:space="0" w:color="auto"/>
                <w:left w:val="none" w:sz="0" w:space="0" w:color="auto"/>
                <w:bottom w:val="none" w:sz="0" w:space="0" w:color="auto"/>
                <w:right w:val="none" w:sz="0" w:space="0" w:color="auto"/>
              </w:divBdr>
              <w:divsChild>
                <w:div w:id="424957997">
                  <w:marLeft w:val="0"/>
                  <w:marRight w:val="0"/>
                  <w:marTop w:val="0"/>
                  <w:marBottom w:val="0"/>
                  <w:divBdr>
                    <w:top w:val="none" w:sz="0" w:space="0" w:color="auto"/>
                    <w:left w:val="none" w:sz="0" w:space="0" w:color="auto"/>
                    <w:bottom w:val="none" w:sz="0" w:space="0" w:color="auto"/>
                    <w:right w:val="none" w:sz="0" w:space="0" w:color="auto"/>
                  </w:divBdr>
                </w:div>
              </w:divsChild>
            </w:div>
            <w:div w:id="610626850">
              <w:marLeft w:val="0"/>
              <w:marRight w:val="0"/>
              <w:marTop w:val="0"/>
              <w:marBottom w:val="0"/>
              <w:divBdr>
                <w:top w:val="none" w:sz="0" w:space="0" w:color="auto"/>
                <w:left w:val="none" w:sz="0" w:space="0" w:color="auto"/>
                <w:bottom w:val="none" w:sz="0" w:space="0" w:color="auto"/>
                <w:right w:val="none" w:sz="0" w:space="0" w:color="auto"/>
              </w:divBdr>
              <w:divsChild>
                <w:div w:id="139724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496862">
      <w:bodyDiv w:val="1"/>
      <w:marLeft w:val="0"/>
      <w:marRight w:val="0"/>
      <w:marTop w:val="0"/>
      <w:marBottom w:val="0"/>
      <w:divBdr>
        <w:top w:val="none" w:sz="0" w:space="0" w:color="auto"/>
        <w:left w:val="none" w:sz="0" w:space="0" w:color="auto"/>
        <w:bottom w:val="none" w:sz="0" w:space="0" w:color="auto"/>
        <w:right w:val="none" w:sz="0" w:space="0" w:color="auto"/>
      </w:divBdr>
      <w:divsChild>
        <w:div w:id="133718645">
          <w:marLeft w:val="0"/>
          <w:marRight w:val="0"/>
          <w:marTop w:val="120"/>
          <w:marBottom w:val="120"/>
          <w:divBdr>
            <w:top w:val="none" w:sz="0" w:space="0" w:color="auto"/>
            <w:left w:val="none" w:sz="0" w:space="0" w:color="auto"/>
            <w:bottom w:val="none" w:sz="0" w:space="0" w:color="auto"/>
            <w:right w:val="none" w:sz="0" w:space="0" w:color="auto"/>
          </w:divBdr>
        </w:div>
      </w:divsChild>
    </w:div>
    <w:div w:id="1500995976">
      <w:bodyDiv w:val="1"/>
      <w:marLeft w:val="0"/>
      <w:marRight w:val="0"/>
      <w:marTop w:val="0"/>
      <w:marBottom w:val="0"/>
      <w:divBdr>
        <w:top w:val="none" w:sz="0" w:space="0" w:color="auto"/>
        <w:left w:val="none" w:sz="0" w:space="0" w:color="auto"/>
        <w:bottom w:val="none" w:sz="0" w:space="0" w:color="auto"/>
        <w:right w:val="none" w:sz="0" w:space="0" w:color="auto"/>
      </w:divBdr>
      <w:divsChild>
        <w:div w:id="1328437662">
          <w:marLeft w:val="0"/>
          <w:marRight w:val="0"/>
          <w:marTop w:val="120"/>
          <w:marBottom w:val="120"/>
          <w:divBdr>
            <w:top w:val="none" w:sz="0" w:space="0" w:color="auto"/>
            <w:left w:val="none" w:sz="0" w:space="0" w:color="auto"/>
            <w:bottom w:val="none" w:sz="0" w:space="0" w:color="auto"/>
            <w:right w:val="none" w:sz="0" w:space="0" w:color="auto"/>
          </w:divBdr>
        </w:div>
        <w:div w:id="899824838">
          <w:marLeft w:val="0"/>
          <w:marRight w:val="0"/>
          <w:marTop w:val="120"/>
          <w:marBottom w:val="120"/>
          <w:divBdr>
            <w:top w:val="none" w:sz="0" w:space="0" w:color="auto"/>
            <w:left w:val="none" w:sz="0" w:space="0" w:color="auto"/>
            <w:bottom w:val="none" w:sz="0" w:space="0" w:color="auto"/>
            <w:right w:val="none" w:sz="0" w:space="0" w:color="auto"/>
          </w:divBdr>
        </w:div>
        <w:div w:id="36513202">
          <w:marLeft w:val="0"/>
          <w:marRight w:val="0"/>
          <w:marTop w:val="120"/>
          <w:marBottom w:val="120"/>
          <w:divBdr>
            <w:top w:val="none" w:sz="0" w:space="0" w:color="auto"/>
            <w:left w:val="none" w:sz="0" w:space="0" w:color="auto"/>
            <w:bottom w:val="none" w:sz="0" w:space="0" w:color="auto"/>
            <w:right w:val="none" w:sz="0" w:space="0" w:color="auto"/>
          </w:divBdr>
        </w:div>
        <w:div w:id="643586276">
          <w:marLeft w:val="0"/>
          <w:marRight w:val="0"/>
          <w:marTop w:val="120"/>
          <w:marBottom w:val="120"/>
          <w:divBdr>
            <w:top w:val="none" w:sz="0" w:space="0" w:color="auto"/>
            <w:left w:val="none" w:sz="0" w:space="0" w:color="auto"/>
            <w:bottom w:val="none" w:sz="0" w:space="0" w:color="auto"/>
            <w:right w:val="none" w:sz="0" w:space="0" w:color="auto"/>
          </w:divBdr>
        </w:div>
        <w:div w:id="1473324537">
          <w:marLeft w:val="0"/>
          <w:marRight w:val="0"/>
          <w:marTop w:val="120"/>
          <w:marBottom w:val="120"/>
          <w:divBdr>
            <w:top w:val="none" w:sz="0" w:space="0" w:color="auto"/>
            <w:left w:val="none" w:sz="0" w:space="0" w:color="auto"/>
            <w:bottom w:val="none" w:sz="0" w:space="0" w:color="auto"/>
            <w:right w:val="none" w:sz="0" w:space="0" w:color="auto"/>
          </w:divBdr>
        </w:div>
        <w:div w:id="1410037733">
          <w:marLeft w:val="0"/>
          <w:marRight w:val="0"/>
          <w:marTop w:val="120"/>
          <w:marBottom w:val="120"/>
          <w:divBdr>
            <w:top w:val="none" w:sz="0" w:space="0" w:color="auto"/>
            <w:left w:val="none" w:sz="0" w:space="0" w:color="auto"/>
            <w:bottom w:val="none" w:sz="0" w:space="0" w:color="auto"/>
            <w:right w:val="none" w:sz="0" w:space="0" w:color="auto"/>
          </w:divBdr>
        </w:div>
        <w:div w:id="936400922">
          <w:marLeft w:val="0"/>
          <w:marRight w:val="0"/>
          <w:marTop w:val="120"/>
          <w:marBottom w:val="120"/>
          <w:divBdr>
            <w:top w:val="none" w:sz="0" w:space="0" w:color="auto"/>
            <w:left w:val="none" w:sz="0" w:space="0" w:color="auto"/>
            <w:bottom w:val="none" w:sz="0" w:space="0" w:color="auto"/>
            <w:right w:val="none" w:sz="0" w:space="0" w:color="auto"/>
          </w:divBdr>
        </w:div>
        <w:div w:id="230967886">
          <w:marLeft w:val="0"/>
          <w:marRight w:val="0"/>
          <w:marTop w:val="120"/>
          <w:marBottom w:val="120"/>
          <w:divBdr>
            <w:top w:val="none" w:sz="0" w:space="0" w:color="auto"/>
            <w:left w:val="none" w:sz="0" w:space="0" w:color="auto"/>
            <w:bottom w:val="none" w:sz="0" w:space="0" w:color="auto"/>
            <w:right w:val="none" w:sz="0" w:space="0" w:color="auto"/>
          </w:divBdr>
        </w:div>
        <w:div w:id="540283817">
          <w:marLeft w:val="0"/>
          <w:marRight w:val="0"/>
          <w:marTop w:val="120"/>
          <w:marBottom w:val="120"/>
          <w:divBdr>
            <w:top w:val="none" w:sz="0" w:space="0" w:color="auto"/>
            <w:left w:val="none" w:sz="0" w:space="0" w:color="auto"/>
            <w:bottom w:val="none" w:sz="0" w:space="0" w:color="auto"/>
            <w:right w:val="none" w:sz="0" w:space="0" w:color="auto"/>
          </w:divBdr>
        </w:div>
      </w:divsChild>
    </w:div>
    <w:div w:id="1512988584">
      <w:bodyDiv w:val="1"/>
      <w:marLeft w:val="0"/>
      <w:marRight w:val="0"/>
      <w:marTop w:val="0"/>
      <w:marBottom w:val="0"/>
      <w:divBdr>
        <w:top w:val="none" w:sz="0" w:space="0" w:color="auto"/>
        <w:left w:val="none" w:sz="0" w:space="0" w:color="auto"/>
        <w:bottom w:val="none" w:sz="0" w:space="0" w:color="auto"/>
        <w:right w:val="none" w:sz="0" w:space="0" w:color="auto"/>
      </w:divBdr>
      <w:divsChild>
        <w:div w:id="1207377207">
          <w:marLeft w:val="0"/>
          <w:marRight w:val="0"/>
          <w:marTop w:val="120"/>
          <w:marBottom w:val="120"/>
          <w:divBdr>
            <w:top w:val="none" w:sz="0" w:space="0" w:color="auto"/>
            <w:left w:val="none" w:sz="0" w:space="0" w:color="auto"/>
            <w:bottom w:val="none" w:sz="0" w:space="0" w:color="auto"/>
            <w:right w:val="none" w:sz="0" w:space="0" w:color="auto"/>
          </w:divBdr>
        </w:div>
        <w:div w:id="1752894448">
          <w:marLeft w:val="0"/>
          <w:marRight w:val="0"/>
          <w:marTop w:val="120"/>
          <w:marBottom w:val="120"/>
          <w:divBdr>
            <w:top w:val="none" w:sz="0" w:space="0" w:color="auto"/>
            <w:left w:val="none" w:sz="0" w:space="0" w:color="auto"/>
            <w:bottom w:val="none" w:sz="0" w:space="0" w:color="auto"/>
            <w:right w:val="none" w:sz="0" w:space="0" w:color="auto"/>
          </w:divBdr>
        </w:div>
        <w:div w:id="209419669">
          <w:marLeft w:val="0"/>
          <w:marRight w:val="0"/>
          <w:marTop w:val="120"/>
          <w:marBottom w:val="120"/>
          <w:divBdr>
            <w:top w:val="none" w:sz="0" w:space="0" w:color="auto"/>
            <w:left w:val="none" w:sz="0" w:space="0" w:color="auto"/>
            <w:bottom w:val="none" w:sz="0" w:space="0" w:color="auto"/>
            <w:right w:val="none" w:sz="0" w:space="0" w:color="auto"/>
          </w:divBdr>
        </w:div>
      </w:divsChild>
    </w:div>
    <w:div w:id="1536042145">
      <w:bodyDiv w:val="1"/>
      <w:marLeft w:val="0"/>
      <w:marRight w:val="0"/>
      <w:marTop w:val="0"/>
      <w:marBottom w:val="0"/>
      <w:divBdr>
        <w:top w:val="none" w:sz="0" w:space="0" w:color="auto"/>
        <w:left w:val="none" w:sz="0" w:space="0" w:color="auto"/>
        <w:bottom w:val="none" w:sz="0" w:space="0" w:color="auto"/>
        <w:right w:val="none" w:sz="0" w:space="0" w:color="auto"/>
      </w:divBdr>
      <w:divsChild>
        <w:div w:id="1938058301">
          <w:marLeft w:val="0"/>
          <w:marRight w:val="0"/>
          <w:marTop w:val="120"/>
          <w:marBottom w:val="120"/>
          <w:divBdr>
            <w:top w:val="none" w:sz="0" w:space="0" w:color="auto"/>
            <w:left w:val="none" w:sz="0" w:space="0" w:color="auto"/>
            <w:bottom w:val="none" w:sz="0" w:space="0" w:color="auto"/>
            <w:right w:val="none" w:sz="0" w:space="0" w:color="auto"/>
          </w:divBdr>
        </w:div>
        <w:div w:id="8411351">
          <w:marLeft w:val="0"/>
          <w:marRight w:val="0"/>
          <w:marTop w:val="120"/>
          <w:marBottom w:val="120"/>
          <w:divBdr>
            <w:top w:val="none" w:sz="0" w:space="0" w:color="auto"/>
            <w:left w:val="none" w:sz="0" w:space="0" w:color="auto"/>
            <w:bottom w:val="none" w:sz="0" w:space="0" w:color="auto"/>
            <w:right w:val="none" w:sz="0" w:space="0" w:color="auto"/>
          </w:divBdr>
        </w:div>
      </w:divsChild>
    </w:div>
    <w:div w:id="1542982928">
      <w:bodyDiv w:val="1"/>
      <w:marLeft w:val="0"/>
      <w:marRight w:val="0"/>
      <w:marTop w:val="0"/>
      <w:marBottom w:val="0"/>
      <w:divBdr>
        <w:top w:val="none" w:sz="0" w:space="0" w:color="auto"/>
        <w:left w:val="none" w:sz="0" w:space="0" w:color="auto"/>
        <w:bottom w:val="none" w:sz="0" w:space="0" w:color="auto"/>
        <w:right w:val="none" w:sz="0" w:space="0" w:color="auto"/>
      </w:divBdr>
      <w:divsChild>
        <w:div w:id="1027101379">
          <w:marLeft w:val="0"/>
          <w:marRight w:val="0"/>
          <w:marTop w:val="120"/>
          <w:marBottom w:val="120"/>
          <w:divBdr>
            <w:top w:val="none" w:sz="0" w:space="0" w:color="auto"/>
            <w:left w:val="none" w:sz="0" w:space="0" w:color="auto"/>
            <w:bottom w:val="none" w:sz="0" w:space="0" w:color="auto"/>
            <w:right w:val="none" w:sz="0" w:space="0" w:color="auto"/>
          </w:divBdr>
        </w:div>
        <w:div w:id="581182861">
          <w:marLeft w:val="0"/>
          <w:marRight w:val="0"/>
          <w:marTop w:val="120"/>
          <w:marBottom w:val="120"/>
          <w:divBdr>
            <w:top w:val="none" w:sz="0" w:space="0" w:color="auto"/>
            <w:left w:val="none" w:sz="0" w:space="0" w:color="auto"/>
            <w:bottom w:val="none" w:sz="0" w:space="0" w:color="auto"/>
            <w:right w:val="none" w:sz="0" w:space="0" w:color="auto"/>
          </w:divBdr>
        </w:div>
        <w:div w:id="519055295">
          <w:marLeft w:val="0"/>
          <w:marRight w:val="0"/>
          <w:marTop w:val="120"/>
          <w:marBottom w:val="120"/>
          <w:divBdr>
            <w:top w:val="none" w:sz="0" w:space="0" w:color="auto"/>
            <w:left w:val="none" w:sz="0" w:space="0" w:color="auto"/>
            <w:bottom w:val="none" w:sz="0" w:space="0" w:color="auto"/>
            <w:right w:val="none" w:sz="0" w:space="0" w:color="auto"/>
          </w:divBdr>
        </w:div>
      </w:divsChild>
    </w:div>
    <w:div w:id="1694651636">
      <w:bodyDiv w:val="1"/>
      <w:marLeft w:val="0"/>
      <w:marRight w:val="0"/>
      <w:marTop w:val="0"/>
      <w:marBottom w:val="0"/>
      <w:divBdr>
        <w:top w:val="none" w:sz="0" w:space="0" w:color="auto"/>
        <w:left w:val="none" w:sz="0" w:space="0" w:color="auto"/>
        <w:bottom w:val="none" w:sz="0" w:space="0" w:color="auto"/>
        <w:right w:val="none" w:sz="0" w:space="0" w:color="auto"/>
      </w:divBdr>
      <w:divsChild>
        <w:div w:id="1298955477">
          <w:marLeft w:val="0"/>
          <w:marRight w:val="0"/>
          <w:marTop w:val="0"/>
          <w:marBottom w:val="0"/>
          <w:divBdr>
            <w:top w:val="none" w:sz="0" w:space="0" w:color="auto"/>
            <w:left w:val="none" w:sz="0" w:space="0" w:color="auto"/>
            <w:bottom w:val="none" w:sz="0" w:space="0" w:color="auto"/>
            <w:right w:val="none" w:sz="0" w:space="0" w:color="auto"/>
          </w:divBdr>
          <w:divsChild>
            <w:div w:id="624581119">
              <w:marLeft w:val="0"/>
              <w:marRight w:val="0"/>
              <w:marTop w:val="0"/>
              <w:marBottom w:val="0"/>
              <w:divBdr>
                <w:top w:val="none" w:sz="0" w:space="0" w:color="auto"/>
                <w:left w:val="none" w:sz="0" w:space="0" w:color="auto"/>
                <w:bottom w:val="none" w:sz="0" w:space="0" w:color="auto"/>
                <w:right w:val="none" w:sz="0" w:space="0" w:color="auto"/>
              </w:divBdr>
              <w:divsChild>
                <w:div w:id="1167550042">
                  <w:marLeft w:val="0"/>
                  <w:marRight w:val="0"/>
                  <w:marTop w:val="0"/>
                  <w:marBottom w:val="0"/>
                  <w:divBdr>
                    <w:top w:val="none" w:sz="0" w:space="0" w:color="auto"/>
                    <w:left w:val="none" w:sz="0" w:space="0" w:color="auto"/>
                    <w:bottom w:val="none" w:sz="0" w:space="0" w:color="auto"/>
                    <w:right w:val="none" w:sz="0" w:space="0" w:color="auto"/>
                  </w:divBdr>
                </w:div>
              </w:divsChild>
            </w:div>
            <w:div w:id="15468930">
              <w:marLeft w:val="0"/>
              <w:marRight w:val="0"/>
              <w:marTop w:val="0"/>
              <w:marBottom w:val="0"/>
              <w:divBdr>
                <w:top w:val="none" w:sz="0" w:space="0" w:color="auto"/>
                <w:left w:val="none" w:sz="0" w:space="0" w:color="auto"/>
                <w:bottom w:val="none" w:sz="0" w:space="0" w:color="auto"/>
                <w:right w:val="none" w:sz="0" w:space="0" w:color="auto"/>
              </w:divBdr>
              <w:divsChild>
                <w:div w:id="485704771">
                  <w:marLeft w:val="0"/>
                  <w:marRight w:val="0"/>
                  <w:marTop w:val="0"/>
                  <w:marBottom w:val="0"/>
                  <w:divBdr>
                    <w:top w:val="none" w:sz="0" w:space="0" w:color="auto"/>
                    <w:left w:val="none" w:sz="0" w:space="0" w:color="auto"/>
                    <w:bottom w:val="none" w:sz="0" w:space="0" w:color="auto"/>
                    <w:right w:val="none" w:sz="0" w:space="0" w:color="auto"/>
                  </w:divBdr>
                </w:div>
                <w:div w:id="168782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074653">
          <w:marLeft w:val="0"/>
          <w:marRight w:val="0"/>
          <w:marTop w:val="0"/>
          <w:marBottom w:val="0"/>
          <w:divBdr>
            <w:top w:val="none" w:sz="0" w:space="0" w:color="auto"/>
            <w:left w:val="none" w:sz="0" w:space="0" w:color="auto"/>
            <w:bottom w:val="none" w:sz="0" w:space="0" w:color="auto"/>
            <w:right w:val="none" w:sz="0" w:space="0" w:color="auto"/>
          </w:divBdr>
          <w:divsChild>
            <w:div w:id="2138909233">
              <w:marLeft w:val="0"/>
              <w:marRight w:val="0"/>
              <w:marTop w:val="0"/>
              <w:marBottom w:val="0"/>
              <w:divBdr>
                <w:top w:val="none" w:sz="0" w:space="0" w:color="auto"/>
                <w:left w:val="none" w:sz="0" w:space="0" w:color="auto"/>
                <w:bottom w:val="none" w:sz="0" w:space="0" w:color="auto"/>
                <w:right w:val="none" w:sz="0" w:space="0" w:color="auto"/>
              </w:divBdr>
              <w:divsChild>
                <w:div w:id="340815473">
                  <w:marLeft w:val="0"/>
                  <w:marRight w:val="0"/>
                  <w:marTop w:val="0"/>
                  <w:marBottom w:val="0"/>
                  <w:divBdr>
                    <w:top w:val="none" w:sz="0" w:space="0" w:color="auto"/>
                    <w:left w:val="none" w:sz="0" w:space="0" w:color="auto"/>
                    <w:bottom w:val="none" w:sz="0" w:space="0" w:color="auto"/>
                    <w:right w:val="none" w:sz="0" w:space="0" w:color="auto"/>
                  </w:divBdr>
                </w:div>
              </w:divsChild>
            </w:div>
            <w:div w:id="1868255754">
              <w:marLeft w:val="0"/>
              <w:marRight w:val="0"/>
              <w:marTop w:val="0"/>
              <w:marBottom w:val="0"/>
              <w:divBdr>
                <w:top w:val="none" w:sz="0" w:space="0" w:color="auto"/>
                <w:left w:val="none" w:sz="0" w:space="0" w:color="auto"/>
                <w:bottom w:val="none" w:sz="0" w:space="0" w:color="auto"/>
                <w:right w:val="none" w:sz="0" w:space="0" w:color="auto"/>
              </w:divBdr>
              <w:divsChild>
                <w:div w:id="90422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54025">
          <w:marLeft w:val="0"/>
          <w:marRight w:val="0"/>
          <w:marTop w:val="0"/>
          <w:marBottom w:val="0"/>
          <w:divBdr>
            <w:top w:val="none" w:sz="0" w:space="0" w:color="auto"/>
            <w:left w:val="none" w:sz="0" w:space="0" w:color="auto"/>
            <w:bottom w:val="none" w:sz="0" w:space="0" w:color="auto"/>
            <w:right w:val="none" w:sz="0" w:space="0" w:color="auto"/>
          </w:divBdr>
          <w:divsChild>
            <w:div w:id="1497497925">
              <w:marLeft w:val="0"/>
              <w:marRight w:val="0"/>
              <w:marTop w:val="0"/>
              <w:marBottom w:val="0"/>
              <w:divBdr>
                <w:top w:val="none" w:sz="0" w:space="0" w:color="auto"/>
                <w:left w:val="none" w:sz="0" w:space="0" w:color="auto"/>
                <w:bottom w:val="none" w:sz="0" w:space="0" w:color="auto"/>
                <w:right w:val="none" w:sz="0" w:space="0" w:color="auto"/>
              </w:divBdr>
              <w:divsChild>
                <w:div w:id="803281023">
                  <w:marLeft w:val="0"/>
                  <w:marRight w:val="0"/>
                  <w:marTop w:val="0"/>
                  <w:marBottom w:val="0"/>
                  <w:divBdr>
                    <w:top w:val="none" w:sz="0" w:space="0" w:color="auto"/>
                    <w:left w:val="none" w:sz="0" w:space="0" w:color="auto"/>
                    <w:bottom w:val="none" w:sz="0" w:space="0" w:color="auto"/>
                    <w:right w:val="none" w:sz="0" w:space="0" w:color="auto"/>
                  </w:divBdr>
                </w:div>
              </w:divsChild>
            </w:div>
            <w:div w:id="453452829">
              <w:marLeft w:val="0"/>
              <w:marRight w:val="0"/>
              <w:marTop w:val="0"/>
              <w:marBottom w:val="0"/>
              <w:divBdr>
                <w:top w:val="none" w:sz="0" w:space="0" w:color="auto"/>
                <w:left w:val="none" w:sz="0" w:space="0" w:color="auto"/>
                <w:bottom w:val="none" w:sz="0" w:space="0" w:color="auto"/>
                <w:right w:val="none" w:sz="0" w:space="0" w:color="auto"/>
              </w:divBdr>
              <w:divsChild>
                <w:div w:id="1307399201">
                  <w:marLeft w:val="0"/>
                  <w:marRight w:val="0"/>
                  <w:marTop w:val="0"/>
                  <w:marBottom w:val="0"/>
                  <w:divBdr>
                    <w:top w:val="none" w:sz="0" w:space="0" w:color="auto"/>
                    <w:left w:val="none" w:sz="0" w:space="0" w:color="auto"/>
                    <w:bottom w:val="none" w:sz="0" w:space="0" w:color="auto"/>
                    <w:right w:val="none" w:sz="0" w:space="0" w:color="auto"/>
                  </w:divBdr>
                </w:div>
                <w:div w:id="184753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25087">
          <w:marLeft w:val="0"/>
          <w:marRight w:val="0"/>
          <w:marTop w:val="0"/>
          <w:marBottom w:val="0"/>
          <w:divBdr>
            <w:top w:val="none" w:sz="0" w:space="0" w:color="auto"/>
            <w:left w:val="none" w:sz="0" w:space="0" w:color="auto"/>
            <w:bottom w:val="none" w:sz="0" w:space="0" w:color="auto"/>
            <w:right w:val="none" w:sz="0" w:space="0" w:color="auto"/>
          </w:divBdr>
          <w:divsChild>
            <w:div w:id="1906991145">
              <w:marLeft w:val="0"/>
              <w:marRight w:val="0"/>
              <w:marTop w:val="0"/>
              <w:marBottom w:val="0"/>
              <w:divBdr>
                <w:top w:val="none" w:sz="0" w:space="0" w:color="auto"/>
                <w:left w:val="none" w:sz="0" w:space="0" w:color="auto"/>
                <w:bottom w:val="none" w:sz="0" w:space="0" w:color="auto"/>
                <w:right w:val="none" w:sz="0" w:space="0" w:color="auto"/>
              </w:divBdr>
              <w:divsChild>
                <w:div w:id="2108233185">
                  <w:marLeft w:val="0"/>
                  <w:marRight w:val="0"/>
                  <w:marTop w:val="0"/>
                  <w:marBottom w:val="0"/>
                  <w:divBdr>
                    <w:top w:val="none" w:sz="0" w:space="0" w:color="auto"/>
                    <w:left w:val="none" w:sz="0" w:space="0" w:color="auto"/>
                    <w:bottom w:val="none" w:sz="0" w:space="0" w:color="auto"/>
                    <w:right w:val="none" w:sz="0" w:space="0" w:color="auto"/>
                  </w:divBdr>
                </w:div>
              </w:divsChild>
            </w:div>
            <w:div w:id="1842239541">
              <w:marLeft w:val="0"/>
              <w:marRight w:val="0"/>
              <w:marTop w:val="0"/>
              <w:marBottom w:val="0"/>
              <w:divBdr>
                <w:top w:val="none" w:sz="0" w:space="0" w:color="auto"/>
                <w:left w:val="none" w:sz="0" w:space="0" w:color="auto"/>
                <w:bottom w:val="none" w:sz="0" w:space="0" w:color="auto"/>
                <w:right w:val="none" w:sz="0" w:space="0" w:color="auto"/>
              </w:divBdr>
              <w:divsChild>
                <w:div w:id="1017998142">
                  <w:marLeft w:val="0"/>
                  <w:marRight w:val="0"/>
                  <w:marTop w:val="0"/>
                  <w:marBottom w:val="0"/>
                  <w:divBdr>
                    <w:top w:val="none" w:sz="0" w:space="0" w:color="auto"/>
                    <w:left w:val="none" w:sz="0" w:space="0" w:color="auto"/>
                    <w:bottom w:val="none" w:sz="0" w:space="0" w:color="auto"/>
                    <w:right w:val="none" w:sz="0" w:space="0" w:color="auto"/>
                  </w:divBdr>
                </w:div>
                <w:div w:id="138661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3068423">
          <w:marLeft w:val="0"/>
          <w:marRight w:val="0"/>
          <w:marTop w:val="0"/>
          <w:marBottom w:val="0"/>
          <w:divBdr>
            <w:top w:val="none" w:sz="0" w:space="0" w:color="auto"/>
            <w:left w:val="none" w:sz="0" w:space="0" w:color="auto"/>
            <w:bottom w:val="none" w:sz="0" w:space="0" w:color="auto"/>
            <w:right w:val="none" w:sz="0" w:space="0" w:color="auto"/>
          </w:divBdr>
          <w:divsChild>
            <w:div w:id="509608056">
              <w:marLeft w:val="0"/>
              <w:marRight w:val="0"/>
              <w:marTop w:val="0"/>
              <w:marBottom w:val="0"/>
              <w:divBdr>
                <w:top w:val="none" w:sz="0" w:space="0" w:color="auto"/>
                <w:left w:val="none" w:sz="0" w:space="0" w:color="auto"/>
                <w:bottom w:val="none" w:sz="0" w:space="0" w:color="auto"/>
                <w:right w:val="none" w:sz="0" w:space="0" w:color="auto"/>
              </w:divBdr>
              <w:divsChild>
                <w:div w:id="340859306">
                  <w:marLeft w:val="0"/>
                  <w:marRight w:val="0"/>
                  <w:marTop w:val="0"/>
                  <w:marBottom w:val="0"/>
                  <w:divBdr>
                    <w:top w:val="none" w:sz="0" w:space="0" w:color="auto"/>
                    <w:left w:val="none" w:sz="0" w:space="0" w:color="auto"/>
                    <w:bottom w:val="none" w:sz="0" w:space="0" w:color="auto"/>
                    <w:right w:val="none" w:sz="0" w:space="0" w:color="auto"/>
                  </w:divBdr>
                </w:div>
              </w:divsChild>
            </w:div>
            <w:div w:id="1208295920">
              <w:marLeft w:val="0"/>
              <w:marRight w:val="0"/>
              <w:marTop w:val="0"/>
              <w:marBottom w:val="0"/>
              <w:divBdr>
                <w:top w:val="none" w:sz="0" w:space="0" w:color="auto"/>
                <w:left w:val="none" w:sz="0" w:space="0" w:color="auto"/>
                <w:bottom w:val="none" w:sz="0" w:space="0" w:color="auto"/>
                <w:right w:val="none" w:sz="0" w:space="0" w:color="auto"/>
              </w:divBdr>
              <w:divsChild>
                <w:div w:id="10126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634753">
          <w:marLeft w:val="0"/>
          <w:marRight w:val="0"/>
          <w:marTop w:val="0"/>
          <w:marBottom w:val="0"/>
          <w:divBdr>
            <w:top w:val="none" w:sz="0" w:space="0" w:color="auto"/>
            <w:left w:val="none" w:sz="0" w:space="0" w:color="auto"/>
            <w:bottom w:val="none" w:sz="0" w:space="0" w:color="auto"/>
            <w:right w:val="none" w:sz="0" w:space="0" w:color="auto"/>
          </w:divBdr>
          <w:divsChild>
            <w:div w:id="230237044">
              <w:marLeft w:val="0"/>
              <w:marRight w:val="0"/>
              <w:marTop w:val="0"/>
              <w:marBottom w:val="0"/>
              <w:divBdr>
                <w:top w:val="none" w:sz="0" w:space="0" w:color="auto"/>
                <w:left w:val="none" w:sz="0" w:space="0" w:color="auto"/>
                <w:bottom w:val="none" w:sz="0" w:space="0" w:color="auto"/>
                <w:right w:val="none" w:sz="0" w:space="0" w:color="auto"/>
              </w:divBdr>
              <w:divsChild>
                <w:div w:id="647169909">
                  <w:marLeft w:val="0"/>
                  <w:marRight w:val="0"/>
                  <w:marTop w:val="0"/>
                  <w:marBottom w:val="0"/>
                  <w:divBdr>
                    <w:top w:val="none" w:sz="0" w:space="0" w:color="auto"/>
                    <w:left w:val="none" w:sz="0" w:space="0" w:color="auto"/>
                    <w:bottom w:val="none" w:sz="0" w:space="0" w:color="auto"/>
                    <w:right w:val="none" w:sz="0" w:space="0" w:color="auto"/>
                  </w:divBdr>
                </w:div>
              </w:divsChild>
            </w:div>
            <w:div w:id="1980766462">
              <w:marLeft w:val="0"/>
              <w:marRight w:val="0"/>
              <w:marTop w:val="0"/>
              <w:marBottom w:val="0"/>
              <w:divBdr>
                <w:top w:val="none" w:sz="0" w:space="0" w:color="auto"/>
                <w:left w:val="none" w:sz="0" w:space="0" w:color="auto"/>
                <w:bottom w:val="none" w:sz="0" w:space="0" w:color="auto"/>
                <w:right w:val="none" w:sz="0" w:space="0" w:color="auto"/>
              </w:divBdr>
              <w:divsChild>
                <w:div w:id="62134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936251">
          <w:marLeft w:val="0"/>
          <w:marRight w:val="0"/>
          <w:marTop w:val="0"/>
          <w:marBottom w:val="0"/>
          <w:divBdr>
            <w:top w:val="none" w:sz="0" w:space="0" w:color="auto"/>
            <w:left w:val="none" w:sz="0" w:space="0" w:color="auto"/>
            <w:bottom w:val="none" w:sz="0" w:space="0" w:color="auto"/>
            <w:right w:val="none" w:sz="0" w:space="0" w:color="auto"/>
          </w:divBdr>
          <w:divsChild>
            <w:div w:id="470907893">
              <w:marLeft w:val="0"/>
              <w:marRight w:val="0"/>
              <w:marTop w:val="0"/>
              <w:marBottom w:val="0"/>
              <w:divBdr>
                <w:top w:val="none" w:sz="0" w:space="0" w:color="auto"/>
                <w:left w:val="none" w:sz="0" w:space="0" w:color="auto"/>
                <w:bottom w:val="none" w:sz="0" w:space="0" w:color="auto"/>
                <w:right w:val="none" w:sz="0" w:space="0" w:color="auto"/>
              </w:divBdr>
              <w:divsChild>
                <w:div w:id="1984113854">
                  <w:marLeft w:val="0"/>
                  <w:marRight w:val="0"/>
                  <w:marTop w:val="0"/>
                  <w:marBottom w:val="0"/>
                  <w:divBdr>
                    <w:top w:val="none" w:sz="0" w:space="0" w:color="auto"/>
                    <w:left w:val="none" w:sz="0" w:space="0" w:color="auto"/>
                    <w:bottom w:val="none" w:sz="0" w:space="0" w:color="auto"/>
                    <w:right w:val="none" w:sz="0" w:space="0" w:color="auto"/>
                  </w:divBdr>
                </w:div>
              </w:divsChild>
            </w:div>
            <w:div w:id="1248416064">
              <w:marLeft w:val="0"/>
              <w:marRight w:val="0"/>
              <w:marTop w:val="0"/>
              <w:marBottom w:val="0"/>
              <w:divBdr>
                <w:top w:val="none" w:sz="0" w:space="0" w:color="auto"/>
                <w:left w:val="none" w:sz="0" w:space="0" w:color="auto"/>
                <w:bottom w:val="none" w:sz="0" w:space="0" w:color="auto"/>
                <w:right w:val="none" w:sz="0" w:space="0" w:color="auto"/>
              </w:divBdr>
              <w:divsChild>
                <w:div w:id="32317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615021">
          <w:marLeft w:val="0"/>
          <w:marRight w:val="0"/>
          <w:marTop w:val="0"/>
          <w:marBottom w:val="0"/>
          <w:divBdr>
            <w:top w:val="none" w:sz="0" w:space="0" w:color="auto"/>
            <w:left w:val="none" w:sz="0" w:space="0" w:color="auto"/>
            <w:bottom w:val="none" w:sz="0" w:space="0" w:color="auto"/>
            <w:right w:val="none" w:sz="0" w:space="0" w:color="auto"/>
          </w:divBdr>
          <w:divsChild>
            <w:div w:id="1108621347">
              <w:marLeft w:val="0"/>
              <w:marRight w:val="0"/>
              <w:marTop w:val="0"/>
              <w:marBottom w:val="0"/>
              <w:divBdr>
                <w:top w:val="none" w:sz="0" w:space="0" w:color="auto"/>
                <w:left w:val="none" w:sz="0" w:space="0" w:color="auto"/>
                <w:bottom w:val="none" w:sz="0" w:space="0" w:color="auto"/>
                <w:right w:val="none" w:sz="0" w:space="0" w:color="auto"/>
              </w:divBdr>
              <w:divsChild>
                <w:div w:id="638271064">
                  <w:marLeft w:val="0"/>
                  <w:marRight w:val="0"/>
                  <w:marTop w:val="0"/>
                  <w:marBottom w:val="0"/>
                  <w:divBdr>
                    <w:top w:val="none" w:sz="0" w:space="0" w:color="auto"/>
                    <w:left w:val="none" w:sz="0" w:space="0" w:color="auto"/>
                    <w:bottom w:val="none" w:sz="0" w:space="0" w:color="auto"/>
                    <w:right w:val="none" w:sz="0" w:space="0" w:color="auto"/>
                  </w:divBdr>
                </w:div>
              </w:divsChild>
            </w:div>
            <w:div w:id="683365096">
              <w:marLeft w:val="0"/>
              <w:marRight w:val="0"/>
              <w:marTop w:val="0"/>
              <w:marBottom w:val="0"/>
              <w:divBdr>
                <w:top w:val="none" w:sz="0" w:space="0" w:color="auto"/>
                <w:left w:val="none" w:sz="0" w:space="0" w:color="auto"/>
                <w:bottom w:val="none" w:sz="0" w:space="0" w:color="auto"/>
                <w:right w:val="none" w:sz="0" w:space="0" w:color="auto"/>
              </w:divBdr>
              <w:divsChild>
                <w:div w:id="55072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691577">
          <w:marLeft w:val="0"/>
          <w:marRight w:val="0"/>
          <w:marTop w:val="0"/>
          <w:marBottom w:val="0"/>
          <w:divBdr>
            <w:top w:val="none" w:sz="0" w:space="0" w:color="auto"/>
            <w:left w:val="none" w:sz="0" w:space="0" w:color="auto"/>
            <w:bottom w:val="none" w:sz="0" w:space="0" w:color="auto"/>
            <w:right w:val="none" w:sz="0" w:space="0" w:color="auto"/>
          </w:divBdr>
          <w:divsChild>
            <w:div w:id="1353729822">
              <w:marLeft w:val="0"/>
              <w:marRight w:val="0"/>
              <w:marTop w:val="0"/>
              <w:marBottom w:val="0"/>
              <w:divBdr>
                <w:top w:val="none" w:sz="0" w:space="0" w:color="auto"/>
                <w:left w:val="none" w:sz="0" w:space="0" w:color="auto"/>
                <w:bottom w:val="none" w:sz="0" w:space="0" w:color="auto"/>
                <w:right w:val="none" w:sz="0" w:space="0" w:color="auto"/>
              </w:divBdr>
              <w:divsChild>
                <w:div w:id="552470844">
                  <w:marLeft w:val="0"/>
                  <w:marRight w:val="0"/>
                  <w:marTop w:val="0"/>
                  <w:marBottom w:val="0"/>
                  <w:divBdr>
                    <w:top w:val="none" w:sz="0" w:space="0" w:color="auto"/>
                    <w:left w:val="none" w:sz="0" w:space="0" w:color="auto"/>
                    <w:bottom w:val="none" w:sz="0" w:space="0" w:color="auto"/>
                    <w:right w:val="none" w:sz="0" w:space="0" w:color="auto"/>
                  </w:divBdr>
                </w:div>
              </w:divsChild>
            </w:div>
            <w:div w:id="475536791">
              <w:marLeft w:val="0"/>
              <w:marRight w:val="0"/>
              <w:marTop w:val="0"/>
              <w:marBottom w:val="0"/>
              <w:divBdr>
                <w:top w:val="none" w:sz="0" w:space="0" w:color="auto"/>
                <w:left w:val="none" w:sz="0" w:space="0" w:color="auto"/>
                <w:bottom w:val="none" w:sz="0" w:space="0" w:color="auto"/>
                <w:right w:val="none" w:sz="0" w:space="0" w:color="auto"/>
              </w:divBdr>
              <w:divsChild>
                <w:div w:id="2038390247">
                  <w:marLeft w:val="0"/>
                  <w:marRight w:val="0"/>
                  <w:marTop w:val="0"/>
                  <w:marBottom w:val="0"/>
                  <w:divBdr>
                    <w:top w:val="none" w:sz="0" w:space="0" w:color="auto"/>
                    <w:left w:val="none" w:sz="0" w:space="0" w:color="auto"/>
                    <w:bottom w:val="none" w:sz="0" w:space="0" w:color="auto"/>
                    <w:right w:val="none" w:sz="0" w:space="0" w:color="auto"/>
                  </w:divBdr>
                </w:div>
                <w:div w:id="18810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327775">
      <w:bodyDiv w:val="1"/>
      <w:marLeft w:val="0"/>
      <w:marRight w:val="0"/>
      <w:marTop w:val="0"/>
      <w:marBottom w:val="0"/>
      <w:divBdr>
        <w:top w:val="none" w:sz="0" w:space="0" w:color="auto"/>
        <w:left w:val="none" w:sz="0" w:space="0" w:color="auto"/>
        <w:bottom w:val="none" w:sz="0" w:space="0" w:color="auto"/>
        <w:right w:val="none" w:sz="0" w:space="0" w:color="auto"/>
      </w:divBdr>
      <w:divsChild>
        <w:div w:id="11999978">
          <w:marLeft w:val="0"/>
          <w:marRight w:val="0"/>
          <w:marTop w:val="120"/>
          <w:marBottom w:val="120"/>
          <w:divBdr>
            <w:top w:val="none" w:sz="0" w:space="0" w:color="auto"/>
            <w:left w:val="none" w:sz="0" w:space="0" w:color="auto"/>
            <w:bottom w:val="none" w:sz="0" w:space="0" w:color="auto"/>
            <w:right w:val="none" w:sz="0" w:space="0" w:color="auto"/>
          </w:divBdr>
        </w:div>
        <w:div w:id="175727372">
          <w:marLeft w:val="0"/>
          <w:marRight w:val="0"/>
          <w:marTop w:val="120"/>
          <w:marBottom w:val="120"/>
          <w:divBdr>
            <w:top w:val="none" w:sz="0" w:space="0" w:color="auto"/>
            <w:left w:val="none" w:sz="0" w:space="0" w:color="auto"/>
            <w:bottom w:val="none" w:sz="0" w:space="0" w:color="auto"/>
            <w:right w:val="none" w:sz="0" w:space="0" w:color="auto"/>
          </w:divBdr>
        </w:div>
      </w:divsChild>
    </w:div>
    <w:div w:id="1814059944">
      <w:bodyDiv w:val="1"/>
      <w:marLeft w:val="0"/>
      <w:marRight w:val="0"/>
      <w:marTop w:val="0"/>
      <w:marBottom w:val="0"/>
      <w:divBdr>
        <w:top w:val="none" w:sz="0" w:space="0" w:color="auto"/>
        <w:left w:val="none" w:sz="0" w:space="0" w:color="auto"/>
        <w:bottom w:val="none" w:sz="0" w:space="0" w:color="auto"/>
        <w:right w:val="none" w:sz="0" w:space="0" w:color="auto"/>
      </w:divBdr>
      <w:divsChild>
        <w:div w:id="1106537486">
          <w:marLeft w:val="0"/>
          <w:marRight w:val="0"/>
          <w:marTop w:val="120"/>
          <w:marBottom w:val="120"/>
          <w:divBdr>
            <w:top w:val="none" w:sz="0" w:space="0" w:color="auto"/>
            <w:left w:val="none" w:sz="0" w:space="0" w:color="auto"/>
            <w:bottom w:val="none" w:sz="0" w:space="0" w:color="auto"/>
            <w:right w:val="none" w:sz="0" w:space="0" w:color="auto"/>
          </w:divBdr>
        </w:div>
        <w:div w:id="152727021">
          <w:marLeft w:val="0"/>
          <w:marRight w:val="0"/>
          <w:marTop w:val="120"/>
          <w:marBottom w:val="120"/>
          <w:divBdr>
            <w:top w:val="none" w:sz="0" w:space="0" w:color="auto"/>
            <w:left w:val="none" w:sz="0" w:space="0" w:color="auto"/>
            <w:bottom w:val="none" w:sz="0" w:space="0" w:color="auto"/>
            <w:right w:val="none" w:sz="0" w:space="0" w:color="auto"/>
          </w:divBdr>
        </w:div>
        <w:div w:id="1317416496">
          <w:marLeft w:val="0"/>
          <w:marRight w:val="0"/>
          <w:marTop w:val="120"/>
          <w:marBottom w:val="120"/>
          <w:divBdr>
            <w:top w:val="none" w:sz="0" w:space="0" w:color="auto"/>
            <w:left w:val="none" w:sz="0" w:space="0" w:color="auto"/>
            <w:bottom w:val="none" w:sz="0" w:space="0" w:color="auto"/>
            <w:right w:val="none" w:sz="0" w:space="0" w:color="auto"/>
          </w:divBdr>
        </w:div>
      </w:divsChild>
    </w:div>
    <w:div w:id="1881278683">
      <w:bodyDiv w:val="1"/>
      <w:marLeft w:val="0"/>
      <w:marRight w:val="0"/>
      <w:marTop w:val="0"/>
      <w:marBottom w:val="0"/>
      <w:divBdr>
        <w:top w:val="none" w:sz="0" w:space="0" w:color="auto"/>
        <w:left w:val="none" w:sz="0" w:space="0" w:color="auto"/>
        <w:bottom w:val="none" w:sz="0" w:space="0" w:color="auto"/>
        <w:right w:val="none" w:sz="0" w:space="0" w:color="auto"/>
      </w:divBdr>
      <w:divsChild>
        <w:div w:id="2006785915">
          <w:marLeft w:val="0"/>
          <w:marRight w:val="0"/>
          <w:marTop w:val="120"/>
          <w:marBottom w:val="120"/>
          <w:divBdr>
            <w:top w:val="none" w:sz="0" w:space="0" w:color="auto"/>
            <w:left w:val="none" w:sz="0" w:space="0" w:color="auto"/>
            <w:bottom w:val="none" w:sz="0" w:space="0" w:color="auto"/>
            <w:right w:val="none" w:sz="0" w:space="0" w:color="auto"/>
          </w:divBdr>
        </w:div>
        <w:div w:id="1285959505">
          <w:marLeft w:val="0"/>
          <w:marRight w:val="0"/>
          <w:marTop w:val="120"/>
          <w:marBottom w:val="120"/>
          <w:divBdr>
            <w:top w:val="none" w:sz="0" w:space="0" w:color="auto"/>
            <w:left w:val="none" w:sz="0" w:space="0" w:color="auto"/>
            <w:bottom w:val="none" w:sz="0" w:space="0" w:color="auto"/>
            <w:right w:val="none" w:sz="0" w:space="0" w:color="auto"/>
          </w:divBdr>
        </w:div>
        <w:div w:id="1210410885">
          <w:marLeft w:val="0"/>
          <w:marRight w:val="0"/>
          <w:marTop w:val="120"/>
          <w:marBottom w:val="120"/>
          <w:divBdr>
            <w:top w:val="none" w:sz="0" w:space="0" w:color="auto"/>
            <w:left w:val="none" w:sz="0" w:space="0" w:color="auto"/>
            <w:bottom w:val="none" w:sz="0" w:space="0" w:color="auto"/>
            <w:right w:val="none" w:sz="0" w:space="0" w:color="auto"/>
          </w:divBdr>
        </w:div>
      </w:divsChild>
    </w:div>
    <w:div w:id="2014917295">
      <w:bodyDiv w:val="1"/>
      <w:marLeft w:val="0"/>
      <w:marRight w:val="0"/>
      <w:marTop w:val="0"/>
      <w:marBottom w:val="0"/>
      <w:divBdr>
        <w:top w:val="none" w:sz="0" w:space="0" w:color="auto"/>
        <w:left w:val="none" w:sz="0" w:space="0" w:color="auto"/>
        <w:bottom w:val="none" w:sz="0" w:space="0" w:color="auto"/>
        <w:right w:val="none" w:sz="0" w:space="0" w:color="auto"/>
      </w:divBdr>
      <w:divsChild>
        <w:div w:id="325792720">
          <w:marLeft w:val="0"/>
          <w:marRight w:val="0"/>
          <w:marTop w:val="0"/>
          <w:marBottom w:val="0"/>
          <w:divBdr>
            <w:top w:val="none" w:sz="0" w:space="0" w:color="auto"/>
            <w:left w:val="none" w:sz="0" w:space="0" w:color="auto"/>
            <w:bottom w:val="none" w:sz="0" w:space="0" w:color="auto"/>
            <w:right w:val="none" w:sz="0" w:space="0" w:color="auto"/>
          </w:divBdr>
          <w:divsChild>
            <w:div w:id="567569221">
              <w:marLeft w:val="0"/>
              <w:marRight w:val="0"/>
              <w:marTop w:val="0"/>
              <w:marBottom w:val="0"/>
              <w:divBdr>
                <w:top w:val="none" w:sz="0" w:space="0" w:color="auto"/>
                <w:left w:val="none" w:sz="0" w:space="0" w:color="auto"/>
                <w:bottom w:val="none" w:sz="0" w:space="0" w:color="auto"/>
                <w:right w:val="none" w:sz="0" w:space="0" w:color="auto"/>
              </w:divBdr>
              <w:divsChild>
                <w:div w:id="641623058">
                  <w:marLeft w:val="0"/>
                  <w:marRight w:val="0"/>
                  <w:marTop w:val="0"/>
                  <w:marBottom w:val="0"/>
                  <w:divBdr>
                    <w:top w:val="none" w:sz="0" w:space="0" w:color="auto"/>
                    <w:left w:val="none" w:sz="0" w:space="0" w:color="auto"/>
                    <w:bottom w:val="none" w:sz="0" w:space="0" w:color="auto"/>
                    <w:right w:val="none" w:sz="0" w:space="0" w:color="auto"/>
                  </w:divBdr>
                </w:div>
              </w:divsChild>
            </w:div>
            <w:div w:id="1533149768">
              <w:marLeft w:val="0"/>
              <w:marRight w:val="0"/>
              <w:marTop w:val="0"/>
              <w:marBottom w:val="0"/>
              <w:divBdr>
                <w:top w:val="none" w:sz="0" w:space="0" w:color="auto"/>
                <w:left w:val="none" w:sz="0" w:space="0" w:color="auto"/>
                <w:bottom w:val="none" w:sz="0" w:space="0" w:color="auto"/>
                <w:right w:val="none" w:sz="0" w:space="0" w:color="auto"/>
              </w:divBdr>
              <w:divsChild>
                <w:div w:id="1562401282">
                  <w:marLeft w:val="0"/>
                  <w:marRight w:val="0"/>
                  <w:marTop w:val="0"/>
                  <w:marBottom w:val="0"/>
                  <w:divBdr>
                    <w:top w:val="none" w:sz="0" w:space="0" w:color="auto"/>
                    <w:left w:val="none" w:sz="0" w:space="0" w:color="auto"/>
                    <w:bottom w:val="none" w:sz="0" w:space="0" w:color="auto"/>
                    <w:right w:val="none" w:sz="0" w:space="0" w:color="auto"/>
                  </w:divBdr>
                </w:div>
                <w:div w:id="67295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816214">
          <w:marLeft w:val="0"/>
          <w:marRight w:val="0"/>
          <w:marTop w:val="0"/>
          <w:marBottom w:val="0"/>
          <w:divBdr>
            <w:top w:val="none" w:sz="0" w:space="0" w:color="auto"/>
            <w:left w:val="none" w:sz="0" w:space="0" w:color="auto"/>
            <w:bottom w:val="none" w:sz="0" w:space="0" w:color="auto"/>
            <w:right w:val="none" w:sz="0" w:space="0" w:color="auto"/>
          </w:divBdr>
          <w:divsChild>
            <w:div w:id="1555851148">
              <w:marLeft w:val="0"/>
              <w:marRight w:val="0"/>
              <w:marTop w:val="0"/>
              <w:marBottom w:val="0"/>
              <w:divBdr>
                <w:top w:val="none" w:sz="0" w:space="0" w:color="auto"/>
                <w:left w:val="none" w:sz="0" w:space="0" w:color="auto"/>
                <w:bottom w:val="none" w:sz="0" w:space="0" w:color="auto"/>
                <w:right w:val="none" w:sz="0" w:space="0" w:color="auto"/>
              </w:divBdr>
              <w:divsChild>
                <w:div w:id="949507157">
                  <w:marLeft w:val="0"/>
                  <w:marRight w:val="0"/>
                  <w:marTop w:val="0"/>
                  <w:marBottom w:val="0"/>
                  <w:divBdr>
                    <w:top w:val="none" w:sz="0" w:space="0" w:color="auto"/>
                    <w:left w:val="none" w:sz="0" w:space="0" w:color="auto"/>
                    <w:bottom w:val="none" w:sz="0" w:space="0" w:color="auto"/>
                    <w:right w:val="none" w:sz="0" w:space="0" w:color="auto"/>
                  </w:divBdr>
                </w:div>
              </w:divsChild>
            </w:div>
            <w:div w:id="1538007780">
              <w:marLeft w:val="0"/>
              <w:marRight w:val="0"/>
              <w:marTop w:val="0"/>
              <w:marBottom w:val="0"/>
              <w:divBdr>
                <w:top w:val="none" w:sz="0" w:space="0" w:color="auto"/>
                <w:left w:val="none" w:sz="0" w:space="0" w:color="auto"/>
                <w:bottom w:val="none" w:sz="0" w:space="0" w:color="auto"/>
                <w:right w:val="none" w:sz="0" w:space="0" w:color="auto"/>
              </w:divBdr>
              <w:divsChild>
                <w:div w:id="31086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992390">
          <w:marLeft w:val="0"/>
          <w:marRight w:val="0"/>
          <w:marTop w:val="0"/>
          <w:marBottom w:val="0"/>
          <w:divBdr>
            <w:top w:val="none" w:sz="0" w:space="0" w:color="auto"/>
            <w:left w:val="none" w:sz="0" w:space="0" w:color="auto"/>
            <w:bottom w:val="none" w:sz="0" w:space="0" w:color="auto"/>
            <w:right w:val="none" w:sz="0" w:space="0" w:color="auto"/>
          </w:divBdr>
          <w:divsChild>
            <w:div w:id="43915894">
              <w:marLeft w:val="0"/>
              <w:marRight w:val="0"/>
              <w:marTop w:val="0"/>
              <w:marBottom w:val="0"/>
              <w:divBdr>
                <w:top w:val="none" w:sz="0" w:space="0" w:color="auto"/>
                <w:left w:val="none" w:sz="0" w:space="0" w:color="auto"/>
                <w:bottom w:val="none" w:sz="0" w:space="0" w:color="auto"/>
                <w:right w:val="none" w:sz="0" w:space="0" w:color="auto"/>
              </w:divBdr>
              <w:divsChild>
                <w:div w:id="1634554953">
                  <w:marLeft w:val="0"/>
                  <w:marRight w:val="0"/>
                  <w:marTop w:val="0"/>
                  <w:marBottom w:val="0"/>
                  <w:divBdr>
                    <w:top w:val="none" w:sz="0" w:space="0" w:color="auto"/>
                    <w:left w:val="none" w:sz="0" w:space="0" w:color="auto"/>
                    <w:bottom w:val="none" w:sz="0" w:space="0" w:color="auto"/>
                    <w:right w:val="none" w:sz="0" w:space="0" w:color="auto"/>
                  </w:divBdr>
                </w:div>
              </w:divsChild>
            </w:div>
            <w:div w:id="1150445517">
              <w:marLeft w:val="0"/>
              <w:marRight w:val="0"/>
              <w:marTop w:val="0"/>
              <w:marBottom w:val="0"/>
              <w:divBdr>
                <w:top w:val="none" w:sz="0" w:space="0" w:color="auto"/>
                <w:left w:val="none" w:sz="0" w:space="0" w:color="auto"/>
                <w:bottom w:val="none" w:sz="0" w:space="0" w:color="auto"/>
                <w:right w:val="none" w:sz="0" w:space="0" w:color="auto"/>
              </w:divBdr>
              <w:divsChild>
                <w:div w:id="88167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896264">
          <w:marLeft w:val="0"/>
          <w:marRight w:val="0"/>
          <w:marTop w:val="0"/>
          <w:marBottom w:val="0"/>
          <w:divBdr>
            <w:top w:val="none" w:sz="0" w:space="0" w:color="auto"/>
            <w:left w:val="none" w:sz="0" w:space="0" w:color="auto"/>
            <w:bottom w:val="none" w:sz="0" w:space="0" w:color="auto"/>
            <w:right w:val="none" w:sz="0" w:space="0" w:color="auto"/>
          </w:divBdr>
          <w:divsChild>
            <w:div w:id="515582248">
              <w:marLeft w:val="0"/>
              <w:marRight w:val="0"/>
              <w:marTop w:val="0"/>
              <w:marBottom w:val="0"/>
              <w:divBdr>
                <w:top w:val="none" w:sz="0" w:space="0" w:color="auto"/>
                <w:left w:val="none" w:sz="0" w:space="0" w:color="auto"/>
                <w:bottom w:val="none" w:sz="0" w:space="0" w:color="auto"/>
                <w:right w:val="none" w:sz="0" w:space="0" w:color="auto"/>
              </w:divBdr>
              <w:divsChild>
                <w:div w:id="719012946">
                  <w:marLeft w:val="0"/>
                  <w:marRight w:val="0"/>
                  <w:marTop w:val="0"/>
                  <w:marBottom w:val="0"/>
                  <w:divBdr>
                    <w:top w:val="none" w:sz="0" w:space="0" w:color="auto"/>
                    <w:left w:val="none" w:sz="0" w:space="0" w:color="auto"/>
                    <w:bottom w:val="none" w:sz="0" w:space="0" w:color="auto"/>
                    <w:right w:val="none" w:sz="0" w:space="0" w:color="auto"/>
                  </w:divBdr>
                </w:div>
              </w:divsChild>
            </w:div>
            <w:div w:id="1900944763">
              <w:marLeft w:val="0"/>
              <w:marRight w:val="0"/>
              <w:marTop w:val="0"/>
              <w:marBottom w:val="0"/>
              <w:divBdr>
                <w:top w:val="none" w:sz="0" w:space="0" w:color="auto"/>
                <w:left w:val="none" w:sz="0" w:space="0" w:color="auto"/>
                <w:bottom w:val="none" w:sz="0" w:space="0" w:color="auto"/>
                <w:right w:val="none" w:sz="0" w:space="0" w:color="auto"/>
              </w:divBdr>
              <w:divsChild>
                <w:div w:id="21393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59288">
          <w:marLeft w:val="0"/>
          <w:marRight w:val="0"/>
          <w:marTop w:val="0"/>
          <w:marBottom w:val="0"/>
          <w:divBdr>
            <w:top w:val="none" w:sz="0" w:space="0" w:color="auto"/>
            <w:left w:val="none" w:sz="0" w:space="0" w:color="auto"/>
            <w:bottom w:val="none" w:sz="0" w:space="0" w:color="auto"/>
            <w:right w:val="none" w:sz="0" w:space="0" w:color="auto"/>
          </w:divBdr>
          <w:divsChild>
            <w:div w:id="1662082923">
              <w:marLeft w:val="0"/>
              <w:marRight w:val="0"/>
              <w:marTop w:val="0"/>
              <w:marBottom w:val="0"/>
              <w:divBdr>
                <w:top w:val="none" w:sz="0" w:space="0" w:color="auto"/>
                <w:left w:val="none" w:sz="0" w:space="0" w:color="auto"/>
                <w:bottom w:val="none" w:sz="0" w:space="0" w:color="auto"/>
                <w:right w:val="none" w:sz="0" w:space="0" w:color="auto"/>
              </w:divBdr>
              <w:divsChild>
                <w:div w:id="1317764698">
                  <w:marLeft w:val="0"/>
                  <w:marRight w:val="0"/>
                  <w:marTop w:val="0"/>
                  <w:marBottom w:val="0"/>
                  <w:divBdr>
                    <w:top w:val="none" w:sz="0" w:space="0" w:color="auto"/>
                    <w:left w:val="none" w:sz="0" w:space="0" w:color="auto"/>
                    <w:bottom w:val="none" w:sz="0" w:space="0" w:color="auto"/>
                    <w:right w:val="none" w:sz="0" w:space="0" w:color="auto"/>
                  </w:divBdr>
                </w:div>
              </w:divsChild>
            </w:div>
            <w:div w:id="677778560">
              <w:marLeft w:val="0"/>
              <w:marRight w:val="0"/>
              <w:marTop w:val="0"/>
              <w:marBottom w:val="0"/>
              <w:divBdr>
                <w:top w:val="none" w:sz="0" w:space="0" w:color="auto"/>
                <w:left w:val="none" w:sz="0" w:space="0" w:color="auto"/>
                <w:bottom w:val="none" w:sz="0" w:space="0" w:color="auto"/>
                <w:right w:val="none" w:sz="0" w:space="0" w:color="auto"/>
              </w:divBdr>
              <w:divsChild>
                <w:div w:id="813371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455482">
          <w:marLeft w:val="0"/>
          <w:marRight w:val="0"/>
          <w:marTop w:val="0"/>
          <w:marBottom w:val="0"/>
          <w:divBdr>
            <w:top w:val="none" w:sz="0" w:space="0" w:color="auto"/>
            <w:left w:val="none" w:sz="0" w:space="0" w:color="auto"/>
            <w:bottom w:val="none" w:sz="0" w:space="0" w:color="auto"/>
            <w:right w:val="none" w:sz="0" w:space="0" w:color="auto"/>
          </w:divBdr>
          <w:divsChild>
            <w:div w:id="1701736357">
              <w:marLeft w:val="0"/>
              <w:marRight w:val="0"/>
              <w:marTop w:val="0"/>
              <w:marBottom w:val="0"/>
              <w:divBdr>
                <w:top w:val="none" w:sz="0" w:space="0" w:color="auto"/>
                <w:left w:val="none" w:sz="0" w:space="0" w:color="auto"/>
                <w:bottom w:val="none" w:sz="0" w:space="0" w:color="auto"/>
                <w:right w:val="none" w:sz="0" w:space="0" w:color="auto"/>
              </w:divBdr>
              <w:divsChild>
                <w:div w:id="391199954">
                  <w:marLeft w:val="0"/>
                  <w:marRight w:val="0"/>
                  <w:marTop w:val="0"/>
                  <w:marBottom w:val="0"/>
                  <w:divBdr>
                    <w:top w:val="none" w:sz="0" w:space="0" w:color="auto"/>
                    <w:left w:val="none" w:sz="0" w:space="0" w:color="auto"/>
                    <w:bottom w:val="none" w:sz="0" w:space="0" w:color="auto"/>
                    <w:right w:val="none" w:sz="0" w:space="0" w:color="auto"/>
                  </w:divBdr>
                </w:div>
              </w:divsChild>
            </w:div>
            <w:div w:id="606548102">
              <w:marLeft w:val="0"/>
              <w:marRight w:val="0"/>
              <w:marTop w:val="0"/>
              <w:marBottom w:val="0"/>
              <w:divBdr>
                <w:top w:val="none" w:sz="0" w:space="0" w:color="auto"/>
                <w:left w:val="none" w:sz="0" w:space="0" w:color="auto"/>
                <w:bottom w:val="none" w:sz="0" w:space="0" w:color="auto"/>
                <w:right w:val="none" w:sz="0" w:space="0" w:color="auto"/>
              </w:divBdr>
              <w:divsChild>
                <w:div w:id="75335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645180">
          <w:marLeft w:val="0"/>
          <w:marRight w:val="0"/>
          <w:marTop w:val="0"/>
          <w:marBottom w:val="0"/>
          <w:divBdr>
            <w:top w:val="none" w:sz="0" w:space="0" w:color="auto"/>
            <w:left w:val="none" w:sz="0" w:space="0" w:color="auto"/>
            <w:bottom w:val="none" w:sz="0" w:space="0" w:color="auto"/>
            <w:right w:val="none" w:sz="0" w:space="0" w:color="auto"/>
          </w:divBdr>
          <w:divsChild>
            <w:div w:id="747267556">
              <w:marLeft w:val="0"/>
              <w:marRight w:val="0"/>
              <w:marTop w:val="0"/>
              <w:marBottom w:val="0"/>
              <w:divBdr>
                <w:top w:val="none" w:sz="0" w:space="0" w:color="auto"/>
                <w:left w:val="none" w:sz="0" w:space="0" w:color="auto"/>
                <w:bottom w:val="none" w:sz="0" w:space="0" w:color="auto"/>
                <w:right w:val="none" w:sz="0" w:space="0" w:color="auto"/>
              </w:divBdr>
              <w:divsChild>
                <w:div w:id="580526657">
                  <w:marLeft w:val="0"/>
                  <w:marRight w:val="0"/>
                  <w:marTop w:val="0"/>
                  <w:marBottom w:val="0"/>
                  <w:divBdr>
                    <w:top w:val="none" w:sz="0" w:space="0" w:color="auto"/>
                    <w:left w:val="none" w:sz="0" w:space="0" w:color="auto"/>
                    <w:bottom w:val="none" w:sz="0" w:space="0" w:color="auto"/>
                    <w:right w:val="none" w:sz="0" w:space="0" w:color="auto"/>
                  </w:divBdr>
                </w:div>
              </w:divsChild>
            </w:div>
            <w:div w:id="2136215406">
              <w:marLeft w:val="0"/>
              <w:marRight w:val="0"/>
              <w:marTop w:val="0"/>
              <w:marBottom w:val="0"/>
              <w:divBdr>
                <w:top w:val="none" w:sz="0" w:space="0" w:color="auto"/>
                <w:left w:val="none" w:sz="0" w:space="0" w:color="auto"/>
                <w:bottom w:val="none" w:sz="0" w:space="0" w:color="auto"/>
                <w:right w:val="none" w:sz="0" w:space="0" w:color="auto"/>
              </w:divBdr>
              <w:divsChild>
                <w:div w:id="89619830">
                  <w:marLeft w:val="0"/>
                  <w:marRight w:val="0"/>
                  <w:marTop w:val="0"/>
                  <w:marBottom w:val="0"/>
                  <w:divBdr>
                    <w:top w:val="none" w:sz="0" w:space="0" w:color="auto"/>
                    <w:left w:val="none" w:sz="0" w:space="0" w:color="auto"/>
                    <w:bottom w:val="none" w:sz="0" w:space="0" w:color="auto"/>
                    <w:right w:val="none" w:sz="0" w:space="0" w:color="auto"/>
                  </w:divBdr>
                </w:div>
                <w:div w:id="101642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639566">
          <w:marLeft w:val="0"/>
          <w:marRight w:val="0"/>
          <w:marTop w:val="0"/>
          <w:marBottom w:val="0"/>
          <w:divBdr>
            <w:top w:val="none" w:sz="0" w:space="0" w:color="auto"/>
            <w:left w:val="none" w:sz="0" w:space="0" w:color="auto"/>
            <w:bottom w:val="none" w:sz="0" w:space="0" w:color="auto"/>
            <w:right w:val="none" w:sz="0" w:space="0" w:color="auto"/>
          </w:divBdr>
          <w:divsChild>
            <w:div w:id="397410633">
              <w:marLeft w:val="0"/>
              <w:marRight w:val="0"/>
              <w:marTop w:val="0"/>
              <w:marBottom w:val="0"/>
              <w:divBdr>
                <w:top w:val="none" w:sz="0" w:space="0" w:color="auto"/>
                <w:left w:val="none" w:sz="0" w:space="0" w:color="auto"/>
                <w:bottom w:val="none" w:sz="0" w:space="0" w:color="auto"/>
                <w:right w:val="none" w:sz="0" w:space="0" w:color="auto"/>
              </w:divBdr>
              <w:divsChild>
                <w:div w:id="414788885">
                  <w:marLeft w:val="0"/>
                  <w:marRight w:val="0"/>
                  <w:marTop w:val="0"/>
                  <w:marBottom w:val="0"/>
                  <w:divBdr>
                    <w:top w:val="none" w:sz="0" w:space="0" w:color="auto"/>
                    <w:left w:val="none" w:sz="0" w:space="0" w:color="auto"/>
                    <w:bottom w:val="none" w:sz="0" w:space="0" w:color="auto"/>
                    <w:right w:val="none" w:sz="0" w:space="0" w:color="auto"/>
                  </w:divBdr>
                </w:div>
              </w:divsChild>
            </w:div>
            <w:div w:id="1632204049">
              <w:marLeft w:val="0"/>
              <w:marRight w:val="0"/>
              <w:marTop w:val="0"/>
              <w:marBottom w:val="0"/>
              <w:divBdr>
                <w:top w:val="none" w:sz="0" w:space="0" w:color="auto"/>
                <w:left w:val="none" w:sz="0" w:space="0" w:color="auto"/>
                <w:bottom w:val="none" w:sz="0" w:space="0" w:color="auto"/>
                <w:right w:val="none" w:sz="0" w:space="0" w:color="auto"/>
              </w:divBdr>
              <w:divsChild>
                <w:div w:id="146318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12358">
          <w:marLeft w:val="0"/>
          <w:marRight w:val="0"/>
          <w:marTop w:val="0"/>
          <w:marBottom w:val="0"/>
          <w:divBdr>
            <w:top w:val="none" w:sz="0" w:space="0" w:color="auto"/>
            <w:left w:val="none" w:sz="0" w:space="0" w:color="auto"/>
            <w:bottom w:val="none" w:sz="0" w:space="0" w:color="auto"/>
            <w:right w:val="none" w:sz="0" w:space="0" w:color="auto"/>
          </w:divBdr>
          <w:divsChild>
            <w:div w:id="803698009">
              <w:marLeft w:val="0"/>
              <w:marRight w:val="0"/>
              <w:marTop w:val="0"/>
              <w:marBottom w:val="0"/>
              <w:divBdr>
                <w:top w:val="none" w:sz="0" w:space="0" w:color="auto"/>
                <w:left w:val="none" w:sz="0" w:space="0" w:color="auto"/>
                <w:bottom w:val="none" w:sz="0" w:space="0" w:color="auto"/>
                <w:right w:val="none" w:sz="0" w:space="0" w:color="auto"/>
              </w:divBdr>
              <w:divsChild>
                <w:div w:id="1170758934">
                  <w:marLeft w:val="0"/>
                  <w:marRight w:val="0"/>
                  <w:marTop w:val="0"/>
                  <w:marBottom w:val="0"/>
                  <w:divBdr>
                    <w:top w:val="none" w:sz="0" w:space="0" w:color="auto"/>
                    <w:left w:val="none" w:sz="0" w:space="0" w:color="auto"/>
                    <w:bottom w:val="none" w:sz="0" w:space="0" w:color="auto"/>
                    <w:right w:val="none" w:sz="0" w:space="0" w:color="auto"/>
                  </w:divBdr>
                </w:div>
              </w:divsChild>
            </w:div>
            <w:div w:id="15735352">
              <w:marLeft w:val="0"/>
              <w:marRight w:val="0"/>
              <w:marTop w:val="0"/>
              <w:marBottom w:val="0"/>
              <w:divBdr>
                <w:top w:val="none" w:sz="0" w:space="0" w:color="auto"/>
                <w:left w:val="none" w:sz="0" w:space="0" w:color="auto"/>
                <w:bottom w:val="none" w:sz="0" w:space="0" w:color="auto"/>
                <w:right w:val="none" w:sz="0" w:space="0" w:color="auto"/>
              </w:divBdr>
              <w:divsChild>
                <w:div w:id="208760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58153">
          <w:marLeft w:val="0"/>
          <w:marRight w:val="0"/>
          <w:marTop w:val="0"/>
          <w:marBottom w:val="0"/>
          <w:divBdr>
            <w:top w:val="none" w:sz="0" w:space="0" w:color="auto"/>
            <w:left w:val="none" w:sz="0" w:space="0" w:color="auto"/>
            <w:bottom w:val="none" w:sz="0" w:space="0" w:color="auto"/>
            <w:right w:val="none" w:sz="0" w:space="0" w:color="auto"/>
          </w:divBdr>
          <w:divsChild>
            <w:div w:id="11954906">
              <w:marLeft w:val="0"/>
              <w:marRight w:val="0"/>
              <w:marTop w:val="0"/>
              <w:marBottom w:val="0"/>
              <w:divBdr>
                <w:top w:val="none" w:sz="0" w:space="0" w:color="auto"/>
                <w:left w:val="none" w:sz="0" w:space="0" w:color="auto"/>
                <w:bottom w:val="none" w:sz="0" w:space="0" w:color="auto"/>
                <w:right w:val="none" w:sz="0" w:space="0" w:color="auto"/>
              </w:divBdr>
              <w:divsChild>
                <w:div w:id="2066219802">
                  <w:marLeft w:val="0"/>
                  <w:marRight w:val="0"/>
                  <w:marTop w:val="0"/>
                  <w:marBottom w:val="0"/>
                  <w:divBdr>
                    <w:top w:val="none" w:sz="0" w:space="0" w:color="auto"/>
                    <w:left w:val="none" w:sz="0" w:space="0" w:color="auto"/>
                    <w:bottom w:val="none" w:sz="0" w:space="0" w:color="auto"/>
                    <w:right w:val="none" w:sz="0" w:space="0" w:color="auto"/>
                  </w:divBdr>
                </w:div>
              </w:divsChild>
            </w:div>
            <w:div w:id="248925216">
              <w:marLeft w:val="0"/>
              <w:marRight w:val="0"/>
              <w:marTop w:val="0"/>
              <w:marBottom w:val="0"/>
              <w:divBdr>
                <w:top w:val="none" w:sz="0" w:space="0" w:color="auto"/>
                <w:left w:val="none" w:sz="0" w:space="0" w:color="auto"/>
                <w:bottom w:val="none" w:sz="0" w:space="0" w:color="auto"/>
                <w:right w:val="none" w:sz="0" w:space="0" w:color="auto"/>
              </w:divBdr>
              <w:divsChild>
                <w:div w:id="131360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849955">
      <w:bodyDiv w:val="1"/>
      <w:marLeft w:val="0"/>
      <w:marRight w:val="0"/>
      <w:marTop w:val="0"/>
      <w:marBottom w:val="0"/>
      <w:divBdr>
        <w:top w:val="none" w:sz="0" w:space="0" w:color="auto"/>
        <w:left w:val="none" w:sz="0" w:space="0" w:color="auto"/>
        <w:bottom w:val="none" w:sz="0" w:space="0" w:color="auto"/>
        <w:right w:val="none" w:sz="0" w:space="0" w:color="auto"/>
      </w:divBdr>
      <w:divsChild>
        <w:div w:id="513571228">
          <w:marLeft w:val="0"/>
          <w:marRight w:val="0"/>
          <w:marTop w:val="120"/>
          <w:marBottom w:val="120"/>
          <w:divBdr>
            <w:top w:val="none" w:sz="0" w:space="0" w:color="auto"/>
            <w:left w:val="none" w:sz="0" w:space="0" w:color="auto"/>
            <w:bottom w:val="none" w:sz="0" w:space="0" w:color="auto"/>
            <w:right w:val="none" w:sz="0" w:space="0" w:color="auto"/>
          </w:divBdr>
        </w:div>
        <w:div w:id="1997418993">
          <w:marLeft w:val="0"/>
          <w:marRight w:val="0"/>
          <w:marTop w:val="120"/>
          <w:marBottom w:val="120"/>
          <w:divBdr>
            <w:top w:val="none" w:sz="0" w:space="0" w:color="auto"/>
            <w:left w:val="none" w:sz="0" w:space="0" w:color="auto"/>
            <w:bottom w:val="none" w:sz="0" w:space="0" w:color="auto"/>
            <w:right w:val="none" w:sz="0" w:space="0" w:color="auto"/>
          </w:divBdr>
        </w:div>
      </w:divsChild>
    </w:div>
    <w:div w:id="2132432813">
      <w:bodyDiv w:val="1"/>
      <w:marLeft w:val="0"/>
      <w:marRight w:val="0"/>
      <w:marTop w:val="0"/>
      <w:marBottom w:val="0"/>
      <w:divBdr>
        <w:top w:val="none" w:sz="0" w:space="0" w:color="auto"/>
        <w:left w:val="none" w:sz="0" w:space="0" w:color="auto"/>
        <w:bottom w:val="none" w:sz="0" w:space="0" w:color="auto"/>
        <w:right w:val="none" w:sz="0" w:space="0" w:color="auto"/>
      </w:divBdr>
      <w:divsChild>
        <w:div w:id="1010916288">
          <w:marLeft w:val="0"/>
          <w:marRight w:val="0"/>
          <w:marTop w:val="120"/>
          <w:marBottom w:val="120"/>
          <w:divBdr>
            <w:top w:val="none" w:sz="0" w:space="0" w:color="auto"/>
            <w:left w:val="none" w:sz="0" w:space="0" w:color="auto"/>
            <w:bottom w:val="none" w:sz="0" w:space="0" w:color="auto"/>
            <w:right w:val="none" w:sz="0" w:space="0" w:color="auto"/>
          </w:divBdr>
        </w:div>
        <w:div w:id="2144732597">
          <w:marLeft w:val="0"/>
          <w:marRight w:val="0"/>
          <w:marTop w:val="120"/>
          <w:marBottom w:val="120"/>
          <w:divBdr>
            <w:top w:val="none" w:sz="0" w:space="0" w:color="auto"/>
            <w:left w:val="none" w:sz="0" w:space="0" w:color="auto"/>
            <w:bottom w:val="none" w:sz="0" w:space="0" w:color="auto"/>
            <w:right w:val="none" w:sz="0" w:space="0" w:color="auto"/>
          </w:divBdr>
        </w:div>
        <w:div w:id="1767264855">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iabetesjournals.org/care/article/47/Supplement_1/S77/153949/" TargetMode="External" Id="rId13" /><Relationship Type="http://schemas.openxmlformats.org/officeDocument/2006/relationships/hyperlink" Target="https://doi.org/10.1186/s13643-022-02117-w" TargetMode="External" Id="rId18" /><Relationship Type="http://schemas.openxmlformats.org/officeDocument/2006/relationships/hyperlink" Target="https://www.nice.org.uk/guidance/ng197" TargetMode="External" Id="rId26" /><Relationship Type="http://schemas.openxmlformats.org/officeDocument/2006/relationships/hyperlink" Target="https://diabetesatlas.org/resources/idf-diabetes-atlas-2025/" TargetMode="External" Id="rId21" /><Relationship Type="http://schemas.openxmlformats.org/officeDocument/2006/relationships/hyperlink" Target="https://www.legislation.gov.uk/ukpga/2022/31/contents" TargetMode="External" Id="rId34" /><Relationship Type="http://schemas.openxmlformats.org/officeDocument/2006/relationships/image" Target="media/image2.png" Id="rId7" /><Relationship Type="http://schemas.openxmlformats.org/officeDocument/2006/relationships/hyperlink" Target="https://doi.org/10.1186/s12955-023-02111-3" TargetMode="External" Id="rId12" /><Relationship Type="http://schemas.openxmlformats.org/officeDocument/2006/relationships/hyperlink" Target="https://doi.org/10.1089/tmj.2023.0374" TargetMode="External" Id="rId17" /><Relationship Type="http://schemas.openxmlformats.org/officeDocument/2006/relationships/hyperlink" Target="https://www.nice.org.uk/guidance/ph38" TargetMode="External" Id="rId25" /><Relationship Type="http://schemas.openxmlformats.org/officeDocument/2006/relationships/hyperlink" Target="https://doi.org/10.1177/10998004231218887" TargetMode="External" Id="rId33" /><Relationship Type="http://schemas.openxmlformats.org/officeDocument/2006/relationships/theme" Target="theme/theme1.xml" Id="rId38" /><Relationship Type="http://schemas.openxmlformats.org/officeDocument/2006/relationships/numbering" Target="numbering.xml" Id="rId2" /><Relationship Type="http://schemas.openxmlformats.org/officeDocument/2006/relationships/hyperlink" Target="https://www.diabetes.org.uk/about-us/about-the-charity/our-strategy/statistics" TargetMode="External" Id="rId16" /><Relationship Type="http://schemas.openxmlformats.org/officeDocument/2006/relationships/hyperlink" Target="https://doi.org/10.2337/dci23-0001" TargetMode="External" Id="rId20" /><Relationship Type="http://schemas.openxmlformats.org/officeDocument/2006/relationships/hyperlink" Target="https://www.england.nhs.uk/diabetes/treatment-care/diabetes-remission/" TargetMode="External" Id="rId29"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hyperlink" Target="https://www.nice.org.uk/guidance/ng31" TargetMode="External" Id="rId24" /><Relationship Type="http://schemas.openxmlformats.org/officeDocument/2006/relationships/hyperlink" Target="https://doi.org/10.1111/jan.70643" TargetMode="External" Id="rId32" /><Relationship Type="http://schemas.openxmlformats.org/officeDocument/2006/relationships/fontTable" Target="fontTable.xml" Id="rId37" /><Relationship Type="http://schemas.openxmlformats.org/officeDocument/2006/relationships/webSettings" Target="webSettings.xml" Id="rId5" /><Relationship Type="http://schemas.openxmlformats.org/officeDocument/2006/relationships/hyperlink" Target="https://www.diabetes.org.uk/for-professionals/improving-care/clinical-recommendations-for-professionals/diagnosis-ongoing-management-monitoring/end-of-life-care" TargetMode="External" Id="rId15" /><Relationship Type="http://schemas.openxmlformats.org/officeDocument/2006/relationships/hyperlink" Target="https://doi.org/10.2196/55757" TargetMode="External" Id="rId23" /><Relationship Type="http://schemas.openxmlformats.org/officeDocument/2006/relationships/hyperlink" Target="https://www.england.nhs.uk/long-read/health-inequalities-equality-legal-duties/" TargetMode="External" Id="rId28" /><Relationship Type="http://schemas.openxmlformats.org/officeDocument/2006/relationships/hyperlink" Target="https://www.who.int/news-room/fact-sheets/detail/diabetes" TargetMode="External" Id="rId36" /><Relationship Type="http://schemas.openxmlformats.org/officeDocument/2006/relationships/image" Target="media/image5.png" Id="rId10" /><Relationship Type="http://schemas.openxmlformats.org/officeDocument/2006/relationships/hyperlink" Target="https://gmintegratedcare.org.uk/find-a-service/type/diabetes-services/" TargetMode="External" Id="rId19" /><Relationship Type="http://schemas.openxmlformats.org/officeDocument/2006/relationships/hyperlink" Target="https://doi.org/10.1186/s12875-019-1042-4" TargetMode="External" Id="rId31"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hyperlink" Target="https://doi.org/10.1111/dme.15024" TargetMode="External" Id="rId14" /><Relationship Type="http://schemas.openxmlformats.org/officeDocument/2006/relationships/hyperlink" Target="https://doi.org/10.1038/s41574-022-00669-4" TargetMode="External" Id="rId22" /><Relationship Type="http://schemas.openxmlformats.org/officeDocument/2006/relationships/hyperlink" Target="https://www.nice.org.uk/guidance/ng28" TargetMode="External" Id="rId27" /><Relationship Type="http://schemas.openxmlformats.org/officeDocument/2006/relationships/hyperlink" Target="https://doi.org/10.1016/j.vhri.2022.09.005" TargetMode="External" Id="rId30" /><Relationship Type="http://schemas.openxmlformats.org/officeDocument/2006/relationships/hyperlink" Target="https://pubmed.ncbi.nlm.nih.gov/10345255/" TargetMode="External" Id="rId35" /><Relationship Type="http://schemas.openxmlformats.org/officeDocument/2006/relationships/image" Target="media/image3.png" Id="rId8" /><Relationship Type="http://schemas.openxmlformats.org/officeDocument/2006/relationships/styles" Target="style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4CA9E-9664-42AE-91B9-D0286877FC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SG</dc:creator>
  <keywords/>
  <dc:description/>
  <lastModifiedBy>Tati Bangoura (2120469)</lastModifiedBy>
  <revision>15</revision>
  <dcterms:created xsi:type="dcterms:W3CDTF">2026-10-14T05:32:00.0000000Z</dcterms:created>
  <dcterms:modified xsi:type="dcterms:W3CDTF">2026-10-16T17:54:57.9277307Z</dcterms:modified>
</coreProperties>
</file>