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0F1378C" w14:textId="71F27C5E" w:rsidR="002D4B72" w:rsidRDefault="002D4B72" w:rsidP="00A11942">
      <w:pPr>
        <w:rPr>
          <w:sz w:val="44"/>
          <w:szCs w:val="44"/>
        </w:rPr>
      </w:pPr>
    </w:p>
    <w:p w14:paraId="39A0D1AA" w14:textId="77777777" w:rsidR="00B948EE" w:rsidRDefault="00B948EE" w:rsidP="00B948EE">
      <w:pPr>
        <w:jc w:val="center"/>
        <w:rPr>
          <w:color w:val="4472C4" w:themeColor="accent1"/>
          <w:sz w:val="44"/>
          <w:szCs w:val="44"/>
        </w:rPr>
      </w:pPr>
      <w:r>
        <w:rPr>
          <w:color w:val="4472C4" w:themeColor="accent1"/>
          <w:sz w:val="44"/>
          <w:szCs w:val="44"/>
        </w:rPr>
        <w:t>Digital Entrepreneurship</w:t>
      </w:r>
    </w:p>
    <w:p w14:paraId="4D3C6852" w14:textId="217AF239" w:rsidR="00B948EE" w:rsidRDefault="00B948EE" w:rsidP="00A11942">
      <w:pPr>
        <w:rPr>
          <w:sz w:val="44"/>
          <w:szCs w:val="44"/>
        </w:rPr>
      </w:pPr>
    </w:p>
    <w:p w14:paraId="04AB45C9" w14:textId="77777777" w:rsidR="00B948EE" w:rsidRDefault="00B948EE" w:rsidP="00A11942">
      <w:pPr>
        <w:rPr>
          <w:sz w:val="44"/>
          <w:szCs w:val="44"/>
        </w:rPr>
      </w:pPr>
    </w:p>
    <w:p w14:paraId="0EA783C2" w14:textId="0644EC22" w:rsidR="004B6E32" w:rsidRPr="00C36F41" w:rsidRDefault="004B6E32" w:rsidP="004B6E32">
      <w:pPr>
        <w:jc w:val="center"/>
        <w:rPr>
          <w:b/>
          <w:bCs/>
          <w:color w:val="4472C4" w:themeColor="accent1"/>
          <w:sz w:val="56"/>
          <w:szCs w:val="56"/>
        </w:rPr>
      </w:pPr>
      <w:r w:rsidRPr="00C36F41">
        <w:rPr>
          <w:b/>
          <w:bCs/>
          <w:color w:val="4472C4" w:themeColor="accent1"/>
          <w:sz w:val="56"/>
          <w:szCs w:val="56"/>
        </w:rPr>
        <w:t>Telstra Corporation</w:t>
      </w:r>
      <w:r w:rsidR="00C36F41">
        <w:rPr>
          <w:b/>
          <w:bCs/>
          <w:color w:val="4472C4" w:themeColor="accent1"/>
          <w:sz w:val="56"/>
          <w:szCs w:val="56"/>
        </w:rPr>
        <w:t xml:space="preserve"> Limited</w:t>
      </w:r>
    </w:p>
    <w:p w14:paraId="08A57BB2" w14:textId="47DFFACD" w:rsidR="00B948EE" w:rsidRDefault="00B948EE" w:rsidP="004B6E32">
      <w:pPr>
        <w:jc w:val="center"/>
        <w:rPr>
          <w:rFonts w:ascii="Arial" w:hAnsi="Arial" w:cs="Arial"/>
          <w:color w:val="4472C4" w:themeColor="accent1"/>
          <w:sz w:val="32"/>
          <w:szCs w:val="32"/>
        </w:rPr>
      </w:pPr>
    </w:p>
    <w:p w14:paraId="76A565F5" w14:textId="42455FE4" w:rsidR="00B948EE" w:rsidRDefault="00B948EE" w:rsidP="004B6E32">
      <w:pPr>
        <w:jc w:val="center"/>
        <w:rPr>
          <w:rFonts w:ascii="Arial" w:hAnsi="Arial" w:cs="Arial"/>
          <w:color w:val="4472C4" w:themeColor="accent1"/>
          <w:sz w:val="32"/>
          <w:szCs w:val="32"/>
        </w:rPr>
      </w:pPr>
    </w:p>
    <w:p w14:paraId="7A7C7947" w14:textId="77777777" w:rsidR="00B948EE" w:rsidRPr="00B948EE" w:rsidRDefault="00B948EE" w:rsidP="004B6E32">
      <w:pPr>
        <w:jc w:val="center"/>
        <w:rPr>
          <w:rFonts w:ascii="Arial" w:hAnsi="Arial" w:cs="Arial"/>
          <w:color w:val="4472C4" w:themeColor="accent1"/>
          <w:sz w:val="32"/>
          <w:szCs w:val="32"/>
        </w:rPr>
      </w:pPr>
    </w:p>
    <w:p w14:paraId="4B925366" w14:textId="0EAFE23C" w:rsidR="00B948EE" w:rsidRPr="00B948EE" w:rsidRDefault="00B948EE" w:rsidP="004B6E32">
      <w:pPr>
        <w:jc w:val="center"/>
        <w:rPr>
          <w:rFonts w:ascii="Arial" w:hAnsi="Arial" w:cs="Arial"/>
          <w:color w:val="4472C4" w:themeColor="accent1"/>
          <w:sz w:val="28"/>
          <w:szCs w:val="28"/>
        </w:rPr>
      </w:pPr>
      <w:r w:rsidRPr="00B948EE">
        <w:rPr>
          <w:rFonts w:ascii="Arial" w:hAnsi="Arial" w:cs="Arial"/>
          <w:color w:val="4472C4" w:themeColor="accent1"/>
          <w:sz w:val="28"/>
          <w:szCs w:val="28"/>
        </w:rPr>
        <w:t>Submitted to:</w:t>
      </w:r>
    </w:p>
    <w:p w14:paraId="0C86E19B" w14:textId="5A64077E" w:rsidR="00B948EE" w:rsidRDefault="007E695A" w:rsidP="004B6E32">
      <w:pPr>
        <w:jc w:val="center"/>
        <w:rPr>
          <w:rFonts w:ascii="Arial" w:hAnsi="Arial" w:cs="Arial"/>
          <w:color w:val="4472C4" w:themeColor="accent1"/>
          <w:sz w:val="28"/>
          <w:szCs w:val="28"/>
        </w:rPr>
      </w:pPr>
      <w:r>
        <w:rPr>
          <w:rFonts w:ascii="Arial" w:hAnsi="Arial" w:cs="Arial"/>
          <w:color w:val="4472C4" w:themeColor="accent1"/>
          <w:sz w:val="28"/>
          <w:szCs w:val="28"/>
        </w:rPr>
        <w:t xml:space="preserve">Dr. </w:t>
      </w:r>
      <w:r w:rsidR="00B948EE" w:rsidRPr="00B948EE">
        <w:rPr>
          <w:rFonts w:ascii="Arial" w:hAnsi="Arial" w:cs="Arial"/>
          <w:color w:val="4472C4" w:themeColor="accent1"/>
          <w:sz w:val="28"/>
          <w:szCs w:val="28"/>
        </w:rPr>
        <w:t>Tahir Muhammad Mushtaq</w:t>
      </w:r>
    </w:p>
    <w:p w14:paraId="0E667C9D" w14:textId="0CC754D3" w:rsidR="00B948EE" w:rsidRDefault="00B948EE" w:rsidP="004B6E32">
      <w:pPr>
        <w:jc w:val="center"/>
        <w:rPr>
          <w:rFonts w:ascii="Arial" w:hAnsi="Arial" w:cs="Arial"/>
          <w:color w:val="4472C4" w:themeColor="accent1"/>
          <w:sz w:val="28"/>
          <w:szCs w:val="28"/>
        </w:rPr>
      </w:pPr>
    </w:p>
    <w:p w14:paraId="560DE88F" w14:textId="6E9FA1D8" w:rsidR="00B948EE" w:rsidRDefault="00B948EE" w:rsidP="004B6E32">
      <w:pPr>
        <w:jc w:val="center"/>
        <w:rPr>
          <w:rFonts w:ascii="Arial" w:hAnsi="Arial" w:cs="Arial"/>
          <w:color w:val="4472C4" w:themeColor="accent1"/>
          <w:sz w:val="28"/>
          <w:szCs w:val="28"/>
        </w:rPr>
      </w:pPr>
    </w:p>
    <w:p w14:paraId="13D02190" w14:textId="32A43FC5" w:rsidR="00B948EE" w:rsidRDefault="00B948EE" w:rsidP="004B6E32">
      <w:pPr>
        <w:jc w:val="center"/>
        <w:rPr>
          <w:rFonts w:ascii="Arial" w:hAnsi="Arial" w:cs="Arial"/>
          <w:color w:val="4472C4" w:themeColor="accent1"/>
          <w:sz w:val="28"/>
          <w:szCs w:val="28"/>
        </w:rPr>
      </w:pPr>
    </w:p>
    <w:p w14:paraId="622F33B8" w14:textId="77777777" w:rsidR="00B948EE" w:rsidRPr="00B948EE" w:rsidRDefault="00B948EE" w:rsidP="004B6E32">
      <w:pPr>
        <w:jc w:val="center"/>
        <w:rPr>
          <w:rFonts w:ascii="Arial" w:hAnsi="Arial" w:cs="Arial"/>
          <w:color w:val="4472C4" w:themeColor="accent1"/>
          <w:sz w:val="28"/>
          <w:szCs w:val="28"/>
        </w:rPr>
      </w:pPr>
    </w:p>
    <w:p w14:paraId="69BD9D75" w14:textId="54103539" w:rsidR="00B948EE" w:rsidRPr="00B948EE" w:rsidRDefault="00B948EE" w:rsidP="004B6E32">
      <w:pPr>
        <w:jc w:val="center"/>
        <w:rPr>
          <w:rFonts w:ascii="Arial" w:hAnsi="Arial" w:cs="Arial"/>
          <w:color w:val="4472C4" w:themeColor="accent1"/>
          <w:sz w:val="28"/>
          <w:szCs w:val="28"/>
        </w:rPr>
      </w:pPr>
      <w:r w:rsidRPr="00B948EE">
        <w:rPr>
          <w:rFonts w:ascii="Arial" w:hAnsi="Arial" w:cs="Arial"/>
          <w:color w:val="4472C4" w:themeColor="accent1"/>
          <w:sz w:val="28"/>
          <w:szCs w:val="28"/>
        </w:rPr>
        <w:t>Submitted by:</w:t>
      </w:r>
    </w:p>
    <w:p w14:paraId="023E733D" w14:textId="4D5EC876" w:rsidR="004B6E32" w:rsidRPr="00B948EE" w:rsidRDefault="004B6E32" w:rsidP="004B6E32">
      <w:pPr>
        <w:jc w:val="center"/>
        <w:rPr>
          <w:rFonts w:ascii="Arial" w:hAnsi="Arial" w:cs="Arial"/>
          <w:color w:val="4472C4" w:themeColor="accent1"/>
          <w:sz w:val="28"/>
          <w:szCs w:val="28"/>
        </w:rPr>
      </w:pPr>
      <w:r w:rsidRPr="00B948EE">
        <w:rPr>
          <w:rFonts w:ascii="Arial" w:hAnsi="Arial" w:cs="Arial"/>
          <w:color w:val="4472C4" w:themeColor="accent1"/>
          <w:sz w:val="28"/>
          <w:szCs w:val="28"/>
        </w:rPr>
        <w:t xml:space="preserve"> Sumangala Antonypillai</w:t>
      </w:r>
    </w:p>
    <w:p w14:paraId="483D3A4C" w14:textId="0B170743" w:rsidR="00B948EE" w:rsidRDefault="00B948EE" w:rsidP="004B6E32">
      <w:pPr>
        <w:jc w:val="center"/>
        <w:rPr>
          <w:rFonts w:ascii="Arial" w:hAnsi="Arial" w:cs="Arial"/>
          <w:color w:val="4472C4" w:themeColor="accent1"/>
          <w:sz w:val="28"/>
          <w:szCs w:val="28"/>
        </w:rPr>
      </w:pPr>
      <w:r w:rsidRPr="00B948EE">
        <w:rPr>
          <w:rFonts w:ascii="Arial" w:hAnsi="Arial" w:cs="Arial"/>
          <w:color w:val="4472C4" w:themeColor="accent1"/>
          <w:sz w:val="28"/>
          <w:szCs w:val="28"/>
        </w:rPr>
        <w:t>Student ID:1910064</w:t>
      </w:r>
    </w:p>
    <w:p w14:paraId="0D7E5C13" w14:textId="32F7F98B" w:rsidR="006964F3" w:rsidRPr="00B948EE" w:rsidRDefault="006964F3" w:rsidP="004B6E32">
      <w:pPr>
        <w:jc w:val="center"/>
        <w:rPr>
          <w:rFonts w:ascii="Arial" w:hAnsi="Arial" w:cs="Arial"/>
          <w:sz w:val="28"/>
          <w:szCs w:val="28"/>
        </w:rPr>
      </w:pPr>
      <w:r>
        <w:rPr>
          <w:rFonts w:ascii="Arial" w:hAnsi="Arial" w:cs="Arial"/>
          <w:color w:val="4472C4" w:themeColor="accent1"/>
          <w:sz w:val="28"/>
          <w:szCs w:val="28"/>
        </w:rPr>
        <w:t>Date: 25.11.2019</w:t>
      </w:r>
    </w:p>
    <w:p w14:paraId="59BB2C2A" w14:textId="59E145AC" w:rsidR="004B6E32" w:rsidRDefault="004B6E32">
      <w:pPr>
        <w:rPr>
          <w:sz w:val="44"/>
          <w:szCs w:val="44"/>
        </w:rPr>
      </w:pPr>
      <w:r>
        <w:rPr>
          <w:sz w:val="44"/>
          <w:szCs w:val="44"/>
        </w:rPr>
        <w:br w:type="page"/>
      </w:r>
    </w:p>
    <w:p w14:paraId="33AA5A44" w14:textId="77777777" w:rsidR="002D4B72" w:rsidRPr="00A14242" w:rsidRDefault="002D4B72" w:rsidP="002D4B72">
      <w:pPr>
        <w:spacing w:line="360" w:lineRule="auto"/>
        <w:jc w:val="both"/>
        <w:rPr>
          <w:rFonts w:ascii="Arial" w:hAnsi="Arial" w:cs="Arial"/>
          <w:b/>
          <w:bCs/>
          <w:sz w:val="24"/>
          <w:szCs w:val="24"/>
        </w:rPr>
      </w:pPr>
      <w:r w:rsidRPr="00A14242">
        <w:rPr>
          <w:rFonts w:ascii="Arial" w:hAnsi="Arial" w:cs="Arial"/>
          <w:b/>
          <w:bCs/>
          <w:sz w:val="24"/>
          <w:szCs w:val="24"/>
        </w:rPr>
        <w:lastRenderedPageBreak/>
        <w:t>Introduction</w:t>
      </w:r>
    </w:p>
    <w:p w14:paraId="2955B1AE" w14:textId="77777777" w:rsidR="002D4B72" w:rsidRPr="00A14242" w:rsidRDefault="002D4B72" w:rsidP="002D4B72">
      <w:pPr>
        <w:spacing w:line="360" w:lineRule="auto"/>
        <w:jc w:val="both"/>
        <w:rPr>
          <w:rFonts w:ascii="Arial" w:hAnsi="Arial" w:cs="Arial"/>
          <w:sz w:val="24"/>
          <w:szCs w:val="24"/>
        </w:rPr>
      </w:pPr>
      <w:r w:rsidRPr="00A14242">
        <w:rPr>
          <w:rFonts w:ascii="Arial" w:hAnsi="Arial" w:cs="Arial"/>
          <w:sz w:val="24"/>
          <w:szCs w:val="24"/>
        </w:rPr>
        <w:t>The emerging digital technologies have affected the telecommunication industry significantly. It changed the internal and micro</w:t>
      </w:r>
      <w:r>
        <w:rPr>
          <w:rFonts w:ascii="Arial" w:hAnsi="Arial" w:cs="Arial"/>
          <w:sz w:val="24"/>
          <w:szCs w:val="24"/>
        </w:rPr>
        <w:t xml:space="preserve">-environment of the companies and it is vital to adopt changes to thrive in the evolving ecosystem (Peter et al, 2015). </w:t>
      </w:r>
      <w:r w:rsidRPr="00A14242">
        <w:rPr>
          <w:rFonts w:ascii="Arial" w:hAnsi="Arial" w:cs="Arial"/>
          <w:sz w:val="24"/>
          <w:szCs w:val="24"/>
        </w:rPr>
        <w:t>Telstra experienced the same challenge and transformed its structures and strategies through innovative initiatives to be sustain in the market. The report discusses</w:t>
      </w:r>
      <w:r>
        <w:rPr>
          <w:rFonts w:ascii="Arial" w:hAnsi="Arial" w:cs="Arial"/>
          <w:sz w:val="24"/>
          <w:szCs w:val="24"/>
        </w:rPr>
        <w:t xml:space="preserve"> the</w:t>
      </w:r>
      <w:r w:rsidRPr="00A14242">
        <w:rPr>
          <w:rFonts w:ascii="Arial" w:hAnsi="Arial" w:cs="Arial"/>
          <w:sz w:val="24"/>
          <w:szCs w:val="24"/>
        </w:rPr>
        <w:t xml:space="preserve"> Digital disruptions and Telstra’s response to overcome the problem using Porter’s five force analysis and Porter’s value chain. Moreover, it evaluate</w:t>
      </w:r>
      <w:r>
        <w:rPr>
          <w:rFonts w:ascii="Arial" w:hAnsi="Arial" w:cs="Arial"/>
          <w:sz w:val="24"/>
          <w:szCs w:val="24"/>
        </w:rPr>
        <w:t>s</w:t>
      </w:r>
      <w:r w:rsidRPr="00A14242">
        <w:rPr>
          <w:rFonts w:ascii="Arial" w:hAnsi="Arial" w:cs="Arial"/>
          <w:sz w:val="24"/>
          <w:szCs w:val="24"/>
        </w:rPr>
        <w:t xml:space="preserve"> how the strengths and weakness of the company.</w:t>
      </w:r>
    </w:p>
    <w:p w14:paraId="578E24EB" w14:textId="7E9A2379" w:rsidR="002D4B72" w:rsidRPr="00A14242" w:rsidRDefault="002D4B72" w:rsidP="002D4B72">
      <w:pPr>
        <w:spacing w:line="360" w:lineRule="auto"/>
        <w:jc w:val="both"/>
        <w:rPr>
          <w:rFonts w:ascii="Arial" w:hAnsi="Arial" w:cs="Arial"/>
          <w:b/>
          <w:bCs/>
          <w:sz w:val="24"/>
          <w:szCs w:val="24"/>
        </w:rPr>
      </w:pPr>
      <w:r w:rsidRPr="00A14242">
        <w:rPr>
          <w:rFonts w:ascii="Arial" w:hAnsi="Arial" w:cs="Arial"/>
          <w:b/>
          <w:bCs/>
          <w:sz w:val="24"/>
          <w:szCs w:val="24"/>
        </w:rPr>
        <w:t>Porter’s five force model</w:t>
      </w:r>
    </w:p>
    <w:p w14:paraId="032B3ADE" w14:textId="77777777" w:rsidR="002D4B72" w:rsidRPr="00A14242" w:rsidRDefault="002D4B72" w:rsidP="002D4B72">
      <w:pPr>
        <w:spacing w:line="360" w:lineRule="auto"/>
        <w:jc w:val="both"/>
        <w:rPr>
          <w:rFonts w:ascii="Arial" w:hAnsi="Arial" w:cs="Arial"/>
          <w:sz w:val="24"/>
          <w:szCs w:val="24"/>
        </w:rPr>
      </w:pPr>
      <w:r w:rsidRPr="00A14242">
        <w:rPr>
          <w:rFonts w:ascii="Arial" w:hAnsi="Arial" w:cs="Arial"/>
          <w:sz w:val="24"/>
          <w:szCs w:val="24"/>
        </w:rPr>
        <w:t>Porter’s five force model highlights the key internal and microenvironment aspects of Telstra. The telecommunication industry needs a large</w:t>
      </w:r>
      <w:r>
        <w:rPr>
          <w:rFonts w:ascii="Arial" w:hAnsi="Arial" w:cs="Arial"/>
          <w:sz w:val="24"/>
          <w:szCs w:val="24"/>
        </w:rPr>
        <w:t>-</w:t>
      </w:r>
      <w:r w:rsidRPr="00A14242">
        <w:rPr>
          <w:rFonts w:ascii="Arial" w:hAnsi="Arial" w:cs="Arial"/>
          <w:sz w:val="24"/>
          <w:szCs w:val="24"/>
        </w:rPr>
        <w:t>scale investment to start a new business. Strict government requirements are there which should be fulfilled before any products can be sold by a new company. The industry has strong product differentiation. Each firm in the sector sells unique products than standardised ones. Therefore, new companies need to provide</w:t>
      </w:r>
      <w:r>
        <w:rPr>
          <w:rFonts w:ascii="Arial" w:hAnsi="Arial" w:cs="Arial"/>
          <w:sz w:val="24"/>
          <w:szCs w:val="24"/>
        </w:rPr>
        <w:t xml:space="preserve"> new products which are</w:t>
      </w:r>
      <w:r w:rsidRPr="00A14242">
        <w:rPr>
          <w:rFonts w:ascii="Arial" w:hAnsi="Arial" w:cs="Arial"/>
          <w:sz w:val="24"/>
          <w:szCs w:val="24"/>
        </w:rPr>
        <w:t xml:space="preserve"> not cheap. Further, making a new product and advertising are highly costly for </w:t>
      </w:r>
      <w:r w:rsidRPr="00A14242">
        <w:rPr>
          <w:rFonts w:ascii="Arial" w:hAnsi="Arial" w:cs="Arial"/>
          <w:sz w:val="24"/>
          <w:szCs w:val="24"/>
          <w:u w:val="single"/>
        </w:rPr>
        <w:t>new entrants</w:t>
      </w:r>
      <w:r>
        <w:rPr>
          <w:rFonts w:ascii="Arial" w:hAnsi="Arial" w:cs="Arial"/>
          <w:sz w:val="24"/>
          <w:szCs w:val="24"/>
          <w:u w:val="single"/>
        </w:rPr>
        <w:t xml:space="preserve"> </w:t>
      </w:r>
      <w:r w:rsidRPr="00845ED0">
        <w:rPr>
          <w:rFonts w:ascii="Arial" w:hAnsi="Arial" w:cs="Arial"/>
          <w:sz w:val="24"/>
          <w:szCs w:val="24"/>
        </w:rPr>
        <w:t>(Christopher, 2019</w:t>
      </w:r>
      <w:r>
        <w:rPr>
          <w:rFonts w:ascii="Arial" w:hAnsi="Arial" w:cs="Arial"/>
          <w:sz w:val="24"/>
          <w:szCs w:val="24"/>
          <w:u w:val="single"/>
        </w:rPr>
        <w:t>)</w:t>
      </w:r>
      <w:r w:rsidRPr="00A14242">
        <w:rPr>
          <w:rFonts w:ascii="Arial" w:hAnsi="Arial" w:cs="Arial"/>
          <w:sz w:val="24"/>
          <w:szCs w:val="24"/>
        </w:rPr>
        <w:t>. All of these affects the new businesses and make new entrants as a weaker force in the industry although they have some easy access to distribution networks. Telstra takes advantage through the high initial costs and has been providing differentiated products to build its brand identity.</w:t>
      </w:r>
    </w:p>
    <w:p w14:paraId="2C7E14EA" w14:textId="77777777" w:rsidR="002D4B72" w:rsidRPr="00A14242" w:rsidRDefault="002D4B72" w:rsidP="002D4B72">
      <w:pPr>
        <w:spacing w:line="360" w:lineRule="auto"/>
        <w:jc w:val="both"/>
        <w:rPr>
          <w:rFonts w:ascii="Arial" w:hAnsi="Arial" w:cs="Arial"/>
          <w:sz w:val="24"/>
          <w:szCs w:val="24"/>
        </w:rPr>
      </w:pPr>
      <w:r w:rsidRPr="00A14242">
        <w:rPr>
          <w:rFonts w:ascii="Arial" w:hAnsi="Arial" w:cs="Arial"/>
          <w:sz w:val="24"/>
          <w:szCs w:val="24"/>
        </w:rPr>
        <w:t xml:space="preserve">The </w:t>
      </w:r>
      <w:r w:rsidRPr="00A14242">
        <w:rPr>
          <w:rFonts w:ascii="Arial" w:hAnsi="Arial" w:cs="Arial"/>
          <w:sz w:val="24"/>
          <w:szCs w:val="24"/>
          <w:u w:val="single"/>
        </w:rPr>
        <w:t>suppliers</w:t>
      </w:r>
      <w:r w:rsidRPr="00A14242">
        <w:rPr>
          <w:rFonts w:ascii="Arial" w:hAnsi="Arial" w:cs="Arial"/>
          <w:sz w:val="24"/>
          <w:szCs w:val="24"/>
        </w:rPr>
        <w:t xml:space="preserve"> in the industry has increased due to the digital technologies. Usually they provide standardised products and the cost to change from one to another is less. However, on the other hand, there are usually no substitutes for the products. Thus</w:t>
      </w:r>
      <w:r>
        <w:rPr>
          <w:rFonts w:ascii="Arial" w:hAnsi="Arial" w:cs="Arial"/>
          <w:sz w:val="24"/>
          <w:szCs w:val="24"/>
        </w:rPr>
        <w:t>,</w:t>
      </w:r>
      <w:r w:rsidRPr="00A14242">
        <w:rPr>
          <w:rFonts w:ascii="Arial" w:hAnsi="Arial" w:cs="Arial"/>
          <w:sz w:val="24"/>
          <w:szCs w:val="24"/>
        </w:rPr>
        <w:t xml:space="preserve"> the suppliers ha</w:t>
      </w:r>
      <w:r>
        <w:rPr>
          <w:rFonts w:ascii="Arial" w:hAnsi="Arial" w:cs="Arial"/>
          <w:sz w:val="24"/>
          <w:szCs w:val="24"/>
        </w:rPr>
        <w:t>ve</w:t>
      </w:r>
      <w:r w:rsidRPr="00A14242">
        <w:rPr>
          <w:rFonts w:ascii="Arial" w:hAnsi="Arial" w:cs="Arial"/>
          <w:sz w:val="24"/>
          <w:szCs w:val="24"/>
        </w:rPr>
        <w:t xml:space="preserve"> a bargaining balance. Telstra adopted Australian Supplier Payment Code in 2017 to pay on time. It has around 3000 small business from Australia as suppliers and spends 1 billion AUD on them</w:t>
      </w:r>
      <w:r>
        <w:rPr>
          <w:rFonts w:ascii="Arial" w:hAnsi="Arial" w:cs="Arial"/>
          <w:sz w:val="24"/>
          <w:szCs w:val="24"/>
        </w:rPr>
        <w:t xml:space="preserve"> (Telstra,2018)</w:t>
      </w:r>
      <w:r w:rsidRPr="00A14242">
        <w:rPr>
          <w:rFonts w:ascii="Arial" w:hAnsi="Arial" w:cs="Arial"/>
          <w:sz w:val="24"/>
          <w:szCs w:val="24"/>
        </w:rPr>
        <w:t>. This is a two</w:t>
      </w:r>
      <w:r>
        <w:rPr>
          <w:rFonts w:ascii="Arial" w:hAnsi="Arial" w:cs="Arial"/>
          <w:sz w:val="24"/>
          <w:szCs w:val="24"/>
        </w:rPr>
        <w:t>-</w:t>
      </w:r>
      <w:r w:rsidRPr="00A14242">
        <w:rPr>
          <w:rFonts w:ascii="Arial" w:hAnsi="Arial" w:cs="Arial"/>
          <w:sz w:val="24"/>
          <w:szCs w:val="24"/>
        </w:rPr>
        <w:t>way strategy of marketing to include as many businesses as possible to remain with Telstra both as suppliers and potentially as customers.</w:t>
      </w:r>
    </w:p>
    <w:p w14:paraId="7BF52CAC" w14:textId="77777777" w:rsidR="002D4B72" w:rsidRPr="00A14242" w:rsidRDefault="002D4B72" w:rsidP="002D4B72">
      <w:pPr>
        <w:spacing w:line="360" w:lineRule="auto"/>
        <w:jc w:val="both"/>
        <w:rPr>
          <w:rFonts w:ascii="Arial" w:hAnsi="Arial" w:cs="Arial"/>
          <w:sz w:val="24"/>
          <w:szCs w:val="24"/>
        </w:rPr>
      </w:pPr>
      <w:r w:rsidRPr="00A14242">
        <w:rPr>
          <w:rFonts w:ascii="Arial" w:hAnsi="Arial" w:cs="Arial"/>
          <w:sz w:val="24"/>
          <w:szCs w:val="24"/>
        </w:rPr>
        <w:t xml:space="preserve">Traditionally bargaining power of the </w:t>
      </w:r>
      <w:r w:rsidRPr="00A14242">
        <w:rPr>
          <w:rFonts w:ascii="Arial" w:hAnsi="Arial" w:cs="Arial"/>
          <w:sz w:val="24"/>
          <w:szCs w:val="24"/>
          <w:u w:val="single"/>
        </w:rPr>
        <w:t>buyers</w:t>
      </w:r>
      <w:r w:rsidRPr="00A14242">
        <w:rPr>
          <w:rFonts w:ascii="Arial" w:hAnsi="Arial" w:cs="Arial"/>
          <w:sz w:val="24"/>
          <w:szCs w:val="24"/>
        </w:rPr>
        <w:t xml:space="preserve"> were low in the telecommunication industry with limited choices and high product differentiation. However, the digital age brought new forms of alternatives such as Viber and Skype which put Telstra in a </w:t>
      </w:r>
      <w:r w:rsidRPr="00A14242">
        <w:rPr>
          <w:rFonts w:ascii="Arial" w:hAnsi="Arial" w:cs="Arial"/>
          <w:sz w:val="24"/>
          <w:szCs w:val="24"/>
        </w:rPr>
        <w:lastRenderedPageBreak/>
        <w:t>position to compromise its income or introduce products as per customer requirements. Telstra took an initiative to provide quality products at cheap price to overcome this issue. Customer trends shaped Telstra’s products, marketing and quality of the products</w:t>
      </w:r>
      <w:r>
        <w:rPr>
          <w:rFonts w:ascii="Arial" w:hAnsi="Arial" w:cs="Arial"/>
          <w:sz w:val="24"/>
          <w:szCs w:val="24"/>
        </w:rPr>
        <w:t xml:space="preserve"> (ACCC,2018)</w:t>
      </w:r>
      <w:r w:rsidRPr="00A14242">
        <w:rPr>
          <w:rFonts w:ascii="Arial" w:hAnsi="Arial" w:cs="Arial"/>
          <w:sz w:val="24"/>
          <w:szCs w:val="24"/>
        </w:rPr>
        <w:t>.</w:t>
      </w:r>
    </w:p>
    <w:p w14:paraId="07BFC743" w14:textId="77777777" w:rsidR="002D4B72" w:rsidRPr="00A14242" w:rsidRDefault="002D4B72" w:rsidP="002D4B72">
      <w:pPr>
        <w:spacing w:line="360" w:lineRule="auto"/>
        <w:jc w:val="both"/>
        <w:rPr>
          <w:rFonts w:ascii="Arial" w:hAnsi="Arial" w:cs="Arial"/>
          <w:sz w:val="24"/>
          <w:szCs w:val="24"/>
        </w:rPr>
      </w:pPr>
      <w:r w:rsidRPr="00A14242">
        <w:rPr>
          <w:rFonts w:ascii="Arial" w:hAnsi="Arial" w:cs="Arial"/>
          <w:sz w:val="24"/>
          <w:szCs w:val="24"/>
        </w:rPr>
        <w:t xml:space="preserve">Modern science has brought many </w:t>
      </w:r>
      <w:r w:rsidRPr="00A14242">
        <w:rPr>
          <w:rFonts w:ascii="Arial" w:hAnsi="Arial" w:cs="Arial"/>
          <w:sz w:val="24"/>
          <w:szCs w:val="24"/>
          <w:u w:val="single"/>
        </w:rPr>
        <w:t>substitute</w:t>
      </w:r>
      <w:r w:rsidRPr="00A14242">
        <w:rPr>
          <w:rFonts w:ascii="Arial" w:hAnsi="Arial" w:cs="Arial"/>
          <w:sz w:val="24"/>
          <w:szCs w:val="24"/>
        </w:rPr>
        <w:t xml:space="preserve"> products and services in the telecommunication industry. Further, some are more advanced. For example, a standard mobile call has now been replaced with a video call via internet. However, it has not taken the companies out of the scene as the functional aspects still needs an internet provider and a mobile phone with a sim. Thus, Telstra decided to provide quality services and expanded its network.</w:t>
      </w:r>
    </w:p>
    <w:p w14:paraId="634C03B8" w14:textId="77777777" w:rsidR="002D4B72" w:rsidRPr="00A14242" w:rsidRDefault="002D4B72" w:rsidP="002D4B72">
      <w:pPr>
        <w:spacing w:line="360" w:lineRule="auto"/>
        <w:jc w:val="both"/>
        <w:rPr>
          <w:rFonts w:ascii="Arial" w:hAnsi="Arial" w:cs="Arial"/>
          <w:sz w:val="24"/>
          <w:szCs w:val="24"/>
        </w:rPr>
      </w:pPr>
      <w:r w:rsidRPr="00A14242">
        <w:rPr>
          <w:rFonts w:ascii="Arial" w:hAnsi="Arial" w:cs="Arial"/>
          <w:sz w:val="24"/>
          <w:szCs w:val="24"/>
        </w:rPr>
        <w:t xml:space="preserve">Although the number of core </w:t>
      </w:r>
      <w:r w:rsidRPr="00A14242">
        <w:rPr>
          <w:rFonts w:ascii="Arial" w:hAnsi="Arial" w:cs="Arial"/>
          <w:sz w:val="24"/>
          <w:szCs w:val="24"/>
          <w:u w:val="single"/>
        </w:rPr>
        <w:t>competitors</w:t>
      </w:r>
      <w:r w:rsidRPr="00A14242">
        <w:rPr>
          <w:rFonts w:ascii="Arial" w:hAnsi="Arial" w:cs="Arial"/>
          <w:sz w:val="24"/>
          <w:szCs w:val="24"/>
        </w:rPr>
        <w:t xml:space="preserve"> in the industry are few, the competitors’ moves are significant towards becoming market leaders. Some of its competitors include Vodafone, iiNet, and Optus (</w:t>
      </w:r>
      <w:proofErr w:type="spellStart"/>
      <w:r w:rsidRPr="00A14242">
        <w:rPr>
          <w:rFonts w:ascii="Arial" w:hAnsi="Arial" w:cs="Arial"/>
          <w:sz w:val="24"/>
          <w:szCs w:val="24"/>
        </w:rPr>
        <w:t>Tesfamicael</w:t>
      </w:r>
      <w:proofErr w:type="spellEnd"/>
      <w:r w:rsidRPr="00A14242">
        <w:rPr>
          <w:rFonts w:ascii="Arial" w:hAnsi="Arial" w:cs="Arial"/>
          <w:sz w:val="24"/>
          <w:szCs w:val="24"/>
        </w:rPr>
        <w:t xml:space="preserve"> et al, 2017). The competitors use the same available digital technologies to achieve this by providing cheap and differentiated products. In this regard, the rivalry among existing firms has become a strong force. Telstra handles this towards expanding its customer base. It planned to invest 3billion AUD to achieve its goals by 2022.</w:t>
      </w:r>
    </w:p>
    <w:p w14:paraId="76379464" w14:textId="77777777" w:rsidR="002D4B72" w:rsidRPr="00A14242" w:rsidRDefault="002D4B72" w:rsidP="002D4B72">
      <w:pPr>
        <w:spacing w:line="360" w:lineRule="auto"/>
        <w:jc w:val="both"/>
        <w:rPr>
          <w:rFonts w:ascii="Arial" w:hAnsi="Arial" w:cs="Arial"/>
          <w:sz w:val="24"/>
          <w:szCs w:val="24"/>
        </w:rPr>
      </w:pPr>
      <w:r w:rsidRPr="00A14242">
        <w:rPr>
          <w:rFonts w:ascii="Arial" w:hAnsi="Arial" w:cs="Arial"/>
          <w:sz w:val="24"/>
          <w:szCs w:val="24"/>
        </w:rPr>
        <w:t xml:space="preserve">In summary, the porter’s five force model analysis clearly shows how the digital technologies changed Telstra’s micro and internal environment. It is evident in its strategies, products and </w:t>
      </w:r>
      <w:proofErr w:type="gramStart"/>
      <w:r w:rsidRPr="00A14242">
        <w:rPr>
          <w:rFonts w:ascii="Arial" w:hAnsi="Arial" w:cs="Arial"/>
          <w:sz w:val="24"/>
          <w:szCs w:val="24"/>
        </w:rPr>
        <w:t>future</w:t>
      </w:r>
      <w:r>
        <w:rPr>
          <w:rFonts w:ascii="Arial" w:hAnsi="Arial" w:cs="Arial"/>
          <w:sz w:val="24"/>
          <w:szCs w:val="24"/>
        </w:rPr>
        <w:t xml:space="preserve"> plans</w:t>
      </w:r>
      <w:proofErr w:type="gramEnd"/>
      <w:r>
        <w:rPr>
          <w:rFonts w:ascii="Arial" w:hAnsi="Arial" w:cs="Arial"/>
          <w:sz w:val="24"/>
          <w:szCs w:val="24"/>
        </w:rPr>
        <w:t>.</w:t>
      </w:r>
      <w:r w:rsidRPr="00A14242">
        <w:rPr>
          <w:rFonts w:ascii="Arial" w:hAnsi="Arial" w:cs="Arial"/>
          <w:sz w:val="24"/>
          <w:szCs w:val="24"/>
        </w:rPr>
        <w:t xml:space="preserve"> </w:t>
      </w:r>
    </w:p>
    <w:p w14:paraId="4D44A568" w14:textId="77777777" w:rsidR="002D4B72" w:rsidRPr="00A14242" w:rsidRDefault="002D4B72" w:rsidP="002D4B72">
      <w:pPr>
        <w:spacing w:line="360" w:lineRule="auto"/>
        <w:jc w:val="both"/>
        <w:rPr>
          <w:rFonts w:ascii="Arial" w:hAnsi="Arial" w:cs="Arial"/>
          <w:b/>
          <w:bCs/>
          <w:sz w:val="24"/>
          <w:szCs w:val="24"/>
        </w:rPr>
      </w:pPr>
      <w:r w:rsidRPr="00A14242">
        <w:rPr>
          <w:rFonts w:ascii="Arial" w:hAnsi="Arial" w:cs="Arial"/>
          <w:b/>
          <w:bCs/>
          <w:sz w:val="24"/>
          <w:szCs w:val="24"/>
        </w:rPr>
        <w:t>Porter’s Value Chain</w:t>
      </w:r>
    </w:p>
    <w:p w14:paraId="5D8A61F8" w14:textId="77777777" w:rsidR="002D4B72" w:rsidRPr="00A14242" w:rsidRDefault="002D4B72" w:rsidP="002D4B72">
      <w:pPr>
        <w:spacing w:line="360" w:lineRule="auto"/>
        <w:jc w:val="both"/>
        <w:rPr>
          <w:rFonts w:ascii="Arial" w:hAnsi="Arial" w:cs="Arial"/>
          <w:sz w:val="24"/>
          <w:szCs w:val="24"/>
        </w:rPr>
      </w:pPr>
      <w:r w:rsidRPr="00A14242">
        <w:rPr>
          <w:rFonts w:ascii="Arial" w:hAnsi="Arial" w:cs="Arial"/>
          <w:sz w:val="24"/>
          <w:szCs w:val="24"/>
        </w:rPr>
        <w:t>Telstra has a strong value chain and designed it to ensure its primary and secondary activities as per recent digital demands. By creating new strategies</w:t>
      </w:r>
      <w:r>
        <w:rPr>
          <w:rFonts w:ascii="Arial" w:hAnsi="Arial" w:cs="Arial"/>
          <w:sz w:val="24"/>
          <w:szCs w:val="24"/>
        </w:rPr>
        <w:t>,</w:t>
      </w:r>
      <w:r w:rsidRPr="00A14242">
        <w:rPr>
          <w:rFonts w:ascii="Arial" w:hAnsi="Arial" w:cs="Arial"/>
          <w:sz w:val="24"/>
          <w:szCs w:val="24"/>
        </w:rPr>
        <w:t xml:space="preserve"> it developed strong relationships with small businesses to ensure inbound logistics are in place</w:t>
      </w:r>
      <w:r>
        <w:rPr>
          <w:rFonts w:ascii="Arial" w:hAnsi="Arial" w:cs="Arial"/>
          <w:sz w:val="24"/>
          <w:szCs w:val="24"/>
        </w:rPr>
        <w:t xml:space="preserve"> (Telstra,2018)</w:t>
      </w:r>
      <w:r w:rsidRPr="00A14242">
        <w:rPr>
          <w:rFonts w:ascii="Arial" w:hAnsi="Arial" w:cs="Arial"/>
          <w:sz w:val="24"/>
          <w:szCs w:val="24"/>
        </w:rPr>
        <w:t>. Telstra has introduced modern machinery and digital technologies to do its operations such as new software for internal communications and testing the quality. The outbound logistics are monitored by tracking systems and actively involving intermediaries</w:t>
      </w:r>
      <w:r>
        <w:rPr>
          <w:rFonts w:ascii="Arial" w:hAnsi="Arial" w:cs="Arial"/>
          <w:sz w:val="24"/>
          <w:szCs w:val="24"/>
        </w:rPr>
        <w:t xml:space="preserve"> (Telstra, 2018)</w:t>
      </w:r>
      <w:r w:rsidRPr="00A14242">
        <w:rPr>
          <w:rFonts w:ascii="Arial" w:hAnsi="Arial" w:cs="Arial"/>
          <w:sz w:val="24"/>
          <w:szCs w:val="24"/>
        </w:rPr>
        <w:t xml:space="preserve">. </w:t>
      </w:r>
    </w:p>
    <w:p w14:paraId="20DD431C" w14:textId="77777777" w:rsidR="002D4B72" w:rsidRPr="00A14242" w:rsidRDefault="002D4B72" w:rsidP="002D4B72">
      <w:pPr>
        <w:spacing w:line="360" w:lineRule="auto"/>
        <w:jc w:val="both"/>
        <w:rPr>
          <w:rFonts w:ascii="Arial" w:hAnsi="Arial" w:cs="Arial"/>
          <w:sz w:val="24"/>
          <w:szCs w:val="24"/>
        </w:rPr>
      </w:pPr>
      <w:r w:rsidRPr="00A14242">
        <w:rPr>
          <w:rFonts w:ascii="Arial" w:hAnsi="Arial" w:cs="Arial"/>
          <w:sz w:val="24"/>
          <w:szCs w:val="24"/>
        </w:rPr>
        <w:t xml:space="preserve">Marketing and sales of Telstra have experienced a considerable change to match the digital disruption. Telstra adopted digital marketing partnerships, product promotions and developed strong bonds with other stake holders. When services are considered, </w:t>
      </w:r>
      <w:r w:rsidRPr="00A14242">
        <w:rPr>
          <w:rFonts w:ascii="Arial" w:hAnsi="Arial" w:cs="Arial"/>
          <w:sz w:val="24"/>
          <w:szCs w:val="24"/>
        </w:rPr>
        <w:lastRenderedPageBreak/>
        <w:t>it introduced new teams and online artificial intelligent support systems. Further Telstra crowd support platform has become a game changer.</w:t>
      </w:r>
    </w:p>
    <w:p w14:paraId="63643EBE" w14:textId="77777777" w:rsidR="002D4B72" w:rsidRPr="00A14242" w:rsidRDefault="002D4B72" w:rsidP="002D4B72">
      <w:pPr>
        <w:spacing w:line="360" w:lineRule="auto"/>
        <w:jc w:val="both"/>
        <w:rPr>
          <w:rFonts w:ascii="Arial" w:hAnsi="Arial" w:cs="Arial"/>
          <w:sz w:val="24"/>
          <w:szCs w:val="24"/>
        </w:rPr>
      </w:pPr>
      <w:r w:rsidRPr="00A14242">
        <w:rPr>
          <w:rFonts w:ascii="Arial" w:hAnsi="Arial" w:cs="Arial"/>
          <w:sz w:val="24"/>
          <w:szCs w:val="24"/>
        </w:rPr>
        <w:t>The company revolutionised its internal environment which can be analysed through the secondary activities of the porter’s value chain</w:t>
      </w:r>
      <w:r>
        <w:rPr>
          <w:rFonts w:ascii="Arial" w:hAnsi="Arial" w:cs="Arial"/>
          <w:sz w:val="24"/>
          <w:szCs w:val="24"/>
        </w:rPr>
        <w:t xml:space="preserve"> (Telstra, 2018)</w:t>
      </w:r>
      <w:r w:rsidRPr="00A14242">
        <w:rPr>
          <w:rFonts w:ascii="Arial" w:hAnsi="Arial" w:cs="Arial"/>
          <w:sz w:val="24"/>
          <w:szCs w:val="24"/>
        </w:rPr>
        <w:t xml:space="preserve">. The firm’s infrastructure with staffing has changed. It reduced the number of employees. Rather than experience, it invested in modern talent as the new approach has nothing to do with the experience but the thinking power and capacity to provide new ideas. It further went on to bring your own device policy to make most out of the employees. It developed new technologies for intra company communication and created new teams to support the employees, via telecommunication.  It ensured its procurement chain to make timely purchases, quality products and deliveries with delay. Telstra purchased materials and services from 45 different countries last year for 13.9 billion dollars. The diversity and amount </w:t>
      </w:r>
      <w:r>
        <w:rPr>
          <w:rFonts w:ascii="Arial" w:hAnsi="Arial" w:cs="Arial"/>
          <w:sz w:val="24"/>
          <w:szCs w:val="24"/>
        </w:rPr>
        <w:t>of the cost have</w:t>
      </w:r>
      <w:r w:rsidRPr="00A14242">
        <w:rPr>
          <w:rFonts w:ascii="Arial" w:hAnsi="Arial" w:cs="Arial"/>
          <w:sz w:val="24"/>
          <w:szCs w:val="24"/>
        </w:rPr>
        <w:t xml:space="preserve"> been positively driven by the digital disruptions in the industry.</w:t>
      </w:r>
    </w:p>
    <w:p w14:paraId="17C7FA5C" w14:textId="77777777" w:rsidR="002D4B72" w:rsidRPr="00A14242" w:rsidRDefault="002D4B72" w:rsidP="002D4B72">
      <w:pPr>
        <w:pStyle w:val="Heading2"/>
        <w:rPr>
          <w:rFonts w:ascii="Arial" w:hAnsi="Arial" w:cs="Arial"/>
          <w:i w:val="0"/>
          <w:iCs/>
          <w:szCs w:val="24"/>
        </w:rPr>
      </w:pPr>
      <w:bookmarkStart w:id="0" w:name="_Toc25158138"/>
      <w:r w:rsidRPr="00A14242">
        <w:rPr>
          <w:rFonts w:ascii="Arial" w:hAnsi="Arial" w:cs="Arial"/>
          <w:i w:val="0"/>
          <w:iCs/>
          <w:szCs w:val="24"/>
        </w:rPr>
        <w:t>Competitive advantage</w:t>
      </w:r>
      <w:bookmarkEnd w:id="0"/>
    </w:p>
    <w:p w14:paraId="6DDC4E25" w14:textId="77777777" w:rsidR="002D4B72" w:rsidRPr="00A14242" w:rsidRDefault="002D4B72" w:rsidP="002D4B72">
      <w:pPr>
        <w:spacing w:line="360" w:lineRule="auto"/>
        <w:jc w:val="both"/>
        <w:rPr>
          <w:rFonts w:ascii="Arial" w:hAnsi="Arial" w:cs="Arial"/>
          <w:sz w:val="24"/>
          <w:szCs w:val="24"/>
        </w:rPr>
      </w:pPr>
      <w:r w:rsidRPr="00A14242">
        <w:rPr>
          <w:rFonts w:ascii="Arial" w:hAnsi="Arial" w:cs="Arial"/>
          <w:sz w:val="24"/>
          <w:szCs w:val="24"/>
        </w:rPr>
        <w:t xml:space="preserve">Taking account of various strategies adopted by Telstra along with the market conditions and influencing factors, it has achieved a competitive advantage in the industry relating to telecommunications as far as Australia is concerned. It has been observed off late that Telstra been free from government control and is framing and executing strategies to serve customers in a better manner. </w:t>
      </w:r>
    </w:p>
    <w:p w14:paraId="37AEE085" w14:textId="77777777" w:rsidR="002D4B72" w:rsidRPr="00A14242" w:rsidRDefault="002D4B72" w:rsidP="002D4B72">
      <w:pPr>
        <w:spacing w:line="360" w:lineRule="auto"/>
        <w:jc w:val="both"/>
        <w:rPr>
          <w:rFonts w:ascii="Arial" w:hAnsi="Arial" w:cs="Arial"/>
          <w:sz w:val="24"/>
          <w:szCs w:val="24"/>
        </w:rPr>
      </w:pPr>
      <w:r w:rsidRPr="00A14242">
        <w:rPr>
          <w:rFonts w:ascii="Arial" w:hAnsi="Arial" w:cs="Arial"/>
          <w:sz w:val="24"/>
          <w:szCs w:val="24"/>
        </w:rPr>
        <w:t>It implies the concept of Customer Relationship Management at the organisational level (</w:t>
      </w:r>
      <w:proofErr w:type="spellStart"/>
      <w:r w:rsidRPr="00A14242">
        <w:rPr>
          <w:rFonts w:ascii="Arial" w:hAnsi="Arial" w:cs="Arial"/>
          <w:color w:val="222222"/>
          <w:sz w:val="24"/>
          <w:szCs w:val="24"/>
          <w:shd w:val="clear" w:color="auto" w:fill="FFFFFF"/>
        </w:rPr>
        <w:t>Namada</w:t>
      </w:r>
      <w:proofErr w:type="spellEnd"/>
      <w:r w:rsidRPr="00A14242">
        <w:rPr>
          <w:rFonts w:ascii="Arial" w:hAnsi="Arial" w:cs="Arial"/>
          <w:color w:val="222222"/>
          <w:sz w:val="24"/>
          <w:szCs w:val="24"/>
          <w:shd w:val="clear" w:color="auto" w:fill="FFFFFF"/>
        </w:rPr>
        <w:t>, 2018)</w:t>
      </w:r>
      <w:r w:rsidRPr="00A14242">
        <w:rPr>
          <w:rFonts w:ascii="Arial" w:hAnsi="Arial" w:cs="Arial"/>
          <w:sz w:val="24"/>
          <w:szCs w:val="24"/>
        </w:rPr>
        <w:t>. It would help in the attraction of customers to a huge level. As a result, it would gain a competitive edge at a further level in the telecommunications industry thereby leading to a huge amount of revenues and profits.</w:t>
      </w:r>
      <w:r>
        <w:rPr>
          <w:rFonts w:ascii="Arial" w:hAnsi="Arial" w:cs="Arial"/>
          <w:sz w:val="24"/>
          <w:szCs w:val="24"/>
        </w:rPr>
        <w:t xml:space="preserve"> </w:t>
      </w:r>
      <w:r w:rsidRPr="00A14242">
        <w:rPr>
          <w:rFonts w:ascii="Arial" w:hAnsi="Arial" w:cs="Arial"/>
          <w:sz w:val="24"/>
          <w:szCs w:val="24"/>
        </w:rPr>
        <w:t>The program related to change management for Telstra at the organisational level has also implied competitiveness on its part accordingly (</w:t>
      </w:r>
      <w:proofErr w:type="spellStart"/>
      <w:r w:rsidRPr="00A14242">
        <w:rPr>
          <w:rFonts w:ascii="Arial" w:hAnsi="Arial" w:cs="Arial"/>
          <w:color w:val="222222"/>
          <w:sz w:val="24"/>
          <w:szCs w:val="24"/>
          <w:shd w:val="clear" w:color="auto" w:fill="FFFFFF"/>
        </w:rPr>
        <w:t>Matzler</w:t>
      </w:r>
      <w:proofErr w:type="spellEnd"/>
      <w:r w:rsidRPr="00A14242">
        <w:rPr>
          <w:rFonts w:ascii="Arial" w:hAnsi="Arial" w:cs="Arial"/>
          <w:color w:val="222222"/>
          <w:sz w:val="24"/>
          <w:szCs w:val="24"/>
          <w:shd w:val="clear" w:color="auto" w:fill="FFFFFF"/>
        </w:rPr>
        <w:t xml:space="preserve"> et al., 2015)</w:t>
      </w:r>
      <w:r w:rsidRPr="00A14242">
        <w:rPr>
          <w:rFonts w:ascii="Arial" w:hAnsi="Arial" w:cs="Arial"/>
          <w:sz w:val="24"/>
          <w:szCs w:val="24"/>
        </w:rPr>
        <w:t xml:space="preserve">. </w:t>
      </w:r>
    </w:p>
    <w:p w14:paraId="4AE82A8E" w14:textId="77777777" w:rsidR="002D4B72" w:rsidRPr="00A14242" w:rsidRDefault="002D4B72" w:rsidP="002D4B72">
      <w:pPr>
        <w:spacing w:line="360" w:lineRule="auto"/>
        <w:jc w:val="both"/>
        <w:rPr>
          <w:rFonts w:ascii="Arial" w:hAnsi="Arial" w:cs="Arial"/>
          <w:sz w:val="24"/>
          <w:szCs w:val="24"/>
        </w:rPr>
      </w:pPr>
      <w:r w:rsidRPr="00A14242">
        <w:rPr>
          <w:rFonts w:ascii="Arial" w:hAnsi="Arial" w:cs="Arial"/>
          <w:sz w:val="24"/>
          <w:szCs w:val="24"/>
        </w:rPr>
        <w:t xml:space="preserve">Its uniqueness in terms of products and services also </w:t>
      </w:r>
      <w:r>
        <w:rPr>
          <w:rFonts w:ascii="Arial" w:hAnsi="Arial" w:cs="Arial"/>
          <w:sz w:val="24"/>
          <w:szCs w:val="24"/>
        </w:rPr>
        <w:t>helped in</w:t>
      </w:r>
      <w:r w:rsidRPr="00A14242">
        <w:rPr>
          <w:rFonts w:ascii="Arial" w:hAnsi="Arial" w:cs="Arial"/>
          <w:sz w:val="24"/>
          <w:szCs w:val="24"/>
        </w:rPr>
        <w:t xml:space="preserve"> achiev</w:t>
      </w:r>
      <w:r>
        <w:rPr>
          <w:rFonts w:ascii="Arial" w:hAnsi="Arial" w:cs="Arial"/>
          <w:sz w:val="24"/>
          <w:szCs w:val="24"/>
        </w:rPr>
        <w:t>ing</w:t>
      </w:r>
      <w:r w:rsidRPr="00A14242">
        <w:rPr>
          <w:rFonts w:ascii="Arial" w:hAnsi="Arial" w:cs="Arial"/>
          <w:sz w:val="24"/>
          <w:szCs w:val="24"/>
        </w:rPr>
        <w:t xml:space="preserve"> of</w:t>
      </w:r>
      <w:r>
        <w:rPr>
          <w:rFonts w:ascii="Arial" w:hAnsi="Arial" w:cs="Arial"/>
          <w:sz w:val="24"/>
          <w:szCs w:val="24"/>
        </w:rPr>
        <w:t xml:space="preserve"> the</w:t>
      </w:r>
      <w:r w:rsidRPr="00A14242">
        <w:rPr>
          <w:rFonts w:ascii="Arial" w:hAnsi="Arial" w:cs="Arial"/>
          <w:sz w:val="24"/>
          <w:szCs w:val="24"/>
        </w:rPr>
        <w:t xml:space="preserve"> competitive advantage</w:t>
      </w:r>
      <w:r>
        <w:rPr>
          <w:rFonts w:ascii="Arial" w:hAnsi="Arial" w:cs="Arial"/>
          <w:sz w:val="24"/>
          <w:szCs w:val="24"/>
        </w:rPr>
        <w:t xml:space="preserve">. </w:t>
      </w:r>
      <w:r w:rsidRPr="00A14242">
        <w:rPr>
          <w:rFonts w:ascii="Arial" w:hAnsi="Arial" w:cs="Arial"/>
          <w:sz w:val="24"/>
          <w:szCs w:val="24"/>
        </w:rPr>
        <w:t xml:space="preserve">The various kinds of internet services provided by Telstra also define it to be different from other organisations, most notably its competitors. </w:t>
      </w:r>
    </w:p>
    <w:p w14:paraId="47B55411" w14:textId="77777777" w:rsidR="002D4B72" w:rsidRPr="00CD2614" w:rsidRDefault="002D4B72" w:rsidP="002D4B72">
      <w:pPr>
        <w:pStyle w:val="Heading3"/>
        <w:spacing w:line="360" w:lineRule="auto"/>
        <w:jc w:val="both"/>
        <w:rPr>
          <w:rFonts w:ascii="Arial" w:hAnsi="Arial" w:cs="Arial"/>
          <w:b/>
          <w:bCs/>
          <w:color w:val="000000" w:themeColor="text1"/>
        </w:rPr>
      </w:pPr>
      <w:bookmarkStart w:id="1" w:name="_Toc24806240"/>
      <w:r w:rsidRPr="00CD2614">
        <w:rPr>
          <w:rFonts w:ascii="Arial" w:hAnsi="Arial" w:cs="Arial"/>
          <w:b/>
          <w:bCs/>
          <w:color w:val="000000" w:themeColor="text1"/>
        </w:rPr>
        <w:t>Intermediaries</w:t>
      </w:r>
      <w:bookmarkEnd w:id="1"/>
    </w:p>
    <w:p w14:paraId="1266D8C9" w14:textId="77777777" w:rsidR="002D4B72" w:rsidRPr="00A14242" w:rsidRDefault="002D4B72" w:rsidP="002D4B72">
      <w:pPr>
        <w:spacing w:line="360" w:lineRule="auto"/>
        <w:jc w:val="both"/>
        <w:rPr>
          <w:rFonts w:ascii="Arial" w:hAnsi="Arial" w:cs="Arial"/>
          <w:color w:val="000000" w:themeColor="text1"/>
          <w:sz w:val="24"/>
          <w:szCs w:val="24"/>
        </w:rPr>
      </w:pPr>
      <w:r w:rsidRPr="00A14242">
        <w:rPr>
          <w:rFonts w:ascii="Arial" w:hAnsi="Arial" w:cs="Arial"/>
          <w:bCs/>
          <w:color w:val="000000" w:themeColor="text1"/>
          <w:sz w:val="24"/>
          <w:szCs w:val="24"/>
          <w:shd w:val="clear" w:color="auto" w:fill="FFFFFF"/>
        </w:rPr>
        <w:t>Telstra Corporation</w:t>
      </w:r>
      <w:r>
        <w:rPr>
          <w:rFonts w:ascii="Arial" w:hAnsi="Arial" w:cs="Arial"/>
          <w:bCs/>
          <w:color w:val="000000" w:themeColor="text1"/>
          <w:sz w:val="24"/>
          <w:szCs w:val="24"/>
          <w:shd w:val="clear" w:color="auto" w:fill="FFFFFF"/>
        </w:rPr>
        <w:t>’s</w:t>
      </w:r>
      <w:r w:rsidRPr="00A14242">
        <w:rPr>
          <w:rFonts w:ascii="Arial" w:hAnsi="Arial" w:cs="Arial"/>
          <w:bCs/>
          <w:color w:val="000000" w:themeColor="text1"/>
          <w:sz w:val="24"/>
          <w:szCs w:val="24"/>
          <w:shd w:val="clear" w:color="auto" w:fill="FFFFFF"/>
        </w:rPr>
        <w:t xml:space="preserve"> main distributors are Anyway Corporation, Dicker Data, Leader computes and </w:t>
      </w:r>
      <w:proofErr w:type="spellStart"/>
      <w:r w:rsidRPr="00A14242">
        <w:rPr>
          <w:rFonts w:ascii="Arial" w:hAnsi="Arial" w:cs="Arial"/>
          <w:bCs/>
          <w:color w:val="000000" w:themeColor="text1"/>
          <w:sz w:val="24"/>
          <w:szCs w:val="24"/>
          <w:shd w:val="clear" w:color="auto" w:fill="FFFFFF"/>
        </w:rPr>
        <w:t>VExpress</w:t>
      </w:r>
      <w:proofErr w:type="spellEnd"/>
      <w:r w:rsidRPr="00A14242">
        <w:rPr>
          <w:rFonts w:ascii="Arial" w:hAnsi="Arial" w:cs="Arial"/>
          <w:bCs/>
          <w:color w:val="000000" w:themeColor="text1"/>
          <w:sz w:val="24"/>
          <w:szCs w:val="24"/>
          <w:shd w:val="clear" w:color="auto" w:fill="FFFFFF"/>
        </w:rPr>
        <w:t xml:space="preserve"> Distribution </w:t>
      </w:r>
      <w:sdt>
        <w:sdtPr>
          <w:rPr>
            <w:rFonts w:ascii="Arial" w:hAnsi="Arial" w:cs="Arial"/>
            <w:bCs/>
            <w:color w:val="000000" w:themeColor="text1"/>
            <w:sz w:val="24"/>
            <w:szCs w:val="24"/>
            <w:shd w:val="clear" w:color="auto" w:fill="FFFFFF"/>
          </w:rPr>
          <w:id w:val="754519675"/>
          <w:citation/>
        </w:sdtPr>
        <w:sdtEndPr/>
        <w:sdtContent>
          <w:r w:rsidRPr="00A14242">
            <w:rPr>
              <w:rFonts w:ascii="Arial" w:hAnsi="Arial" w:cs="Arial"/>
              <w:noProof/>
              <w:color w:val="000000" w:themeColor="text1"/>
              <w:sz w:val="24"/>
              <w:szCs w:val="24"/>
              <w:shd w:val="clear" w:color="auto" w:fill="FFFFFF"/>
            </w:rPr>
            <w:t>(Brevini, 2017)</w:t>
          </w:r>
        </w:sdtContent>
      </w:sdt>
      <w:r w:rsidRPr="00A14242">
        <w:rPr>
          <w:rFonts w:ascii="Arial" w:hAnsi="Arial" w:cs="Arial"/>
          <w:bCs/>
          <w:color w:val="000000" w:themeColor="text1"/>
          <w:sz w:val="24"/>
          <w:szCs w:val="24"/>
          <w:shd w:val="clear" w:color="auto" w:fill="FFFFFF"/>
        </w:rPr>
        <w:t>. They play</w:t>
      </w:r>
      <w:r>
        <w:rPr>
          <w:rFonts w:ascii="Arial" w:hAnsi="Arial" w:cs="Arial"/>
          <w:bCs/>
          <w:color w:val="000000" w:themeColor="text1"/>
          <w:sz w:val="24"/>
          <w:szCs w:val="24"/>
          <w:shd w:val="clear" w:color="auto" w:fill="FFFFFF"/>
        </w:rPr>
        <w:t xml:space="preserve"> a</w:t>
      </w:r>
      <w:r w:rsidRPr="00A14242">
        <w:rPr>
          <w:rFonts w:ascii="Arial" w:hAnsi="Arial" w:cs="Arial"/>
          <w:bCs/>
          <w:color w:val="000000" w:themeColor="text1"/>
          <w:sz w:val="24"/>
          <w:szCs w:val="24"/>
          <w:shd w:val="clear" w:color="auto" w:fill="FFFFFF"/>
        </w:rPr>
        <w:t xml:space="preserve"> ke</w:t>
      </w:r>
      <w:r>
        <w:rPr>
          <w:rFonts w:ascii="Arial" w:hAnsi="Arial" w:cs="Arial"/>
          <w:bCs/>
          <w:color w:val="000000" w:themeColor="text1"/>
          <w:sz w:val="24"/>
          <w:szCs w:val="24"/>
          <w:shd w:val="clear" w:color="auto" w:fill="FFFFFF"/>
        </w:rPr>
        <w:t>y</w:t>
      </w:r>
      <w:r w:rsidRPr="00A14242">
        <w:rPr>
          <w:rFonts w:ascii="Arial" w:hAnsi="Arial" w:cs="Arial"/>
          <w:bCs/>
          <w:color w:val="000000" w:themeColor="text1"/>
          <w:sz w:val="24"/>
          <w:szCs w:val="24"/>
          <w:shd w:val="clear" w:color="auto" w:fill="FFFFFF"/>
        </w:rPr>
        <w:t xml:space="preserve"> role in the </w:t>
      </w:r>
      <w:r w:rsidRPr="00A14242">
        <w:rPr>
          <w:rFonts w:ascii="Arial" w:hAnsi="Arial" w:cs="Arial"/>
          <w:bCs/>
          <w:color w:val="000000" w:themeColor="text1"/>
          <w:sz w:val="24"/>
          <w:szCs w:val="24"/>
          <w:shd w:val="clear" w:color="auto" w:fill="FFFFFF"/>
        </w:rPr>
        <w:lastRenderedPageBreak/>
        <w:t>business and thus Telstra has partnered with such high</w:t>
      </w:r>
      <w:r>
        <w:rPr>
          <w:rFonts w:ascii="Arial" w:hAnsi="Arial" w:cs="Arial"/>
          <w:bCs/>
          <w:color w:val="000000" w:themeColor="text1"/>
          <w:sz w:val="24"/>
          <w:szCs w:val="24"/>
          <w:shd w:val="clear" w:color="auto" w:fill="FFFFFF"/>
        </w:rPr>
        <w:t>-</w:t>
      </w:r>
      <w:r w:rsidRPr="00A14242">
        <w:rPr>
          <w:rFonts w:ascii="Arial" w:hAnsi="Arial" w:cs="Arial"/>
          <w:bCs/>
          <w:color w:val="000000" w:themeColor="text1"/>
          <w:sz w:val="24"/>
          <w:szCs w:val="24"/>
          <w:shd w:val="clear" w:color="auto" w:fill="FFFFFF"/>
        </w:rPr>
        <w:t xml:space="preserve">profile organisations. The Telstra wholesale offers a broad series of products and services that are associated with the network of Telstra </w:t>
      </w:r>
      <w:sdt>
        <w:sdtPr>
          <w:rPr>
            <w:rFonts w:ascii="Arial" w:hAnsi="Arial" w:cs="Arial"/>
            <w:bCs/>
            <w:color w:val="000000" w:themeColor="text1"/>
            <w:sz w:val="24"/>
            <w:szCs w:val="24"/>
            <w:shd w:val="clear" w:color="auto" w:fill="FFFFFF"/>
          </w:rPr>
          <w:id w:val="754519676"/>
          <w:citation/>
        </w:sdtPr>
        <w:sdtEndPr/>
        <w:sdtContent>
          <w:r w:rsidRPr="00A14242">
            <w:rPr>
              <w:rFonts w:ascii="Arial" w:hAnsi="Arial" w:cs="Arial"/>
              <w:noProof/>
              <w:color w:val="000000" w:themeColor="text1"/>
              <w:sz w:val="24"/>
              <w:szCs w:val="24"/>
              <w:shd w:val="clear" w:color="auto" w:fill="FFFFFF"/>
            </w:rPr>
            <w:t>(Cooper &amp; Burrell, 2015)</w:t>
          </w:r>
        </w:sdtContent>
      </w:sdt>
      <w:r w:rsidRPr="00A14242">
        <w:rPr>
          <w:rFonts w:ascii="Arial" w:hAnsi="Arial" w:cs="Arial"/>
          <w:bCs/>
          <w:color w:val="000000" w:themeColor="text1"/>
          <w:sz w:val="24"/>
          <w:szCs w:val="24"/>
          <w:shd w:val="clear" w:color="auto" w:fill="FFFFFF"/>
        </w:rPr>
        <w:t xml:space="preserve">. The company use automated warehouses which </w:t>
      </w:r>
      <w:proofErr w:type="gramStart"/>
      <w:r w:rsidRPr="00A14242">
        <w:rPr>
          <w:rFonts w:ascii="Arial" w:hAnsi="Arial" w:cs="Arial"/>
          <w:bCs/>
          <w:color w:val="000000" w:themeColor="text1"/>
          <w:sz w:val="24"/>
          <w:szCs w:val="24"/>
          <w:shd w:val="clear" w:color="auto" w:fill="FFFFFF"/>
        </w:rPr>
        <w:t>are connected with</w:t>
      </w:r>
      <w:proofErr w:type="gramEnd"/>
      <w:r w:rsidRPr="00A14242">
        <w:rPr>
          <w:rFonts w:ascii="Arial" w:hAnsi="Arial" w:cs="Arial"/>
          <w:bCs/>
          <w:color w:val="000000" w:themeColor="text1"/>
          <w:sz w:val="24"/>
          <w:szCs w:val="24"/>
          <w:shd w:val="clear" w:color="auto" w:fill="FFFFFF"/>
        </w:rPr>
        <w:t xml:space="preserve"> the RFID tags which helps in storing the database about the inventory. The company also uses GPS tracking technology through which it can track the location of the goods which are being shipped</w:t>
      </w:r>
      <w:sdt>
        <w:sdtPr>
          <w:rPr>
            <w:rFonts w:ascii="Arial" w:hAnsi="Arial" w:cs="Arial"/>
            <w:bCs/>
            <w:color w:val="000000" w:themeColor="text1"/>
            <w:sz w:val="24"/>
            <w:szCs w:val="24"/>
            <w:shd w:val="clear" w:color="auto" w:fill="FFFFFF"/>
          </w:rPr>
          <w:id w:val="754521643"/>
          <w:citation/>
        </w:sdtPr>
        <w:sdtEndPr/>
        <w:sdtContent>
          <w:r w:rsidRPr="00A14242">
            <w:rPr>
              <w:rFonts w:ascii="Arial" w:hAnsi="Arial" w:cs="Arial"/>
              <w:bCs/>
              <w:noProof/>
              <w:color w:val="000000" w:themeColor="text1"/>
              <w:sz w:val="24"/>
              <w:szCs w:val="24"/>
              <w:shd w:val="clear" w:color="auto" w:fill="FFFFFF"/>
            </w:rPr>
            <w:t xml:space="preserve"> </w:t>
          </w:r>
          <w:r w:rsidRPr="00A14242">
            <w:rPr>
              <w:rFonts w:ascii="Arial" w:hAnsi="Arial" w:cs="Arial"/>
              <w:noProof/>
              <w:color w:val="000000" w:themeColor="text1"/>
              <w:sz w:val="24"/>
              <w:szCs w:val="24"/>
              <w:shd w:val="clear" w:color="auto" w:fill="FFFFFF"/>
            </w:rPr>
            <w:t>(Gale, 2019)</w:t>
          </w:r>
        </w:sdtContent>
      </w:sdt>
      <w:r w:rsidRPr="00A14242">
        <w:rPr>
          <w:rFonts w:ascii="Arial" w:hAnsi="Arial" w:cs="Arial"/>
          <w:bCs/>
          <w:color w:val="000000" w:themeColor="text1"/>
          <w:sz w:val="24"/>
          <w:szCs w:val="24"/>
          <w:shd w:val="clear" w:color="auto" w:fill="FFFFFF"/>
        </w:rPr>
        <w:t xml:space="preserve">. </w:t>
      </w:r>
    </w:p>
    <w:p w14:paraId="0E974AE0" w14:textId="77777777" w:rsidR="002D4B72" w:rsidRPr="00A14242" w:rsidRDefault="002D4B72" w:rsidP="002D4B72">
      <w:pPr>
        <w:spacing w:line="360" w:lineRule="auto"/>
        <w:jc w:val="both"/>
        <w:rPr>
          <w:rFonts w:ascii="Arial" w:hAnsi="Arial" w:cs="Arial"/>
          <w:sz w:val="24"/>
          <w:szCs w:val="24"/>
        </w:rPr>
      </w:pPr>
    </w:p>
    <w:p w14:paraId="5D201B29" w14:textId="77777777" w:rsidR="002D4B72" w:rsidRPr="00CD2614" w:rsidRDefault="002D4B72" w:rsidP="002D4B72">
      <w:pPr>
        <w:spacing w:line="360" w:lineRule="auto"/>
        <w:jc w:val="both"/>
        <w:rPr>
          <w:rFonts w:ascii="Arial" w:hAnsi="Arial" w:cs="Arial"/>
          <w:b/>
          <w:bCs/>
          <w:sz w:val="24"/>
          <w:szCs w:val="24"/>
        </w:rPr>
      </w:pPr>
      <w:r w:rsidRPr="00CD2614">
        <w:rPr>
          <w:rFonts w:ascii="Arial" w:hAnsi="Arial" w:cs="Arial"/>
          <w:b/>
          <w:bCs/>
          <w:sz w:val="24"/>
          <w:szCs w:val="24"/>
        </w:rPr>
        <w:t>Innovation</w:t>
      </w:r>
    </w:p>
    <w:p w14:paraId="33BEDF0B" w14:textId="77777777" w:rsidR="002D4B72" w:rsidRPr="00A14242" w:rsidRDefault="002D4B72" w:rsidP="002D4B72">
      <w:pPr>
        <w:spacing w:line="360" w:lineRule="auto"/>
        <w:jc w:val="both"/>
        <w:rPr>
          <w:rFonts w:ascii="Arial" w:hAnsi="Arial" w:cs="Arial"/>
          <w:sz w:val="24"/>
          <w:szCs w:val="24"/>
        </w:rPr>
      </w:pPr>
      <w:r w:rsidRPr="00A14242">
        <w:rPr>
          <w:rFonts w:ascii="Arial" w:hAnsi="Arial" w:cs="Arial"/>
          <w:sz w:val="24"/>
          <w:szCs w:val="24"/>
        </w:rPr>
        <w:t>Telstra is leading the telecommunication industry by innovative approaches and products. Innovative solutions have become one key part of survival in the industry. Thus</w:t>
      </w:r>
      <w:r>
        <w:rPr>
          <w:rFonts w:ascii="Arial" w:hAnsi="Arial" w:cs="Arial"/>
          <w:sz w:val="24"/>
          <w:szCs w:val="24"/>
        </w:rPr>
        <w:t>,</w:t>
      </w:r>
      <w:r w:rsidRPr="00A14242">
        <w:rPr>
          <w:rFonts w:ascii="Arial" w:hAnsi="Arial" w:cs="Arial"/>
          <w:sz w:val="24"/>
          <w:szCs w:val="24"/>
        </w:rPr>
        <w:t xml:space="preserve"> the digital disruption has changed the industry more positively towards ongoing changes. The company restructured its internal environment, communication channels, workplace, workspace, and how the work is done. It introduced new products such as 5G</w:t>
      </w:r>
      <w:r>
        <w:rPr>
          <w:rFonts w:ascii="Arial" w:hAnsi="Arial" w:cs="Arial"/>
          <w:sz w:val="24"/>
          <w:szCs w:val="24"/>
        </w:rPr>
        <w:t xml:space="preserve"> (</w:t>
      </w:r>
      <w:proofErr w:type="spellStart"/>
      <w:r>
        <w:rPr>
          <w:rFonts w:ascii="Arial" w:hAnsi="Arial" w:cs="Arial"/>
          <w:sz w:val="24"/>
          <w:szCs w:val="24"/>
        </w:rPr>
        <w:t>Hanken</w:t>
      </w:r>
      <w:proofErr w:type="spellEnd"/>
      <w:r>
        <w:rPr>
          <w:rFonts w:ascii="Arial" w:hAnsi="Arial" w:cs="Arial"/>
          <w:sz w:val="24"/>
          <w:szCs w:val="24"/>
        </w:rPr>
        <w:t>, 2019)</w:t>
      </w:r>
      <w:r w:rsidRPr="00A14242">
        <w:rPr>
          <w:rFonts w:ascii="Arial" w:hAnsi="Arial" w:cs="Arial"/>
          <w:sz w:val="24"/>
          <w:szCs w:val="24"/>
        </w:rPr>
        <w:t>, Telstra Digital Application, Applications for co-operates. It is currently building a 3 billion work network expansion and change.  The digital platform will be functional by 2022. The company even went ahead to conduct innovation challenge competitions among university students in the view of creating new solutions. Now the company is working towards simplifying the existing products and services under Telstra</w:t>
      </w:r>
      <w:r>
        <w:rPr>
          <w:rFonts w:ascii="Arial" w:hAnsi="Arial" w:cs="Arial"/>
          <w:sz w:val="24"/>
          <w:szCs w:val="24"/>
        </w:rPr>
        <w:t xml:space="preserve"> </w:t>
      </w:r>
      <w:r w:rsidRPr="00A14242">
        <w:rPr>
          <w:rFonts w:ascii="Arial" w:hAnsi="Arial" w:cs="Arial"/>
          <w:sz w:val="24"/>
          <w:szCs w:val="24"/>
        </w:rPr>
        <w:t>2022 mission.</w:t>
      </w:r>
    </w:p>
    <w:p w14:paraId="3C7F7918" w14:textId="77777777" w:rsidR="002D4B72" w:rsidRPr="00A14242" w:rsidRDefault="002D4B72" w:rsidP="002D4B72">
      <w:pPr>
        <w:spacing w:line="360" w:lineRule="auto"/>
        <w:jc w:val="both"/>
        <w:rPr>
          <w:rFonts w:ascii="Arial" w:hAnsi="Arial" w:cs="Arial"/>
          <w:sz w:val="24"/>
          <w:szCs w:val="24"/>
        </w:rPr>
      </w:pPr>
      <w:r>
        <w:rPr>
          <w:rFonts w:ascii="Arial" w:hAnsi="Arial" w:cs="Arial"/>
          <w:sz w:val="24"/>
          <w:szCs w:val="24"/>
        </w:rPr>
        <w:t>Chris et al</w:t>
      </w:r>
      <w:r w:rsidRPr="00A14242">
        <w:rPr>
          <w:rFonts w:ascii="Arial" w:hAnsi="Arial" w:cs="Arial"/>
          <w:sz w:val="24"/>
          <w:szCs w:val="24"/>
        </w:rPr>
        <w:t xml:space="preserve"> (October 2019) assessed telecommunication companies in Australia based on five aspects namely latency, download speed, core consistent quality, upload speed and excellent consistent quality. The report concluded that Telstra as the most efficient telecommunications provider in Australia. The company introduced Amazon Prime videos through its channel in April 2019 as part of the innovative partnerships roll out.</w:t>
      </w:r>
    </w:p>
    <w:p w14:paraId="01556E3B" w14:textId="77777777" w:rsidR="002D4B72" w:rsidRPr="00CD2614" w:rsidRDefault="002D4B72" w:rsidP="002D4B72">
      <w:pPr>
        <w:spacing w:line="360" w:lineRule="auto"/>
        <w:jc w:val="both"/>
        <w:rPr>
          <w:rFonts w:ascii="Arial" w:hAnsi="Arial" w:cs="Arial"/>
          <w:b/>
          <w:bCs/>
          <w:sz w:val="24"/>
          <w:szCs w:val="24"/>
        </w:rPr>
      </w:pPr>
      <w:r w:rsidRPr="00CD2614">
        <w:rPr>
          <w:rFonts w:ascii="Arial" w:hAnsi="Arial" w:cs="Arial"/>
          <w:b/>
          <w:bCs/>
          <w:sz w:val="24"/>
          <w:szCs w:val="24"/>
        </w:rPr>
        <w:t>Strengths and Weaknesses of Telstra</w:t>
      </w:r>
    </w:p>
    <w:p w14:paraId="45727F1C" w14:textId="77777777" w:rsidR="002D4B72" w:rsidRPr="00A14242" w:rsidRDefault="002D4B72" w:rsidP="002D4B72">
      <w:pPr>
        <w:spacing w:line="360" w:lineRule="auto"/>
        <w:jc w:val="both"/>
        <w:rPr>
          <w:rFonts w:ascii="Arial" w:hAnsi="Arial" w:cs="Arial"/>
          <w:sz w:val="24"/>
          <w:szCs w:val="24"/>
        </w:rPr>
      </w:pPr>
      <w:r w:rsidRPr="00A14242">
        <w:rPr>
          <w:rFonts w:ascii="Arial" w:hAnsi="Arial" w:cs="Arial"/>
          <w:sz w:val="24"/>
          <w:szCs w:val="24"/>
        </w:rPr>
        <w:t xml:space="preserve">Telstra has strong infrastructure network. It recently had disturbances in its network delivery. However, it has addressed the problems and now planning to expand the network further. As the company has been there for some time in the market, it has proper record keeping methods. Regardless of the competitors and new entrants it </w:t>
      </w:r>
      <w:r w:rsidRPr="00A14242">
        <w:rPr>
          <w:rFonts w:ascii="Arial" w:hAnsi="Arial" w:cs="Arial"/>
          <w:sz w:val="24"/>
          <w:szCs w:val="24"/>
        </w:rPr>
        <w:lastRenderedPageBreak/>
        <w:t xml:space="preserve">has its own loyal customer base. Further, it communicates with all stakeholders adequately. Another most important strength of Telstra is that it shows no hesitation to adopt change and restructure. Further, </w:t>
      </w:r>
      <w:proofErr w:type="gramStart"/>
      <w:r w:rsidRPr="00A14242">
        <w:rPr>
          <w:rFonts w:ascii="Arial" w:hAnsi="Arial" w:cs="Arial"/>
          <w:sz w:val="24"/>
          <w:szCs w:val="24"/>
        </w:rPr>
        <w:t>planning ahead</w:t>
      </w:r>
      <w:proofErr w:type="gramEnd"/>
      <w:r w:rsidRPr="00A14242">
        <w:rPr>
          <w:rFonts w:ascii="Arial" w:hAnsi="Arial" w:cs="Arial"/>
          <w:sz w:val="24"/>
          <w:szCs w:val="24"/>
        </w:rPr>
        <w:t xml:space="preserve"> towards innovation gives good strength. Its strength can be seen in their recent profit regardless of the competitive market. It has been quoted as having poor relationship with government bodies and the business strategies abroad are not well developed to attract local customers, especially in developing countries. Although it tries various modalities in reaching new customers. The advertising strategies are still weak. Wait times at the physical stores still are high to get served.</w:t>
      </w:r>
    </w:p>
    <w:p w14:paraId="54833F6C" w14:textId="77777777" w:rsidR="002D4B72" w:rsidRPr="00CD2614" w:rsidRDefault="002D4B72" w:rsidP="002D4B72">
      <w:pPr>
        <w:pStyle w:val="Heading1"/>
        <w:spacing w:line="360" w:lineRule="auto"/>
        <w:jc w:val="both"/>
        <w:rPr>
          <w:rFonts w:ascii="Arial" w:hAnsi="Arial" w:cs="Arial"/>
          <w:b/>
          <w:bCs/>
          <w:color w:val="000000" w:themeColor="text1"/>
          <w:sz w:val="24"/>
          <w:szCs w:val="24"/>
          <w:shd w:val="clear" w:color="auto" w:fill="FFFFFF"/>
        </w:rPr>
      </w:pPr>
      <w:bookmarkStart w:id="2" w:name="_Toc24806246"/>
      <w:r w:rsidRPr="00CD2614">
        <w:rPr>
          <w:rFonts w:ascii="Arial" w:hAnsi="Arial" w:cs="Arial"/>
          <w:b/>
          <w:bCs/>
          <w:color w:val="000000" w:themeColor="text1"/>
          <w:sz w:val="24"/>
          <w:szCs w:val="24"/>
        </w:rPr>
        <w:t>Recommendations</w:t>
      </w:r>
      <w:bookmarkEnd w:id="2"/>
    </w:p>
    <w:p w14:paraId="4A24E6E7" w14:textId="331A58EB" w:rsidR="002D4B72" w:rsidRPr="00CD2614" w:rsidRDefault="002D4B72" w:rsidP="002D4B72">
      <w:pPr>
        <w:spacing w:line="360" w:lineRule="auto"/>
        <w:jc w:val="both"/>
        <w:rPr>
          <w:rFonts w:ascii="Arial" w:hAnsi="Arial" w:cs="Arial"/>
          <w:color w:val="000000" w:themeColor="text1"/>
          <w:sz w:val="24"/>
          <w:szCs w:val="24"/>
        </w:rPr>
      </w:pPr>
      <w:r>
        <w:rPr>
          <w:rFonts w:ascii="Arial" w:hAnsi="Arial" w:cs="Arial"/>
          <w:color w:val="000000" w:themeColor="text1"/>
          <w:sz w:val="24"/>
          <w:szCs w:val="24"/>
        </w:rPr>
        <w:t>I</w:t>
      </w:r>
      <w:r w:rsidRPr="00A14242">
        <w:rPr>
          <w:rFonts w:ascii="Arial" w:hAnsi="Arial" w:cs="Arial"/>
          <w:color w:val="000000" w:themeColor="text1"/>
          <w:sz w:val="24"/>
          <w:szCs w:val="24"/>
        </w:rPr>
        <w:t>n the present year, the company has suffered from a loss</w:t>
      </w:r>
      <w:sdt>
        <w:sdtPr>
          <w:rPr>
            <w:rFonts w:ascii="Arial" w:hAnsi="Arial" w:cs="Arial"/>
            <w:color w:val="000000" w:themeColor="text1"/>
            <w:sz w:val="24"/>
            <w:szCs w:val="24"/>
          </w:rPr>
          <w:id w:val="754519980"/>
          <w:citation/>
        </w:sdtPr>
        <w:sdtEndPr/>
        <w:sdtContent>
          <w:r w:rsidRPr="00A14242">
            <w:rPr>
              <w:rFonts w:ascii="Arial" w:hAnsi="Arial" w:cs="Arial"/>
              <w:noProof/>
              <w:color w:val="000000" w:themeColor="text1"/>
              <w:sz w:val="24"/>
              <w:szCs w:val="24"/>
            </w:rPr>
            <w:t xml:space="preserve"> (Gale, 2019)</w:t>
          </w:r>
        </w:sdtContent>
      </w:sdt>
      <w:r w:rsidRPr="00A14242">
        <w:rPr>
          <w:rFonts w:ascii="Arial" w:hAnsi="Arial" w:cs="Arial"/>
          <w:color w:val="000000" w:themeColor="text1"/>
          <w:sz w:val="24"/>
          <w:szCs w:val="24"/>
        </w:rPr>
        <w:t xml:space="preserve">. It is because of high competition and change in the preferences of the customers. </w:t>
      </w:r>
      <w:r>
        <w:rPr>
          <w:rFonts w:ascii="Arial" w:hAnsi="Arial" w:cs="Arial"/>
          <w:color w:val="000000" w:themeColor="text1"/>
          <w:sz w:val="24"/>
          <w:szCs w:val="24"/>
        </w:rPr>
        <w:t>To</w:t>
      </w:r>
      <w:r w:rsidRPr="00A14242">
        <w:rPr>
          <w:rFonts w:ascii="Arial" w:hAnsi="Arial" w:cs="Arial"/>
          <w:color w:val="000000" w:themeColor="text1"/>
          <w:sz w:val="24"/>
          <w:szCs w:val="24"/>
        </w:rPr>
        <w:t xml:space="preserve"> overcome these challenges the company can adopt Artificial intelligence in reducing the cost of the company and increases the speed that results in providing </w:t>
      </w:r>
      <w:r>
        <w:rPr>
          <w:rFonts w:ascii="Arial" w:hAnsi="Arial" w:cs="Arial"/>
          <w:color w:val="000000" w:themeColor="text1"/>
          <w:sz w:val="24"/>
          <w:szCs w:val="24"/>
        </w:rPr>
        <w:t>efficient services</w:t>
      </w:r>
      <w:r w:rsidRPr="00A14242">
        <w:rPr>
          <w:rFonts w:ascii="Arial" w:hAnsi="Arial" w:cs="Arial"/>
          <w:color w:val="000000" w:themeColor="text1"/>
          <w:sz w:val="24"/>
          <w:szCs w:val="24"/>
        </w:rPr>
        <w:t xml:space="preserve">.  The company can also expand their </w:t>
      </w:r>
      <w:r>
        <w:rPr>
          <w:rFonts w:ascii="Arial" w:hAnsi="Arial" w:cs="Arial"/>
          <w:color w:val="000000" w:themeColor="text1"/>
          <w:sz w:val="24"/>
          <w:szCs w:val="24"/>
        </w:rPr>
        <w:t>5</w:t>
      </w:r>
      <w:r w:rsidRPr="00A14242">
        <w:rPr>
          <w:rFonts w:ascii="Arial" w:hAnsi="Arial" w:cs="Arial"/>
          <w:color w:val="000000" w:themeColor="text1"/>
          <w:sz w:val="24"/>
          <w:szCs w:val="24"/>
        </w:rPr>
        <w:t>G network in the international market such as China</w:t>
      </w:r>
      <w:r>
        <w:rPr>
          <w:rFonts w:ascii="Arial" w:hAnsi="Arial" w:cs="Arial"/>
          <w:color w:val="000000" w:themeColor="text1"/>
          <w:sz w:val="24"/>
          <w:szCs w:val="24"/>
        </w:rPr>
        <w:t xml:space="preserve"> and</w:t>
      </w:r>
      <w:r w:rsidRPr="00A14242">
        <w:rPr>
          <w:rFonts w:ascii="Arial" w:hAnsi="Arial" w:cs="Arial"/>
          <w:color w:val="000000" w:themeColor="text1"/>
          <w:sz w:val="24"/>
          <w:szCs w:val="24"/>
        </w:rPr>
        <w:t xml:space="preserve"> Asia-pacific. </w:t>
      </w:r>
      <w:r>
        <w:rPr>
          <w:rFonts w:ascii="Arial" w:hAnsi="Arial" w:cs="Arial"/>
          <w:color w:val="000000" w:themeColor="text1"/>
          <w:sz w:val="24"/>
          <w:szCs w:val="24"/>
        </w:rPr>
        <w:t>It needs to revise its advertising strategies to reach more new customers.</w:t>
      </w:r>
    </w:p>
    <w:p w14:paraId="04BB0F80" w14:textId="77777777" w:rsidR="002D4B72" w:rsidRPr="00CD2614" w:rsidRDefault="002D4B72" w:rsidP="002D4B72">
      <w:pPr>
        <w:spacing w:line="360" w:lineRule="auto"/>
        <w:jc w:val="both"/>
        <w:rPr>
          <w:rFonts w:ascii="Arial" w:hAnsi="Arial" w:cs="Arial"/>
          <w:b/>
          <w:bCs/>
          <w:sz w:val="24"/>
          <w:szCs w:val="24"/>
        </w:rPr>
      </w:pPr>
      <w:r w:rsidRPr="00CD2614">
        <w:rPr>
          <w:rFonts w:ascii="Arial" w:hAnsi="Arial" w:cs="Arial"/>
          <w:b/>
          <w:bCs/>
          <w:sz w:val="24"/>
          <w:szCs w:val="24"/>
        </w:rPr>
        <w:t>Conclusion</w:t>
      </w:r>
    </w:p>
    <w:p w14:paraId="174E6457" w14:textId="77777777" w:rsidR="002D4B72" w:rsidRDefault="002D4B72" w:rsidP="002D4B72">
      <w:pPr>
        <w:spacing w:line="360" w:lineRule="auto"/>
        <w:jc w:val="both"/>
        <w:rPr>
          <w:rFonts w:ascii="Arial" w:hAnsi="Arial" w:cs="Arial"/>
          <w:sz w:val="24"/>
          <w:szCs w:val="24"/>
        </w:rPr>
      </w:pPr>
      <w:r w:rsidRPr="00A14242">
        <w:rPr>
          <w:rFonts w:ascii="Arial" w:hAnsi="Arial" w:cs="Arial"/>
          <w:sz w:val="24"/>
          <w:szCs w:val="24"/>
        </w:rPr>
        <w:t>Telstra is well ahead with plans to change its digital disruption experience</w:t>
      </w:r>
      <w:r>
        <w:rPr>
          <w:rFonts w:ascii="Arial" w:hAnsi="Arial" w:cs="Arial"/>
          <w:sz w:val="24"/>
          <w:szCs w:val="24"/>
        </w:rPr>
        <w:t xml:space="preserve"> to a positive one</w:t>
      </w:r>
      <w:r w:rsidRPr="00A14242">
        <w:rPr>
          <w:rFonts w:ascii="Arial" w:hAnsi="Arial" w:cs="Arial"/>
          <w:sz w:val="24"/>
          <w:szCs w:val="24"/>
        </w:rPr>
        <w:t>. It is thriving the market well and leading it with novel approaches. However, the company still needs to shape its strategies towards increasing the profit. Adopting more artificial Intelligence might be one important option.</w:t>
      </w:r>
    </w:p>
    <w:p w14:paraId="356C11FB" w14:textId="77777777" w:rsidR="002D4B72" w:rsidRDefault="002D4B72" w:rsidP="002D4B72">
      <w:pPr>
        <w:jc w:val="both"/>
        <w:rPr>
          <w:rFonts w:ascii="Arial" w:hAnsi="Arial" w:cs="Arial"/>
          <w:sz w:val="24"/>
          <w:szCs w:val="24"/>
        </w:rPr>
      </w:pPr>
      <w:r>
        <w:rPr>
          <w:rFonts w:ascii="Arial" w:hAnsi="Arial" w:cs="Arial"/>
          <w:sz w:val="24"/>
          <w:szCs w:val="24"/>
        </w:rPr>
        <w:br w:type="page"/>
      </w:r>
    </w:p>
    <w:p w14:paraId="0DFAA2C1" w14:textId="77777777" w:rsidR="002D4B72" w:rsidRPr="000C0D8D" w:rsidRDefault="002D4B72" w:rsidP="002D4B72">
      <w:pPr>
        <w:spacing w:line="360" w:lineRule="auto"/>
        <w:rPr>
          <w:rFonts w:ascii="Arial" w:hAnsi="Arial" w:cs="Arial"/>
          <w:b/>
          <w:bCs/>
          <w:sz w:val="24"/>
          <w:szCs w:val="24"/>
        </w:rPr>
      </w:pPr>
      <w:r w:rsidRPr="000C0D8D">
        <w:rPr>
          <w:rFonts w:ascii="Arial" w:hAnsi="Arial" w:cs="Arial"/>
          <w:b/>
          <w:bCs/>
          <w:sz w:val="24"/>
          <w:szCs w:val="24"/>
        </w:rPr>
        <w:lastRenderedPageBreak/>
        <w:t>Reference:</w:t>
      </w:r>
    </w:p>
    <w:p w14:paraId="63426E0C" w14:textId="77777777" w:rsidR="002D4B72" w:rsidRPr="000C0D8D" w:rsidRDefault="002D4B72" w:rsidP="002D4B72">
      <w:pPr>
        <w:pStyle w:val="ListParagraph"/>
        <w:numPr>
          <w:ilvl w:val="0"/>
          <w:numId w:val="4"/>
        </w:numPr>
        <w:spacing w:line="360" w:lineRule="auto"/>
        <w:jc w:val="both"/>
        <w:rPr>
          <w:rFonts w:ascii="Arial" w:hAnsi="Arial" w:cs="Arial"/>
          <w:sz w:val="24"/>
          <w:szCs w:val="24"/>
        </w:rPr>
      </w:pPr>
      <w:r w:rsidRPr="000C0D8D">
        <w:rPr>
          <w:rFonts w:ascii="Arial" w:hAnsi="Arial" w:cs="Arial"/>
          <w:sz w:val="24"/>
          <w:szCs w:val="24"/>
        </w:rPr>
        <w:t>ACCC, Competition and price changes in telecommunications services in Australia 2016–17(2018), ACCC</w:t>
      </w:r>
    </w:p>
    <w:p w14:paraId="0684BB73" w14:textId="77777777" w:rsidR="002D4B72" w:rsidRPr="000C0D8D" w:rsidRDefault="002D4B72" w:rsidP="002D4B72">
      <w:pPr>
        <w:pStyle w:val="Bibliography"/>
        <w:numPr>
          <w:ilvl w:val="0"/>
          <w:numId w:val="4"/>
        </w:numPr>
        <w:spacing w:after="200" w:line="360" w:lineRule="auto"/>
        <w:jc w:val="both"/>
        <w:rPr>
          <w:rFonts w:ascii="Arial" w:hAnsi="Arial" w:cs="Arial"/>
          <w:noProof/>
          <w:sz w:val="24"/>
          <w:szCs w:val="24"/>
        </w:rPr>
      </w:pPr>
      <w:r w:rsidRPr="000C0D8D">
        <w:rPr>
          <w:rFonts w:ascii="Arial" w:hAnsi="Arial" w:cs="Arial"/>
          <w:noProof/>
          <w:sz w:val="24"/>
          <w:szCs w:val="24"/>
        </w:rPr>
        <w:t xml:space="preserve">Brevini, B., 2017. Metadata laws, journalism and resistance in Australia. </w:t>
      </w:r>
      <w:r w:rsidRPr="000C0D8D">
        <w:rPr>
          <w:rFonts w:ascii="Arial" w:hAnsi="Arial" w:cs="Arial"/>
          <w:i/>
          <w:iCs/>
          <w:noProof/>
          <w:sz w:val="24"/>
          <w:szCs w:val="24"/>
        </w:rPr>
        <w:t>Media and Communication</w:t>
      </w:r>
      <w:r w:rsidRPr="000C0D8D">
        <w:rPr>
          <w:rFonts w:ascii="Arial" w:hAnsi="Arial" w:cs="Arial"/>
          <w:noProof/>
          <w:sz w:val="24"/>
          <w:szCs w:val="24"/>
        </w:rPr>
        <w:t>, 5(1), pp.76-83.</w:t>
      </w:r>
    </w:p>
    <w:p w14:paraId="2D17CC46" w14:textId="77777777" w:rsidR="002D4B72" w:rsidRPr="000C0D8D" w:rsidRDefault="002D4B72" w:rsidP="002D4B72">
      <w:pPr>
        <w:pStyle w:val="ListParagraph"/>
        <w:numPr>
          <w:ilvl w:val="0"/>
          <w:numId w:val="4"/>
        </w:numPr>
        <w:spacing w:line="360" w:lineRule="auto"/>
        <w:jc w:val="both"/>
        <w:rPr>
          <w:rFonts w:ascii="Arial" w:hAnsi="Arial" w:cs="Arial"/>
          <w:sz w:val="24"/>
          <w:szCs w:val="24"/>
        </w:rPr>
      </w:pPr>
      <w:bookmarkStart w:id="3" w:name="_Toc24806248"/>
      <w:bookmarkEnd w:id="3"/>
      <w:r w:rsidRPr="000C0D8D">
        <w:rPr>
          <w:rFonts w:ascii="Arial" w:hAnsi="Arial" w:cs="Arial"/>
          <w:sz w:val="24"/>
          <w:szCs w:val="24"/>
        </w:rPr>
        <w:t xml:space="preserve">Chris </w:t>
      </w:r>
      <w:proofErr w:type="spellStart"/>
      <w:proofErr w:type="gramStart"/>
      <w:r w:rsidRPr="000C0D8D">
        <w:rPr>
          <w:rFonts w:ascii="Arial" w:hAnsi="Arial" w:cs="Arial"/>
          <w:sz w:val="24"/>
          <w:szCs w:val="24"/>
        </w:rPr>
        <w:t>Mills,Fiona</w:t>
      </w:r>
      <w:proofErr w:type="spellEnd"/>
      <w:proofErr w:type="gramEnd"/>
      <w:r w:rsidRPr="000C0D8D">
        <w:rPr>
          <w:rFonts w:ascii="Arial" w:hAnsi="Arial" w:cs="Arial"/>
          <w:sz w:val="24"/>
          <w:szCs w:val="24"/>
        </w:rPr>
        <w:t xml:space="preserve"> Armstrong (2019) Australia and New Zealand OCTOBER 2019 State of Mobile Networks, Tutela Telstra annual report 2018, Telstra</w:t>
      </w:r>
    </w:p>
    <w:p w14:paraId="05045454" w14:textId="77777777" w:rsidR="002D4B72" w:rsidRPr="000C0D8D" w:rsidRDefault="00F337C3" w:rsidP="002D4B72">
      <w:pPr>
        <w:pStyle w:val="ListParagraph"/>
        <w:numPr>
          <w:ilvl w:val="0"/>
          <w:numId w:val="4"/>
        </w:numPr>
        <w:spacing w:line="360" w:lineRule="auto"/>
        <w:jc w:val="both"/>
        <w:rPr>
          <w:rFonts w:ascii="Arial" w:hAnsi="Arial" w:cs="Arial"/>
          <w:sz w:val="24"/>
          <w:szCs w:val="24"/>
        </w:rPr>
      </w:pPr>
      <w:hyperlink r:id="rId7" w:history="1">
        <w:r w:rsidR="002D4B72" w:rsidRPr="000C0D8D">
          <w:rPr>
            <w:rStyle w:val="Hyperlink"/>
            <w:rFonts w:ascii="Arial" w:hAnsi="Arial" w:cs="Arial"/>
            <w:color w:val="auto"/>
            <w:sz w:val="24"/>
            <w:szCs w:val="24"/>
            <w:u w:val="none"/>
            <w:bdr w:val="none" w:sz="0" w:space="0" w:color="auto" w:frame="1"/>
            <w:shd w:val="clear" w:color="auto" w:fill="FFFFFF"/>
          </w:rPr>
          <w:t>Christopher Hughes</w:t>
        </w:r>
      </w:hyperlink>
      <w:r w:rsidR="002D4B72" w:rsidRPr="000C0D8D">
        <w:rPr>
          <w:rFonts w:ascii="Arial" w:hAnsi="Arial" w:cs="Arial"/>
          <w:sz w:val="24"/>
          <w:szCs w:val="24"/>
        </w:rPr>
        <w:t xml:space="preserve"> (2019) Promotion and advertising expenses of Telstra Corporation Limited in Australia from the financial year 2015 to 2017 (in million Australian dollars)</w:t>
      </w:r>
    </w:p>
    <w:p w14:paraId="1223C527" w14:textId="77777777" w:rsidR="002D4B72" w:rsidRPr="000C0D8D" w:rsidRDefault="002D4B72" w:rsidP="002D4B72">
      <w:pPr>
        <w:pStyle w:val="Bibliography"/>
        <w:numPr>
          <w:ilvl w:val="0"/>
          <w:numId w:val="4"/>
        </w:numPr>
        <w:spacing w:after="200" w:line="360" w:lineRule="auto"/>
        <w:jc w:val="both"/>
        <w:rPr>
          <w:rFonts w:ascii="Arial" w:hAnsi="Arial" w:cs="Arial"/>
          <w:noProof/>
          <w:sz w:val="24"/>
          <w:szCs w:val="24"/>
        </w:rPr>
      </w:pPr>
      <w:r w:rsidRPr="000C0D8D">
        <w:rPr>
          <w:rFonts w:ascii="Arial" w:hAnsi="Arial" w:cs="Arial"/>
          <w:noProof/>
          <w:sz w:val="24"/>
          <w:szCs w:val="24"/>
        </w:rPr>
        <w:t xml:space="preserve">Cooper, R. &amp; Burrell, G., 2015. Modernism, postmodernism and organizational analysis: An introduction. </w:t>
      </w:r>
      <w:r w:rsidRPr="000C0D8D">
        <w:rPr>
          <w:rFonts w:ascii="Arial" w:hAnsi="Arial" w:cs="Arial"/>
          <w:i/>
          <w:iCs/>
          <w:noProof/>
          <w:sz w:val="24"/>
          <w:szCs w:val="24"/>
        </w:rPr>
        <w:t>In For Robert Cooper</w:t>
      </w:r>
      <w:r w:rsidRPr="000C0D8D">
        <w:rPr>
          <w:rFonts w:ascii="Arial" w:hAnsi="Arial" w:cs="Arial"/>
          <w:noProof/>
          <w:sz w:val="24"/>
          <w:szCs w:val="24"/>
        </w:rPr>
        <w:t>, pp.149-75.</w:t>
      </w:r>
    </w:p>
    <w:p w14:paraId="014F2A36" w14:textId="77777777" w:rsidR="002D4B72" w:rsidRPr="000C0D8D" w:rsidRDefault="002D4B72" w:rsidP="002D4B72">
      <w:pPr>
        <w:pStyle w:val="Bibliography"/>
        <w:numPr>
          <w:ilvl w:val="0"/>
          <w:numId w:val="4"/>
        </w:numPr>
        <w:spacing w:after="200" w:line="360" w:lineRule="auto"/>
        <w:jc w:val="both"/>
        <w:rPr>
          <w:rFonts w:ascii="Arial" w:hAnsi="Arial" w:cs="Arial"/>
          <w:noProof/>
          <w:sz w:val="24"/>
          <w:szCs w:val="24"/>
        </w:rPr>
      </w:pPr>
      <w:r w:rsidRPr="000C0D8D">
        <w:rPr>
          <w:rFonts w:ascii="Arial" w:hAnsi="Arial" w:cs="Arial"/>
          <w:noProof/>
          <w:sz w:val="24"/>
          <w:szCs w:val="24"/>
        </w:rPr>
        <w:t xml:space="preserve">Gale, F., 2019. The Circular Economy in (Corporate) Australia: a Preliminary Analysis. </w:t>
      </w:r>
      <w:r w:rsidRPr="000C0D8D">
        <w:rPr>
          <w:rFonts w:ascii="Arial" w:hAnsi="Arial" w:cs="Arial"/>
          <w:i/>
          <w:iCs/>
          <w:noProof/>
          <w:sz w:val="24"/>
          <w:szCs w:val="24"/>
        </w:rPr>
        <w:t xml:space="preserve">In 4th Edition of the International Conference on Public Policy </w:t>
      </w:r>
      <w:r w:rsidRPr="000C0D8D">
        <w:rPr>
          <w:rFonts w:ascii="Arial" w:hAnsi="Arial" w:cs="Arial"/>
          <w:noProof/>
          <w:sz w:val="24"/>
          <w:szCs w:val="24"/>
        </w:rPr>
        <w:t>, pp.1-9..</w:t>
      </w:r>
    </w:p>
    <w:p w14:paraId="55130034" w14:textId="77777777" w:rsidR="002D4B72" w:rsidRPr="000C0D8D" w:rsidRDefault="00F337C3" w:rsidP="002D4B72">
      <w:pPr>
        <w:pStyle w:val="ListParagraph"/>
        <w:numPr>
          <w:ilvl w:val="0"/>
          <w:numId w:val="4"/>
        </w:numPr>
        <w:spacing w:line="360" w:lineRule="auto"/>
        <w:jc w:val="both"/>
        <w:rPr>
          <w:rFonts w:ascii="Arial" w:hAnsi="Arial" w:cs="Arial"/>
          <w:sz w:val="24"/>
          <w:szCs w:val="24"/>
        </w:rPr>
      </w:pPr>
      <w:hyperlink r:id="rId8" w:history="1">
        <w:proofErr w:type="spellStart"/>
        <w:r w:rsidR="002D4B72" w:rsidRPr="000C0D8D">
          <w:rPr>
            <w:rStyle w:val="Hyperlink"/>
            <w:rFonts w:ascii="Arial" w:hAnsi="Arial" w:cs="Arial"/>
            <w:bCs/>
            <w:color w:val="auto"/>
            <w:sz w:val="24"/>
            <w:szCs w:val="24"/>
            <w:u w:val="none"/>
            <w:shd w:val="clear" w:color="auto" w:fill="FFFFFF"/>
          </w:rPr>
          <w:t>Håkan</w:t>
        </w:r>
        <w:proofErr w:type="spellEnd"/>
        <w:r w:rsidR="002D4B72" w:rsidRPr="000C0D8D">
          <w:rPr>
            <w:rStyle w:val="Hyperlink"/>
            <w:rFonts w:ascii="Arial" w:hAnsi="Arial" w:cs="Arial"/>
            <w:bCs/>
            <w:color w:val="auto"/>
            <w:sz w:val="24"/>
            <w:szCs w:val="24"/>
            <w:u w:val="none"/>
            <w:shd w:val="clear" w:color="auto" w:fill="FFFFFF"/>
          </w:rPr>
          <w:t xml:space="preserve"> Eriksson</w:t>
        </w:r>
      </w:hyperlink>
      <w:r w:rsidR="002D4B72" w:rsidRPr="000C0D8D">
        <w:rPr>
          <w:rFonts w:ascii="Arial" w:hAnsi="Arial" w:cs="Arial"/>
          <w:sz w:val="24"/>
          <w:szCs w:val="24"/>
        </w:rPr>
        <w:t xml:space="preserve"> (2019), our predictions for 2019’s biggest tech trends, Telstra</w:t>
      </w:r>
    </w:p>
    <w:p w14:paraId="54FBB9A3" w14:textId="77777777" w:rsidR="002D4B72" w:rsidRPr="000C0D8D" w:rsidRDefault="002D4B72" w:rsidP="002D4B72">
      <w:pPr>
        <w:pStyle w:val="Bibliography"/>
        <w:numPr>
          <w:ilvl w:val="0"/>
          <w:numId w:val="4"/>
        </w:numPr>
        <w:spacing w:after="200" w:line="360" w:lineRule="auto"/>
        <w:jc w:val="both"/>
        <w:rPr>
          <w:rFonts w:ascii="Arial" w:hAnsi="Arial" w:cs="Arial"/>
          <w:noProof/>
          <w:sz w:val="24"/>
          <w:szCs w:val="24"/>
        </w:rPr>
      </w:pPr>
      <w:r w:rsidRPr="000C0D8D">
        <w:rPr>
          <w:rFonts w:ascii="Arial" w:hAnsi="Arial" w:cs="Arial"/>
          <w:noProof/>
          <w:sz w:val="24"/>
          <w:szCs w:val="24"/>
        </w:rPr>
        <w:t xml:space="preserve">Matzler, K., Veider, V., Hautz, J. and Stadler, C., 2015. </w:t>
      </w:r>
      <w:r w:rsidRPr="000C0D8D">
        <w:rPr>
          <w:rFonts w:ascii="Arial" w:hAnsi="Arial" w:cs="Arial"/>
          <w:i/>
          <w:iCs/>
          <w:noProof/>
          <w:sz w:val="24"/>
          <w:szCs w:val="24"/>
        </w:rPr>
        <w:t>The impact of family ownership, management, and governance on innovation</w:t>
      </w:r>
      <w:r w:rsidRPr="000C0D8D">
        <w:rPr>
          <w:rFonts w:ascii="Arial" w:hAnsi="Arial" w:cs="Arial"/>
          <w:noProof/>
          <w:sz w:val="24"/>
          <w:szCs w:val="24"/>
        </w:rPr>
        <w:t>. Journal of Product Innovation Management, 32(3), pp.319-333.</w:t>
      </w:r>
    </w:p>
    <w:p w14:paraId="580D72FD" w14:textId="77777777" w:rsidR="002D4B72" w:rsidRPr="000C0D8D" w:rsidRDefault="002D4B72" w:rsidP="002D4B72">
      <w:pPr>
        <w:pStyle w:val="Bibliography"/>
        <w:numPr>
          <w:ilvl w:val="0"/>
          <w:numId w:val="4"/>
        </w:numPr>
        <w:spacing w:after="200" w:line="360" w:lineRule="auto"/>
        <w:jc w:val="both"/>
        <w:rPr>
          <w:rFonts w:ascii="Arial" w:hAnsi="Arial" w:cs="Arial"/>
          <w:noProof/>
          <w:sz w:val="24"/>
          <w:szCs w:val="24"/>
        </w:rPr>
      </w:pPr>
      <w:r w:rsidRPr="000C0D8D">
        <w:rPr>
          <w:rFonts w:ascii="Arial" w:hAnsi="Arial" w:cs="Arial"/>
          <w:noProof/>
          <w:sz w:val="24"/>
          <w:szCs w:val="24"/>
        </w:rPr>
        <w:t xml:space="preserve">Namada, J.M., 2018. </w:t>
      </w:r>
      <w:r w:rsidRPr="000C0D8D">
        <w:rPr>
          <w:rFonts w:ascii="Arial" w:hAnsi="Arial" w:cs="Arial"/>
          <w:i/>
          <w:iCs/>
          <w:noProof/>
          <w:sz w:val="24"/>
          <w:szCs w:val="24"/>
        </w:rPr>
        <w:t>Organizational learning and competitive advantage</w:t>
      </w:r>
      <w:r w:rsidRPr="000C0D8D">
        <w:rPr>
          <w:rFonts w:ascii="Arial" w:hAnsi="Arial" w:cs="Arial"/>
          <w:noProof/>
          <w:sz w:val="24"/>
          <w:szCs w:val="24"/>
        </w:rPr>
        <w:t>. In Handbook of Research on Knowledge Management for Contemporary Business Environments (pp. 86-104).  Pennsylvania: IGI Global, p. 129</w:t>
      </w:r>
    </w:p>
    <w:p w14:paraId="17012669" w14:textId="77777777" w:rsidR="002D4B72" w:rsidRPr="000C0D8D" w:rsidRDefault="002D4B72" w:rsidP="002D4B72">
      <w:pPr>
        <w:pStyle w:val="ListParagraph"/>
        <w:numPr>
          <w:ilvl w:val="0"/>
          <w:numId w:val="4"/>
        </w:numPr>
        <w:spacing w:line="360" w:lineRule="auto"/>
        <w:jc w:val="both"/>
        <w:rPr>
          <w:rFonts w:ascii="Arial" w:hAnsi="Arial" w:cs="Arial"/>
          <w:sz w:val="24"/>
          <w:szCs w:val="24"/>
        </w:rPr>
      </w:pPr>
      <w:r w:rsidRPr="000C0D8D">
        <w:rPr>
          <w:rFonts w:ascii="Arial" w:hAnsi="Arial" w:cs="Arial"/>
          <w:sz w:val="24"/>
          <w:szCs w:val="24"/>
        </w:rPr>
        <w:t xml:space="preserve">Peter Weill Stephanie L. </w:t>
      </w:r>
      <w:proofErr w:type="spellStart"/>
      <w:r w:rsidRPr="000C0D8D">
        <w:rPr>
          <w:rFonts w:ascii="Arial" w:hAnsi="Arial" w:cs="Arial"/>
          <w:sz w:val="24"/>
          <w:szCs w:val="24"/>
        </w:rPr>
        <w:t>Woerner</w:t>
      </w:r>
      <w:proofErr w:type="spellEnd"/>
      <w:r w:rsidRPr="000C0D8D">
        <w:rPr>
          <w:rFonts w:ascii="Arial" w:hAnsi="Arial" w:cs="Arial"/>
          <w:sz w:val="24"/>
          <w:szCs w:val="24"/>
        </w:rPr>
        <w:t xml:space="preserve"> (2015), Thriving in an Increasingly Digital Ecosystem, </w:t>
      </w:r>
      <w:proofErr w:type="spellStart"/>
      <w:r w:rsidRPr="000C0D8D">
        <w:rPr>
          <w:rFonts w:ascii="Arial" w:hAnsi="Arial" w:cs="Arial"/>
          <w:sz w:val="24"/>
          <w:szCs w:val="24"/>
        </w:rPr>
        <w:t>MITSLoan</w:t>
      </w:r>
      <w:proofErr w:type="spellEnd"/>
      <w:r w:rsidRPr="000C0D8D">
        <w:rPr>
          <w:rFonts w:ascii="Arial" w:hAnsi="Arial" w:cs="Arial"/>
          <w:sz w:val="24"/>
          <w:szCs w:val="24"/>
        </w:rPr>
        <w:t xml:space="preserve"> Management Review</w:t>
      </w:r>
    </w:p>
    <w:p w14:paraId="222B3D19" w14:textId="77777777" w:rsidR="002D4B72" w:rsidRPr="000C0D8D" w:rsidRDefault="002D4B72" w:rsidP="002D4B72">
      <w:pPr>
        <w:pStyle w:val="Heading1"/>
        <w:numPr>
          <w:ilvl w:val="0"/>
          <w:numId w:val="4"/>
        </w:numPr>
        <w:shd w:val="clear" w:color="auto" w:fill="FFFFFF"/>
        <w:spacing w:before="0" w:line="360" w:lineRule="auto"/>
        <w:jc w:val="both"/>
        <w:rPr>
          <w:rFonts w:ascii="Arial" w:hAnsi="Arial" w:cs="Arial"/>
          <w:bCs/>
          <w:color w:val="auto"/>
          <w:sz w:val="24"/>
          <w:szCs w:val="24"/>
        </w:rPr>
      </w:pPr>
      <w:r w:rsidRPr="000C0D8D">
        <w:rPr>
          <w:rFonts w:ascii="Arial" w:hAnsi="Arial" w:cs="Arial"/>
          <w:bCs/>
          <w:color w:val="auto"/>
          <w:sz w:val="24"/>
          <w:szCs w:val="24"/>
        </w:rPr>
        <w:t xml:space="preserve">Retrieved from </w:t>
      </w:r>
      <w:hyperlink r:id="rId9" w:history="1">
        <w:r w:rsidRPr="000C0D8D">
          <w:rPr>
            <w:rStyle w:val="Hyperlink"/>
            <w:rFonts w:ascii="Arial" w:hAnsi="Arial" w:cs="Arial"/>
            <w:bCs/>
            <w:color w:val="auto"/>
            <w:sz w:val="24"/>
            <w:szCs w:val="24"/>
          </w:rPr>
          <w:t>https://exchange.telstra.com.au/predictions-2019s-biggest-tech-trends/On 10 November 2019</w:t>
        </w:r>
      </w:hyperlink>
    </w:p>
    <w:p w14:paraId="6FD3AF56" w14:textId="77777777" w:rsidR="002D4B72" w:rsidRPr="000C0D8D" w:rsidRDefault="002D4B72" w:rsidP="002D4B72">
      <w:pPr>
        <w:pStyle w:val="ListParagraph"/>
        <w:numPr>
          <w:ilvl w:val="0"/>
          <w:numId w:val="4"/>
        </w:numPr>
        <w:spacing w:line="360" w:lineRule="auto"/>
        <w:jc w:val="both"/>
        <w:rPr>
          <w:rFonts w:ascii="Arial" w:hAnsi="Arial" w:cs="Arial"/>
          <w:sz w:val="24"/>
          <w:szCs w:val="24"/>
        </w:rPr>
      </w:pPr>
      <w:r w:rsidRPr="000C0D8D">
        <w:rPr>
          <w:rFonts w:ascii="Arial" w:hAnsi="Arial" w:cs="Arial"/>
          <w:sz w:val="24"/>
          <w:szCs w:val="24"/>
        </w:rPr>
        <w:t xml:space="preserve">Retrieved from </w:t>
      </w:r>
      <w:hyperlink r:id="rId10" w:history="1">
        <w:r w:rsidRPr="000C0D8D">
          <w:rPr>
            <w:rStyle w:val="Hyperlink"/>
            <w:rFonts w:ascii="Arial" w:hAnsi="Arial" w:cs="Arial"/>
            <w:color w:val="auto"/>
            <w:sz w:val="24"/>
            <w:szCs w:val="24"/>
          </w:rPr>
          <w:t>https://www.statista.com/statistics/827139/australia-promotion-and-advertising-expenses-telstra/</w:t>
        </w:r>
      </w:hyperlink>
    </w:p>
    <w:p w14:paraId="26FA6C7B" w14:textId="77777777" w:rsidR="002D4B72" w:rsidRPr="000C0D8D" w:rsidRDefault="002D4B72" w:rsidP="002D4B72">
      <w:pPr>
        <w:pStyle w:val="ListParagraph"/>
        <w:numPr>
          <w:ilvl w:val="0"/>
          <w:numId w:val="4"/>
        </w:numPr>
        <w:spacing w:line="360" w:lineRule="auto"/>
        <w:jc w:val="both"/>
        <w:rPr>
          <w:rFonts w:ascii="Arial" w:hAnsi="Arial" w:cs="Arial"/>
          <w:sz w:val="24"/>
          <w:szCs w:val="24"/>
          <w:u w:val="single"/>
        </w:rPr>
      </w:pPr>
      <w:r w:rsidRPr="000C0D8D">
        <w:rPr>
          <w:rFonts w:ascii="Arial" w:hAnsi="Arial" w:cs="Arial"/>
          <w:sz w:val="24"/>
          <w:szCs w:val="24"/>
        </w:rPr>
        <w:lastRenderedPageBreak/>
        <w:t xml:space="preserve">Retrieved from </w:t>
      </w:r>
      <w:hyperlink r:id="rId11" w:history="1">
        <w:r w:rsidRPr="000C0D8D">
          <w:rPr>
            <w:rStyle w:val="Hyperlink"/>
            <w:rFonts w:ascii="Arial" w:hAnsi="Arial" w:cs="Arial"/>
            <w:color w:val="auto"/>
            <w:sz w:val="24"/>
            <w:szCs w:val="24"/>
          </w:rPr>
          <w:t>https://www.telstra.com.au/content/dam/tcom/about-us/investors/pdf%20F/2018-Annual-Report-singlepages.pdf</w:t>
        </w:r>
      </w:hyperlink>
      <w:r w:rsidRPr="000C0D8D">
        <w:rPr>
          <w:rFonts w:ascii="Arial" w:hAnsi="Arial" w:cs="Arial"/>
          <w:sz w:val="24"/>
          <w:szCs w:val="24"/>
          <w:u w:val="single"/>
        </w:rPr>
        <w:t xml:space="preserve"> </w:t>
      </w:r>
      <w:r w:rsidRPr="000C0D8D">
        <w:rPr>
          <w:rFonts w:ascii="Arial" w:hAnsi="Arial" w:cs="Arial"/>
          <w:sz w:val="24"/>
          <w:szCs w:val="24"/>
        </w:rPr>
        <w:t>On 10 November 2019</w:t>
      </w:r>
    </w:p>
    <w:p w14:paraId="7020766F" w14:textId="77777777" w:rsidR="002D4B72" w:rsidRPr="000C0D8D" w:rsidRDefault="002D4B72" w:rsidP="002D4B72">
      <w:pPr>
        <w:pStyle w:val="ListParagraph"/>
        <w:numPr>
          <w:ilvl w:val="0"/>
          <w:numId w:val="4"/>
        </w:numPr>
        <w:spacing w:line="360" w:lineRule="auto"/>
        <w:jc w:val="both"/>
        <w:rPr>
          <w:rFonts w:ascii="Arial" w:hAnsi="Arial" w:cs="Arial"/>
          <w:sz w:val="24"/>
          <w:szCs w:val="24"/>
        </w:rPr>
      </w:pPr>
      <w:r w:rsidRPr="000C0D8D">
        <w:rPr>
          <w:rFonts w:ascii="Arial" w:hAnsi="Arial" w:cs="Arial"/>
          <w:sz w:val="24"/>
          <w:szCs w:val="24"/>
        </w:rPr>
        <w:t xml:space="preserve">Retrieved from: </w:t>
      </w:r>
      <w:hyperlink r:id="rId12" w:history="1">
        <w:r w:rsidRPr="000C0D8D">
          <w:rPr>
            <w:rStyle w:val="Hyperlink"/>
            <w:rFonts w:ascii="Arial" w:hAnsi="Arial" w:cs="Arial"/>
            <w:color w:val="auto"/>
            <w:sz w:val="24"/>
            <w:szCs w:val="24"/>
          </w:rPr>
          <w:t>https://www.accc.gov.au/system/files/Competition%20and%20price%20changes%20in%20telecommunications%20services%20in%20Australia%202016-17.pdf</w:t>
        </w:r>
      </w:hyperlink>
      <w:r w:rsidRPr="000C0D8D">
        <w:rPr>
          <w:rFonts w:ascii="Arial" w:hAnsi="Arial" w:cs="Arial"/>
          <w:sz w:val="24"/>
          <w:szCs w:val="24"/>
        </w:rPr>
        <w:t xml:space="preserve"> On 10 November 2019</w:t>
      </w:r>
    </w:p>
    <w:p w14:paraId="286C72AB" w14:textId="77777777" w:rsidR="002D4B72" w:rsidRPr="000C0D8D" w:rsidRDefault="002D4B72" w:rsidP="002D4B72">
      <w:pPr>
        <w:pStyle w:val="Bibliography"/>
        <w:numPr>
          <w:ilvl w:val="0"/>
          <w:numId w:val="4"/>
        </w:numPr>
        <w:spacing w:after="200" w:line="360" w:lineRule="auto"/>
        <w:jc w:val="both"/>
        <w:rPr>
          <w:rFonts w:ascii="Arial" w:hAnsi="Arial" w:cs="Arial"/>
          <w:noProof/>
          <w:szCs w:val="24"/>
        </w:rPr>
      </w:pPr>
      <w:r w:rsidRPr="000C0D8D">
        <w:rPr>
          <w:rFonts w:ascii="Arial" w:hAnsi="Arial" w:cs="Arial"/>
          <w:noProof/>
          <w:sz w:val="24"/>
          <w:szCs w:val="24"/>
        </w:rPr>
        <w:t xml:space="preserve">Tesfamicael, A.D., Liu, V., Foo, E. &amp; Caelli, W., 2017. Modeling for performance and security balanced trading communication systems in the cloud. </w:t>
      </w:r>
      <w:r w:rsidRPr="000C0D8D">
        <w:rPr>
          <w:rFonts w:ascii="Arial" w:hAnsi="Arial" w:cs="Arial"/>
          <w:i/>
          <w:iCs/>
          <w:noProof/>
          <w:sz w:val="24"/>
          <w:szCs w:val="24"/>
        </w:rPr>
        <w:t>In 2017 IEEE 36th International Performance Computing and Communications Conference (IPCCC)</w:t>
      </w:r>
      <w:r w:rsidRPr="000C0D8D">
        <w:rPr>
          <w:rFonts w:ascii="Arial" w:hAnsi="Arial" w:cs="Arial"/>
          <w:noProof/>
          <w:sz w:val="24"/>
          <w:szCs w:val="24"/>
        </w:rPr>
        <w:t>, pp.1-7.</w:t>
      </w:r>
    </w:p>
    <w:p w14:paraId="6377C4CA" w14:textId="77777777" w:rsidR="002D4B72" w:rsidRPr="000C0D8D" w:rsidRDefault="002D4B72" w:rsidP="002D4B72">
      <w:pPr>
        <w:pStyle w:val="Bibliography"/>
        <w:numPr>
          <w:ilvl w:val="0"/>
          <w:numId w:val="4"/>
        </w:numPr>
        <w:spacing w:after="200" w:line="360" w:lineRule="auto"/>
        <w:jc w:val="both"/>
        <w:rPr>
          <w:rFonts w:ascii="Arial" w:hAnsi="Arial" w:cs="Arial"/>
          <w:noProof/>
          <w:sz w:val="24"/>
          <w:szCs w:val="24"/>
        </w:rPr>
      </w:pPr>
      <w:r w:rsidRPr="000C0D8D">
        <w:rPr>
          <w:rFonts w:ascii="Arial" w:hAnsi="Arial" w:cs="Arial"/>
          <w:noProof/>
          <w:sz w:val="24"/>
          <w:szCs w:val="24"/>
        </w:rPr>
        <w:t>White, D.J., Hubacek, K., Feng, K., Sun, L. and Meng, B., 2018. The Water-Energy-Food Nexus in East Asia: A tele-connected value chain analysis using inter-regional input-output analysis. </w:t>
      </w:r>
      <w:r w:rsidRPr="000C0D8D">
        <w:rPr>
          <w:rFonts w:ascii="Arial" w:hAnsi="Arial" w:cs="Arial"/>
          <w:i/>
          <w:iCs/>
          <w:noProof/>
          <w:sz w:val="24"/>
          <w:szCs w:val="24"/>
        </w:rPr>
        <w:t>Applied Energy</w:t>
      </w:r>
      <w:r w:rsidRPr="000C0D8D">
        <w:rPr>
          <w:rFonts w:ascii="Arial" w:hAnsi="Arial" w:cs="Arial"/>
          <w:noProof/>
          <w:sz w:val="24"/>
          <w:szCs w:val="24"/>
        </w:rPr>
        <w:t>, 210, pp.550-567.</w:t>
      </w:r>
    </w:p>
    <w:p w14:paraId="7738431F" w14:textId="06196295" w:rsidR="002D4B72" w:rsidRDefault="002D4B72">
      <w:pPr>
        <w:rPr>
          <w:sz w:val="44"/>
          <w:szCs w:val="44"/>
        </w:rPr>
      </w:pPr>
      <w:r>
        <w:rPr>
          <w:sz w:val="44"/>
          <w:szCs w:val="44"/>
        </w:rPr>
        <w:br w:type="page"/>
      </w:r>
    </w:p>
    <w:p w14:paraId="4CD9A3E1" w14:textId="77777777" w:rsidR="002D4B72" w:rsidRPr="00A11942" w:rsidRDefault="002D4B72" w:rsidP="002D4B72">
      <w:pPr>
        <w:rPr>
          <w:sz w:val="44"/>
          <w:szCs w:val="44"/>
        </w:rPr>
      </w:pPr>
      <w:r w:rsidRPr="00A11942">
        <w:rPr>
          <w:sz w:val="44"/>
          <w:szCs w:val="44"/>
        </w:rPr>
        <w:lastRenderedPageBreak/>
        <w:t>Assessment 1</w:t>
      </w:r>
    </w:p>
    <w:p w14:paraId="5470D550" w14:textId="6F85F75E" w:rsidR="002D4B72" w:rsidRDefault="002D4B72" w:rsidP="002D4B72">
      <w:pPr>
        <w:rPr>
          <w:sz w:val="44"/>
          <w:szCs w:val="44"/>
        </w:rPr>
      </w:pPr>
      <w:r w:rsidRPr="00A11942">
        <w:rPr>
          <w:sz w:val="44"/>
          <w:szCs w:val="44"/>
        </w:rPr>
        <w:t xml:space="preserve">Part </w:t>
      </w:r>
      <w:r>
        <w:rPr>
          <w:sz w:val="44"/>
          <w:szCs w:val="44"/>
        </w:rPr>
        <w:t>A</w:t>
      </w:r>
    </w:p>
    <w:p w14:paraId="16E79206" w14:textId="2AC3D637" w:rsidR="002D2A77" w:rsidRDefault="00F337C3" w:rsidP="00A11942">
      <w:pPr>
        <w:rPr>
          <w:rStyle w:val="Hyperlink"/>
          <w:rFonts w:ascii="Arial" w:hAnsi="Arial" w:cs="Arial"/>
          <w:sz w:val="23"/>
          <w:szCs w:val="23"/>
          <w:shd w:val="clear" w:color="auto" w:fill="F4F4F4"/>
        </w:rPr>
      </w:pPr>
      <w:hyperlink r:id="rId13" w:tgtFrame="_blank" w:history="1">
        <w:r w:rsidR="00BD09FF">
          <w:rPr>
            <w:rStyle w:val="Hyperlink"/>
            <w:rFonts w:ascii="Arial" w:hAnsi="Arial" w:cs="Arial"/>
            <w:sz w:val="23"/>
            <w:szCs w:val="23"/>
            <w:shd w:val="clear" w:color="auto" w:fill="F4F4F4"/>
          </w:rPr>
          <w:t>https://youtu.be/gt1fYQO8qG0</w:t>
        </w:r>
      </w:hyperlink>
      <w:bookmarkStart w:id="4" w:name="_GoBack"/>
      <w:bookmarkEnd w:id="4"/>
    </w:p>
    <w:p w14:paraId="528F775A" w14:textId="77777777" w:rsidR="006964F3" w:rsidRDefault="006964F3" w:rsidP="00A11942">
      <w:pPr>
        <w:rPr>
          <w:rStyle w:val="Hyperlink"/>
          <w:rFonts w:ascii="Arial" w:hAnsi="Arial" w:cs="Arial"/>
          <w:b/>
          <w:bCs/>
          <w:color w:val="auto"/>
          <w:u w:val="none"/>
        </w:rPr>
      </w:pPr>
    </w:p>
    <w:p w14:paraId="52054AB1" w14:textId="5D2FCD51" w:rsidR="006964F3" w:rsidRDefault="006964F3" w:rsidP="00910693">
      <w:pPr>
        <w:ind w:firstLine="360"/>
        <w:rPr>
          <w:rStyle w:val="Hyperlink"/>
          <w:rFonts w:ascii="Arial" w:hAnsi="Arial" w:cs="Arial"/>
          <w:b/>
          <w:bCs/>
          <w:color w:val="auto"/>
          <w:sz w:val="24"/>
          <w:szCs w:val="24"/>
          <w:u w:val="none"/>
        </w:rPr>
      </w:pPr>
      <w:r w:rsidRPr="00301135">
        <w:rPr>
          <w:rStyle w:val="Hyperlink"/>
          <w:rFonts w:ascii="Arial" w:hAnsi="Arial" w:cs="Arial"/>
          <w:b/>
          <w:bCs/>
          <w:color w:val="auto"/>
          <w:sz w:val="24"/>
          <w:szCs w:val="24"/>
          <w:u w:val="none"/>
        </w:rPr>
        <w:t>References:</w:t>
      </w:r>
    </w:p>
    <w:p w14:paraId="045E8393" w14:textId="77777777" w:rsidR="00910693" w:rsidRPr="00910693" w:rsidRDefault="00910693" w:rsidP="00910693">
      <w:pPr>
        <w:numPr>
          <w:ilvl w:val="0"/>
          <w:numId w:val="5"/>
        </w:numPr>
        <w:jc w:val="both"/>
        <w:rPr>
          <w:rFonts w:ascii="Arial" w:hAnsi="Arial" w:cs="Arial"/>
          <w:sz w:val="24"/>
          <w:szCs w:val="24"/>
        </w:rPr>
      </w:pPr>
      <w:proofErr w:type="spellStart"/>
      <w:r w:rsidRPr="00910693">
        <w:rPr>
          <w:rFonts w:ascii="Arial" w:hAnsi="Arial" w:cs="Arial"/>
          <w:sz w:val="24"/>
          <w:szCs w:val="24"/>
          <w:lang w:val="en-US"/>
        </w:rPr>
        <w:t>Brevini</w:t>
      </w:r>
      <w:proofErr w:type="spellEnd"/>
      <w:r w:rsidRPr="00910693">
        <w:rPr>
          <w:rFonts w:ascii="Arial" w:hAnsi="Arial" w:cs="Arial"/>
          <w:sz w:val="24"/>
          <w:szCs w:val="24"/>
          <w:lang w:val="en-US"/>
        </w:rPr>
        <w:t xml:space="preserve">, B., 2017. Metadata laws, journalism and resistance in Australia. </w:t>
      </w:r>
      <w:r w:rsidRPr="00910693">
        <w:rPr>
          <w:rFonts w:ascii="Arial" w:hAnsi="Arial" w:cs="Arial"/>
          <w:i/>
          <w:iCs/>
          <w:sz w:val="24"/>
          <w:szCs w:val="24"/>
          <w:lang w:val="en-US"/>
        </w:rPr>
        <w:t>Media and Communication</w:t>
      </w:r>
      <w:r w:rsidRPr="00910693">
        <w:rPr>
          <w:rFonts w:ascii="Arial" w:hAnsi="Arial" w:cs="Arial"/>
          <w:sz w:val="24"/>
          <w:szCs w:val="24"/>
          <w:lang w:val="en-US"/>
        </w:rPr>
        <w:t>, 5(1), pp.76-83.</w:t>
      </w:r>
    </w:p>
    <w:p w14:paraId="38EA4704" w14:textId="77777777" w:rsidR="00910693" w:rsidRPr="00910693" w:rsidRDefault="00910693" w:rsidP="00910693">
      <w:pPr>
        <w:numPr>
          <w:ilvl w:val="0"/>
          <w:numId w:val="5"/>
        </w:numPr>
        <w:jc w:val="both"/>
        <w:rPr>
          <w:rFonts w:ascii="Arial" w:hAnsi="Arial" w:cs="Arial"/>
          <w:sz w:val="24"/>
          <w:szCs w:val="24"/>
        </w:rPr>
      </w:pPr>
      <w:r w:rsidRPr="00910693">
        <w:rPr>
          <w:rFonts w:ascii="Arial" w:hAnsi="Arial" w:cs="Arial"/>
          <w:sz w:val="24"/>
          <w:szCs w:val="24"/>
          <w:lang w:val="en-US"/>
        </w:rPr>
        <w:t xml:space="preserve">Burgess, S., </w:t>
      </w:r>
      <w:proofErr w:type="spellStart"/>
      <w:r w:rsidRPr="00910693">
        <w:rPr>
          <w:rFonts w:ascii="Arial" w:hAnsi="Arial" w:cs="Arial"/>
          <w:sz w:val="24"/>
          <w:szCs w:val="24"/>
          <w:lang w:val="en-US"/>
        </w:rPr>
        <w:t>Sellitto</w:t>
      </w:r>
      <w:proofErr w:type="spellEnd"/>
      <w:r w:rsidRPr="00910693">
        <w:rPr>
          <w:rFonts w:ascii="Arial" w:hAnsi="Arial" w:cs="Arial"/>
          <w:sz w:val="24"/>
          <w:szCs w:val="24"/>
          <w:lang w:val="en-US"/>
        </w:rPr>
        <w:t xml:space="preserve">, C., Cox, C. &amp; </w:t>
      </w:r>
      <w:proofErr w:type="spellStart"/>
      <w:r w:rsidRPr="00910693">
        <w:rPr>
          <w:rFonts w:ascii="Arial" w:hAnsi="Arial" w:cs="Arial"/>
          <w:sz w:val="24"/>
          <w:szCs w:val="24"/>
          <w:lang w:val="en-US"/>
        </w:rPr>
        <w:t>Buultjens</w:t>
      </w:r>
      <w:proofErr w:type="spellEnd"/>
      <w:r w:rsidRPr="00910693">
        <w:rPr>
          <w:rFonts w:ascii="Arial" w:hAnsi="Arial" w:cs="Arial"/>
          <w:sz w:val="24"/>
          <w:szCs w:val="24"/>
          <w:lang w:val="en-US"/>
        </w:rPr>
        <w:t>, J., 2015. Strategies for adopting consumer</w:t>
      </w:r>
      <w:r w:rsidRPr="00910693">
        <w:rPr>
          <w:rFonts w:ascii="Cambria Math" w:hAnsi="Cambria Math" w:cs="Cambria Math"/>
          <w:sz w:val="24"/>
          <w:szCs w:val="24"/>
          <w:lang w:val="en-US"/>
        </w:rPr>
        <w:t>‐</w:t>
      </w:r>
      <w:r w:rsidRPr="00910693">
        <w:rPr>
          <w:rFonts w:ascii="Arial" w:hAnsi="Arial" w:cs="Arial"/>
          <w:sz w:val="24"/>
          <w:szCs w:val="24"/>
          <w:lang w:val="en-US"/>
        </w:rPr>
        <w:t>generated media in small</w:t>
      </w:r>
      <w:r w:rsidRPr="00910693">
        <w:rPr>
          <w:rFonts w:ascii="Cambria Math" w:hAnsi="Cambria Math" w:cs="Cambria Math"/>
          <w:sz w:val="24"/>
          <w:szCs w:val="24"/>
          <w:lang w:val="en-US"/>
        </w:rPr>
        <w:t>‐</w:t>
      </w:r>
      <w:r w:rsidRPr="00910693">
        <w:rPr>
          <w:rFonts w:ascii="Arial" w:hAnsi="Arial" w:cs="Arial"/>
          <w:sz w:val="24"/>
          <w:szCs w:val="24"/>
          <w:lang w:val="en-US"/>
        </w:rPr>
        <w:t>sized to medium</w:t>
      </w:r>
      <w:r w:rsidRPr="00910693">
        <w:rPr>
          <w:rFonts w:ascii="Cambria Math" w:hAnsi="Cambria Math" w:cs="Cambria Math"/>
          <w:sz w:val="24"/>
          <w:szCs w:val="24"/>
          <w:lang w:val="en-US"/>
        </w:rPr>
        <w:t>‐</w:t>
      </w:r>
      <w:r w:rsidRPr="00910693">
        <w:rPr>
          <w:rFonts w:ascii="Arial" w:hAnsi="Arial" w:cs="Arial"/>
          <w:sz w:val="24"/>
          <w:szCs w:val="24"/>
          <w:lang w:val="en-US"/>
        </w:rPr>
        <w:t xml:space="preserve">sized tourism enterprises. </w:t>
      </w:r>
      <w:r w:rsidRPr="00910693">
        <w:rPr>
          <w:rFonts w:ascii="Arial" w:hAnsi="Arial" w:cs="Arial"/>
          <w:i/>
          <w:iCs/>
          <w:sz w:val="24"/>
          <w:szCs w:val="24"/>
          <w:lang w:val="en-US"/>
        </w:rPr>
        <w:t>International Journal of Tourism Research</w:t>
      </w:r>
      <w:r w:rsidRPr="00910693">
        <w:rPr>
          <w:rFonts w:ascii="Arial" w:hAnsi="Arial" w:cs="Arial"/>
          <w:sz w:val="24"/>
          <w:szCs w:val="24"/>
          <w:lang w:val="en-US"/>
        </w:rPr>
        <w:t>, 17(5), pp.432-41.</w:t>
      </w:r>
    </w:p>
    <w:p w14:paraId="0EB3292A" w14:textId="77777777" w:rsidR="00910693" w:rsidRPr="00910693" w:rsidRDefault="00910693" w:rsidP="00910693">
      <w:pPr>
        <w:numPr>
          <w:ilvl w:val="0"/>
          <w:numId w:val="5"/>
        </w:numPr>
        <w:jc w:val="both"/>
        <w:rPr>
          <w:rFonts w:ascii="Arial" w:hAnsi="Arial" w:cs="Arial"/>
          <w:sz w:val="24"/>
          <w:szCs w:val="24"/>
        </w:rPr>
      </w:pPr>
      <w:r w:rsidRPr="00910693">
        <w:rPr>
          <w:rFonts w:ascii="Arial" w:hAnsi="Arial" w:cs="Arial"/>
          <w:sz w:val="24"/>
          <w:szCs w:val="24"/>
          <w:lang w:val="en-IN"/>
        </w:rPr>
        <w:t>Cameron, E. and Green, M., 2019. </w:t>
      </w:r>
      <w:r w:rsidRPr="00910693">
        <w:rPr>
          <w:rFonts w:ascii="Arial" w:hAnsi="Arial" w:cs="Arial"/>
          <w:i/>
          <w:iCs/>
          <w:sz w:val="24"/>
          <w:szCs w:val="24"/>
          <w:lang w:val="en-IN"/>
        </w:rPr>
        <w:t>Making sense of change management: A complete guide to the models, tools and techniques of organizational change</w:t>
      </w:r>
      <w:r w:rsidRPr="00910693">
        <w:rPr>
          <w:rFonts w:ascii="Arial" w:hAnsi="Arial" w:cs="Arial"/>
          <w:sz w:val="24"/>
          <w:szCs w:val="24"/>
          <w:lang w:val="en-IN"/>
        </w:rPr>
        <w:t>. London: Kogan Page Publishers, p. 123</w:t>
      </w:r>
    </w:p>
    <w:p w14:paraId="0A3EF964" w14:textId="77777777" w:rsidR="00910693" w:rsidRPr="00910693" w:rsidRDefault="00910693" w:rsidP="00910693">
      <w:pPr>
        <w:numPr>
          <w:ilvl w:val="0"/>
          <w:numId w:val="5"/>
        </w:numPr>
        <w:jc w:val="both"/>
        <w:rPr>
          <w:rFonts w:ascii="Arial" w:hAnsi="Arial" w:cs="Arial"/>
          <w:sz w:val="24"/>
          <w:szCs w:val="24"/>
        </w:rPr>
      </w:pPr>
      <w:r w:rsidRPr="00910693">
        <w:rPr>
          <w:rFonts w:ascii="Arial" w:hAnsi="Arial" w:cs="Arial"/>
          <w:sz w:val="24"/>
          <w:szCs w:val="24"/>
          <w:lang w:val="en-US"/>
        </w:rPr>
        <w:t xml:space="preserve">Campbell, I., 2017. Telstra's future mode of operation: Network transformation between 1992 to 1993. </w:t>
      </w:r>
      <w:r w:rsidRPr="00910693">
        <w:rPr>
          <w:rFonts w:ascii="Arial" w:hAnsi="Arial" w:cs="Arial"/>
          <w:i/>
          <w:iCs/>
          <w:sz w:val="24"/>
          <w:szCs w:val="24"/>
          <w:lang w:val="en-US"/>
        </w:rPr>
        <w:t xml:space="preserve">Australian Journal of Telecommunications and the Digital </w:t>
      </w:r>
      <w:proofErr w:type="gramStart"/>
      <w:r w:rsidRPr="00910693">
        <w:rPr>
          <w:rFonts w:ascii="Arial" w:hAnsi="Arial" w:cs="Arial"/>
          <w:i/>
          <w:iCs/>
          <w:sz w:val="24"/>
          <w:szCs w:val="24"/>
          <w:lang w:val="en-US"/>
        </w:rPr>
        <w:t xml:space="preserve">Economy </w:t>
      </w:r>
      <w:r w:rsidRPr="00910693">
        <w:rPr>
          <w:rFonts w:ascii="Arial" w:hAnsi="Arial" w:cs="Arial"/>
          <w:sz w:val="24"/>
          <w:szCs w:val="24"/>
          <w:lang w:val="en-US"/>
        </w:rPr>
        <w:t>,</w:t>
      </w:r>
      <w:proofErr w:type="gramEnd"/>
      <w:r w:rsidRPr="00910693">
        <w:rPr>
          <w:rFonts w:ascii="Arial" w:hAnsi="Arial" w:cs="Arial"/>
          <w:sz w:val="24"/>
          <w:szCs w:val="24"/>
          <w:lang w:val="en-US"/>
        </w:rPr>
        <w:t xml:space="preserve"> 5(4), p.18.</w:t>
      </w:r>
    </w:p>
    <w:p w14:paraId="2CF22F98" w14:textId="77777777" w:rsidR="00910693" w:rsidRPr="00910693" w:rsidRDefault="00910693" w:rsidP="00910693">
      <w:pPr>
        <w:numPr>
          <w:ilvl w:val="0"/>
          <w:numId w:val="5"/>
        </w:numPr>
        <w:jc w:val="both"/>
        <w:rPr>
          <w:rFonts w:ascii="Arial" w:hAnsi="Arial" w:cs="Arial"/>
          <w:sz w:val="24"/>
          <w:szCs w:val="24"/>
        </w:rPr>
      </w:pPr>
      <w:r w:rsidRPr="00910693">
        <w:rPr>
          <w:rFonts w:ascii="Arial" w:hAnsi="Arial" w:cs="Arial"/>
          <w:sz w:val="24"/>
          <w:szCs w:val="24"/>
          <w:lang w:val="en-IN"/>
        </w:rPr>
        <w:t>Campbell, I., 2017. Telstra's Future Mode of Operation-the transformation of the Telstra's Network-1992/93. </w:t>
      </w:r>
      <w:r w:rsidRPr="00910693">
        <w:rPr>
          <w:rFonts w:ascii="Arial" w:hAnsi="Arial" w:cs="Arial"/>
          <w:i/>
          <w:iCs/>
          <w:sz w:val="24"/>
          <w:szCs w:val="24"/>
          <w:lang w:val="en-IN"/>
        </w:rPr>
        <w:t>Journal of Telecommunications and the Digital Economy</w:t>
      </w:r>
      <w:r w:rsidRPr="00910693">
        <w:rPr>
          <w:rFonts w:ascii="Arial" w:hAnsi="Arial" w:cs="Arial"/>
          <w:sz w:val="24"/>
          <w:szCs w:val="24"/>
          <w:lang w:val="en-IN"/>
        </w:rPr>
        <w:t xml:space="preserve">, 5(4), pp.18-69. </w:t>
      </w:r>
    </w:p>
    <w:p w14:paraId="6218B1E2" w14:textId="77777777" w:rsidR="00910693" w:rsidRPr="00910693" w:rsidRDefault="00910693" w:rsidP="00910693">
      <w:pPr>
        <w:numPr>
          <w:ilvl w:val="0"/>
          <w:numId w:val="5"/>
        </w:numPr>
        <w:jc w:val="both"/>
        <w:rPr>
          <w:rFonts w:ascii="Arial" w:hAnsi="Arial" w:cs="Arial"/>
          <w:sz w:val="24"/>
          <w:szCs w:val="24"/>
        </w:rPr>
      </w:pPr>
      <w:r w:rsidRPr="00910693">
        <w:rPr>
          <w:rFonts w:ascii="Arial" w:hAnsi="Arial" w:cs="Arial"/>
          <w:sz w:val="24"/>
          <w:szCs w:val="24"/>
          <w:lang w:val="en-US"/>
        </w:rPr>
        <w:t xml:space="preserve">Chattopadhyay, U &amp; </w:t>
      </w:r>
      <w:proofErr w:type="spellStart"/>
      <w:r w:rsidRPr="00910693">
        <w:rPr>
          <w:rFonts w:ascii="Arial" w:hAnsi="Arial" w:cs="Arial"/>
          <w:sz w:val="24"/>
          <w:szCs w:val="24"/>
          <w:lang w:val="en-US"/>
        </w:rPr>
        <w:t>Bhawsar</w:t>
      </w:r>
      <w:proofErr w:type="spellEnd"/>
      <w:r w:rsidRPr="00910693">
        <w:rPr>
          <w:rFonts w:ascii="Arial" w:hAnsi="Arial" w:cs="Arial"/>
          <w:sz w:val="24"/>
          <w:szCs w:val="24"/>
          <w:lang w:val="en-US"/>
        </w:rPr>
        <w:t xml:space="preserve">, P 2016, 'Instabilities in international joint ventures: a study of the Tata DoCoMo case', </w:t>
      </w:r>
      <w:r w:rsidRPr="00910693">
        <w:rPr>
          <w:rFonts w:ascii="Arial" w:hAnsi="Arial" w:cs="Arial"/>
          <w:i/>
          <w:iCs/>
          <w:sz w:val="24"/>
          <w:szCs w:val="24"/>
          <w:lang w:val="en-US"/>
        </w:rPr>
        <w:t>International Journal of Entrepreneurship and Innovation Management</w:t>
      </w:r>
      <w:r w:rsidRPr="00910693">
        <w:rPr>
          <w:rFonts w:ascii="Arial" w:hAnsi="Arial" w:cs="Arial"/>
          <w:sz w:val="24"/>
          <w:szCs w:val="24"/>
          <w:lang w:val="en-US"/>
        </w:rPr>
        <w:t>, vol 20, no. 5, pp. 300-319.</w:t>
      </w:r>
    </w:p>
    <w:p w14:paraId="686D18DF" w14:textId="77777777" w:rsidR="00910693" w:rsidRPr="00910693" w:rsidRDefault="00910693" w:rsidP="00910693">
      <w:pPr>
        <w:numPr>
          <w:ilvl w:val="0"/>
          <w:numId w:val="5"/>
        </w:numPr>
        <w:jc w:val="both"/>
        <w:rPr>
          <w:rFonts w:ascii="Arial" w:hAnsi="Arial" w:cs="Arial"/>
          <w:sz w:val="24"/>
          <w:szCs w:val="24"/>
        </w:rPr>
      </w:pPr>
      <w:r w:rsidRPr="00910693">
        <w:rPr>
          <w:rFonts w:ascii="Arial" w:hAnsi="Arial" w:cs="Arial"/>
          <w:sz w:val="24"/>
          <w:szCs w:val="24"/>
          <w:lang w:val="en-US"/>
        </w:rPr>
        <w:t xml:space="preserve">Chi, J. &amp; Sun, L., 2015. IT and competitive advantage: A study from micro perspective. </w:t>
      </w:r>
      <w:r w:rsidRPr="00910693">
        <w:rPr>
          <w:rFonts w:ascii="Arial" w:hAnsi="Arial" w:cs="Arial"/>
          <w:i/>
          <w:iCs/>
          <w:sz w:val="24"/>
          <w:szCs w:val="24"/>
          <w:lang w:val="en-US"/>
        </w:rPr>
        <w:t>Modern economy</w:t>
      </w:r>
      <w:r w:rsidRPr="00910693">
        <w:rPr>
          <w:rFonts w:ascii="Arial" w:hAnsi="Arial" w:cs="Arial"/>
          <w:sz w:val="24"/>
          <w:szCs w:val="24"/>
          <w:lang w:val="en-US"/>
        </w:rPr>
        <w:t>, 6(3), p.404.</w:t>
      </w:r>
    </w:p>
    <w:p w14:paraId="3C6000D3" w14:textId="77777777" w:rsidR="00910693" w:rsidRPr="00910693" w:rsidRDefault="00910693" w:rsidP="00910693">
      <w:pPr>
        <w:numPr>
          <w:ilvl w:val="0"/>
          <w:numId w:val="5"/>
        </w:numPr>
        <w:jc w:val="both"/>
        <w:rPr>
          <w:rFonts w:ascii="Arial" w:hAnsi="Arial" w:cs="Arial"/>
          <w:sz w:val="24"/>
          <w:szCs w:val="24"/>
        </w:rPr>
      </w:pPr>
      <w:r w:rsidRPr="00910693">
        <w:rPr>
          <w:rFonts w:ascii="Arial" w:hAnsi="Arial" w:cs="Arial"/>
          <w:sz w:val="24"/>
          <w:szCs w:val="24"/>
          <w:lang w:val="en-US"/>
        </w:rPr>
        <w:t xml:space="preserve">Cooper, R. &amp; Burrell, G., 2015. Modernism, postmodernism and organizational analysis: An introduction. </w:t>
      </w:r>
      <w:r w:rsidRPr="00910693">
        <w:rPr>
          <w:rFonts w:ascii="Arial" w:hAnsi="Arial" w:cs="Arial"/>
          <w:i/>
          <w:iCs/>
          <w:sz w:val="24"/>
          <w:szCs w:val="24"/>
          <w:lang w:val="en-US"/>
        </w:rPr>
        <w:t xml:space="preserve">In </w:t>
      </w:r>
      <w:proofErr w:type="gramStart"/>
      <w:r w:rsidRPr="00910693">
        <w:rPr>
          <w:rFonts w:ascii="Arial" w:hAnsi="Arial" w:cs="Arial"/>
          <w:i/>
          <w:iCs/>
          <w:sz w:val="24"/>
          <w:szCs w:val="24"/>
          <w:lang w:val="en-US"/>
        </w:rPr>
        <w:t>For</w:t>
      </w:r>
      <w:proofErr w:type="gramEnd"/>
      <w:r w:rsidRPr="00910693">
        <w:rPr>
          <w:rFonts w:ascii="Arial" w:hAnsi="Arial" w:cs="Arial"/>
          <w:i/>
          <w:iCs/>
          <w:sz w:val="24"/>
          <w:szCs w:val="24"/>
          <w:lang w:val="en-US"/>
        </w:rPr>
        <w:t xml:space="preserve"> Robert Cooper</w:t>
      </w:r>
      <w:r w:rsidRPr="00910693">
        <w:rPr>
          <w:rFonts w:ascii="Arial" w:hAnsi="Arial" w:cs="Arial"/>
          <w:sz w:val="24"/>
          <w:szCs w:val="24"/>
          <w:lang w:val="en-US"/>
        </w:rPr>
        <w:t>, pp.149-75.</w:t>
      </w:r>
    </w:p>
    <w:p w14:paraId="4A0C6203" w14:textId="77777777" w:rsidR="00910693" w:rsidRPr="00910693" w:rsidRDefault="00910693" w:rsidP="00910693">
      <w:pPr>
        <w:numPr>
          <w:ilvl w:val="0"/>
          <w:numId w:val="5"/>
        </w:numPr>
        <w:jc w:val="both"/>
        <w:rPr>
          <w:rFonts w:ascii="Arial" w:hAnsi="Arial" w:cs="Arial"/>
          <w:sz w:val="24"/>
          <w:szCs w:val="24"/>
        </w:rPr>
      </w:pPr>
      <w:r w:rsidRPr="00910693">
        <w:rPr>
          <w:rFonts w:ascii="Arial" w:hAnsi="Arial" w:cs="Arial"/>
          <w:sz w:val="24"/>
          <w:szCs w:val="24"/>
          <w:lang w:val="en-US"/>
        </w:rPr>
        <w:t xml:space="preserve">Crossman, ND, Sangha, NS &amp; Costanza, R 2018, 'Economic Values of the Northern Territory Marine and Coastal Environments." Australian Marine Conservation Society', </w:t>
      </w:r>
      <w:r w:rsidRPr="00910693">
        <w:rPr>
          <w:rFonts w:ascii="Arial" w:hAnsi="Arial" w:cs="Arial"/>
          <w:i/>
          <w:iCs/>
          <w:sz w:val="24"/>
          <w:szCs w:val="24"/>
          <w:lang w:val="en-US"/>
        </w:rPr>
        <w:t>Darwin, Australia</w:t>
      </w:r>
      <w:r w:rsidRPr="00910693">
        <w:rPr>
          <w:rFonts w:ascii="Arial" w:hAnsi="Arial" w:cs="Arial"/>
          <w:sz w:val="24"/>
          <w:szCs w:val="24"/>
          <w:lang w:val="en-US"/>
        </w:rPr>
        <w:t>.</w:t>
      </w:r>
    </w:p>
    <w:p w14:paraId="5818F23E" w14:textId="77777777" w:rsidR="00910693" w:rsidRPr="00910693" w:rsidRDefault="00910693" w:rsidP="00910693">
      <w:pPr>
        <w:numPr>
          <w:ilvl w:val="0"/>
          <w:numId w:val="5"/>
        </w:numPr>
        <w:jc w:val="both"/>
        <w:rPr>
          <w:rFonts w:ascii="Arial" w:hAnsi="Arial" w:cs="Arial"/>
          <w:sz w:val="24"/>
          <w:szCs w:val="24"/>
        </w:rPr>
      </w:pPr>
      <w:r w:rsidRPr="00910693">
        <w:rPr>
          <w:rFonts w:ascii="Arial" w:hAnsi="Arial" w:cs="Arial"/>
          <w:sz w:val="24"/>
          <w:szCs w:val="24"/>
          <w:lang w:val="en-US"/>
        </w:rPr>
        <w:t xml:space="preserve">Downes, M.J., Mervin, M.C., Byrnes, J.M. &amp; </w:t>
      </w:r>
      <w:proofErr w:type="spellStart"/>
      <w:r w:rsidRPr="00910693">
        <w:rPr>
          <w:rFonts w:ascii="Arial" w:hAnsi="Arial" w:cs="Arial"/>
          <w:sz w:val="24"/>
          <w:szCs w:val="24"/>
          <w:lang w:val="en-US"/>
        </w:rPr>
        <w:t>Scuffham</w:t>
      </w:r>
      <w:proofErr w:type="spellEnd"/>
      <w:r w:rsidRPr="00910693">
        <w:rPr>
          <w:rFonts w:ascii="Arial" w:hAnsi="Arial" w:cs="Arial"/>
          <w:sz w:val="24"/>
          <w:szCs w:val="24"/>
          <w:lang w:val="en-US"/>
        </w:rPr>
        <w:t xml:space="preserve">, P.A., 2017. Telephone consultations for general practice: a systematic review. </w:t>
      </w:r>
      <w:r w:rsidRPr="00910693">
        <w:rPr>
          <w:rFonts w:ascii="Arial" w:hAnsi="Arial" w:cs="Arial"/>
          <w:i/>
          <w:iCs/>
          <w:sz w:val="24"/>
          <w:szCs w:val="24"/>
          <w:lang w:val="en-US"/>
        </w:rPr>
        <w:t>Systematic reviews</w:t>
      </w:r>
      <w:r w:rsidRPr="00910693">
        <w:rPr>
          <w:rFonts w:ascii="Arial" w:hAnsi="Arial" w:cs="Arial"/>
          <w:sz w:val="24"/>
          <w:szCs w:val="24"/>
          <w:lang w:val="en-US"/>
        </w:rPr>
        <w:t>, 6(1), p.128.</w:t>
      </w:r>
    </w:p>
    <w:p w14:paraId="47EF052C" w14:textId="77777777" w:rsidR="00910693" w:rsidRPr="00910693" w:rsidRDefault="00910693" w:rsidP="00910693">
      <w:pPr>
        <w:numPr>
          <w:ilvl w:val="0"/>
          <w:numId w:val="5"/>
        </w:numPr>
        <w:jc w:val="both"/>
        <w:rPr>
          <w:rFonts w:ascii="Arial" w:hAnsi="Arial" w:cs="Arial"/>
          <w:sz w:val="24"/>
          <w:szCs w:val="24"/>
        </w:rPr>
      </w:pPr>
      <w:r w:rsidRPr="00910693">
        <w:rPr>
          <w:rFonts w:ascii="Arial" w:hAnsi="Arial" w:cs="Arial"/>
          <w:sz w:val="24"/>
          <w:szCs w:val="24"/>
          <w:lang w:val="en-US"/>
        </w:rPr>
        <w:t xml:space="preserve">Dwyer, T, Shim, Y, Lee, H &amp; Hutchinson, J 2018, 'Comparing Digital Media Industries in South Korea and Australia', </w:t>
      </w:r>
      <w:r w:rsidRPr="00910693">
        <w:rPr>
          <w:rFonts w:ascii="Arial" w:hAnsi="Arial" w:cs="Arial"/>
          <w:i/>
          <w:iCs/>
          <w:sz w:val="24"/>
          <w:szCs w:val="24"/>
          <w:lang w:val="en-US"/>
        </w:rPr>
        <w:t>International Journal of Communication</w:t>
      </w:r>
      <w:r w:rsidRPr="00910693">
        <w:rPr>
          <w:rFonts w:ascii="Arial" w:hAnsi="Arial" w:cs="Arial"/>
          <w:sz w:val="24"/>
          <w:szCs w:val="24"/>
          <w:lang w:val="en-US"/>
        </w:rPr>
        <w:t>, vol 12, p. 20.</w:t>
      </w:r>
    </w:p>
    <w:p w14:paraId="37A63530" w14:textId="77777777" w:rsidR="00910693" w:rsidRPr="00910693" w:rsidRDefault="00910693" w:rsidP="00910693">
      <w:pPr>
        <w:numPr>
          <w:ilvl w:val="0"/>
          <w:numId w:val="5"/>
        </w:numPr>
        <w:jc w:val="both"/>
        <w:rPr>
          <w:rFonts w:ascii="Arial" w:hAnsi="Arial" w:cs="Arial"/>
          <w:sz w:val="24"/>
          <w:szCs w:val="24"/>
        </w:rPr>
      </w:pPr>
      <w:r w:rsidRPr="00910693">
        <w:rPr>
          <w:rFonts w:ascii="Arial" w:hAnsi="Arial" w:cs="Arial"/>
          <w:sz w:val="24"/>
          <w:szCs w:val="24"/>
          <w:lang w:val="en-US"/>
        </w:rPr>
        <w:lastRenderedPageBreak/>
        <w:t xml:space="preserve">Gale, F., 2019. The Circular Economy in (Corporate) Australia: </w:t>
      </w:r>
      <w:proofErr w:type="gramStart"/>
      <w:r w:rsidRPr="00910693">
        <w:rPr>
          <w:rFonts w:ascii="Arial" w:hAnsi="Arial" w:cs="Arial"/>
          <w:sz w:val="24"/>
          <w:szCs w:val="24"/>
          <w:lang w:val="en-US"/>
        </w:rPr>
        <w:t>a</w:t>
      </w:r>
      <w:proofErr w:type="gramEnd"/>
      <w:r w:rsidRPr="00910693">
        <w:rPr>
          <w:rFonts w:ascii="Arial" w:hAnsi="Arial" w:cs="Arial"/>
          <w:sz w:val="24"/>
          <w:szCs w:val="24"/>
          <w:lang w:val="en-US"/>
        </w:rPr>
        <w:t xml:space="preserve"> Preliminary Analysis. </w:t>
      </w:r>
      <w:r w:rsidRPr="00910693">
        <w:rPr>
          <w:rFonts w:ascii="Arial" w:hAnsi="Arial" w:cs="Arial"/>
          <w:i/>
          <w:iCs/>
          <w:sz w:val="24"/>
          <w:szCs w:val="24"/>
          <w:lang w:val="en-US"/>
        </w:rPr>
        <w:t xml:space="preserve">In 4th Edition of the International Conference on Public </w:t>
      </w:r>
      <w:proofErr w:type="gramStart"/>
      <w:r w:rsidRPr="00910693">
        <w:rPr>
          <w:rFonts w:ascii="Arial" w:hAnsi="Arial" w:cs="Arial"/>
          <w:i/>
          <w:iCs/>
          <w:sz w:val="24"/>
          <w:szCs w:val="24"/>
          <w:lang w:val="en-US"/>
        </w:rPr>
        <w:t xml:space="preserve">Policy </w:t>
      </w:r>
      <w:r w:rsidRPr="00910693">
        <w:rPr>
          <w:rFonts w:ascii="Arial" w:hAnsi="Arial" w:cs="Arial"/>
          <w:sz w:val="24"/>
          <w:szCs w:val="24"/>
          <w:lang w:val="en-US"/>
        </w:rPr>
        <w:t>,</w:t>
      </w:r>
      <w:proofErr w:type="gramEnd"/>
      <w:r w:rsidRPr="00910693">
        <w:rPr>
          <w:rFonts w:ascii="Arial" w:hAnsi="Arial" w:cs="Arial"/>
          <w:sz w:val="24"/>
          <w:szCs w:val="24"/>
          <w:lang w:val="en-US"/>
        </w:rPr>
        <w:t xml:space="preserve"> pp.1-9.</w:t>
      </w:r>
    </w:p>
    <w:p w14:paraId="7E5341DC" w14:textId="77777777" w:rsidR="00910693" w:rsidRPr="00910693" w:rsidRDefault="00910693" w:rsidP="00910693">
      <w:pPr>
        <w:numPr>
          <w:ilvl w:val="0"/>
          <w:numId w:val="5"/>
        </w:numPr>
        <w:jc w:val="both"/>
        <w:rPr>
          <w:rFonts w:ascii="Arial" w:hAnsi="Arial" w:cs="Arial"/>
          <w:sz w:val="24"/>
          <w:szCs w:val="24"/>
        </w:rPr>
      </w:pPr>
      <w:proofErr w:type="spellStart"/>
      <w:r w:rsidRPr="00910693">
        <w:rPr>
          <w:rFonts w:ascii="Arial" w:hAnsi="Arial" w:cs="Arial"/>
          <w:sz w:val="24"/>
          <w:szCs w:val="24"/>
          <w:lang w:val="en-IN"/>
        </w:rPr>
        <w:t>Gerrand</w:t>
      </w:r>
      <w:proofErr w:type="spellEnd"/>
      <w:r w:rsidRPr="00910693">
        <w:rPr>
          <w:rFonts w:ascii="Arial" w:hAnsi="Arial" w:cs="Arial"/>
          <w:sz w:val="24"/>
          <w:szCs w:val="24"/>
          <w:lang w:val="en-IN"/>
        </w:rPr>
        <w:t>, P., 2017. Historical paper: The 2004 proposal for the structural separation of Telstra. </w:t>
      </w:r>
      <w:r w:rsidRPr="00910693">
        <w:rPr>
          <w:rFonts w:ascii="Arial" w:hAnsi="Arial" w:cs="Arial"/>
          <w:i/>
          <w:iCs/>
          <w:sz w:val="24"/>
          <w:szCs w:val="24"/>
          <w:lang w:val="en-IN"/>
        </w:rPr>
        <w:t>Australian Journal of Telecommunications and the Digital Economy</w:t>
      </w:r>
      <w:r w:rsidRPr="00910693">
        <w:rPr>
          <w:rFonts w:ascii="Arial" w:hAnsi="Arial" w:cs="Arial"/>
          <w:sz w:val="24"/>
          <w:szCs w:val="24"/>
          <w:lang w:val="en-IN"/>
        </w:rPr>
        <w:t>, 5(4), p.70.</w:t>
      </w:r>
    </w:p>
    <w:p w14:paraId="5B128371" w14:textId="77777777" w:rsidR="00910693" w:rsidRPr="00910693" w:rsidRDefault="00910693" w:rsidP="00910693">
      <w:pPr>
        <w:numPr>
          <w:ilvl w:val="0"/>
          <w:numId w:val="5"/>
        </w:numPr>
        <w:jc w:val="both"/>
        <w:rPr>
          <w:rFonts w:ascii="Arial" w:hAnsi="Arial" w:cs="Arial"/>
          <w:sz w:val="24"/>
          <w:szCs w:val="24"/>
        </w:rPr>
      </w:pPr>
      <w:r w:rsidRPr="00910693">
        <w:rPr>
          <w:rFonts w:ascii="Arial" w:hAnsi="Arial" w:cs="Arial"/>
          <w:sz w:val="24"/>
          <w:szCs w:val="24"/>
          <w:lang w:val="en-IN"/>
        </w:rPr>
        <w:t>Gilbert, R.J., 2015. E-books: A tale of digital disruption. </w:t>
      </w:r>
      <w:r w:rsidRPr="00910693">
        <w:rPr>
          <w:rFonts w:ascii="Arial" w:hAnsi="Arial" w:cs="Arial"/>
          <w:i/>
          <w:iCs/>
          <w:sz w:val="24"/>
          <w:szCs w:val="24"/>
          <w:lang w:val="en-IN"/>
        </w:rPr>
        <w:t>Journal of Economic Perspectives</w:t>
      </w:r>
      <w:r w:rsidRPr="00910693">
        <w:rPr>
          <w:rFonts w:ascii="Arial" w:hAnsi="Arial" w:cs="Arial"/>
          <w:sz w:val="24"/>
          <w:szCs w:val="24"/>
          <w:lang w:val="en-IN"/>
        </w:rPr>
        <w:t xml:space="preserve">, 29(3), pp.165-84.        </w:t>
      </w:r>
    </w:p>
    <w:p w14:paraId="70495CE4" w14:textId="77777777" w:rsidR="00910693" w:rsidRPr="00910693" w:rsidRDefault="00910693" w:rsidP="00910693">
      <w:pPr>
        <w:numPr>
          <w:ilvl w:val="0"/>
          <w:numId w:val="5"/>
        </w:numPr>
        <w:jc w:val="both"/>
        <w:rPr>
          <w:rFonts w:ascii="Arial" w:hAnsi="Arial" w:cs="Arial"/>
          <w:sz w:val="24"/>
          <w:szCs w:val="24"/>
        </w:rPr>
      </w:pPr>
      <w:r w:rsidRPr="00910693">
        <w:rPr>
          <w:rFonts w:ascii="Arial" w:hAnsi="Arial" w:cs="Arial"/>
          <w:sz w:val="24"/>
          <w:szCs w:val="24"/>
          <w:lang w:val="en-US"/>
        </w:rPr>
        <w:t xml:space="preserve">Goggin, G., Hollier, S. &amp; Hawkins, W., 2017. Internet accessibility and disability policy: lessons for digital inclusion and equality from Australia. </w:t>
      </w:r>
      <w:r w:rsidRPr="00910693">
        <w:rPr>
          <w:rFonts w:ascii="Arial" w:hAnsi="Arial" w:cs="Arial"/>
          <w:i/>
          <w:iCs/>
          <w:sz w:val="24"/>
          <w:szCs w:val="24"/>
          <w:lang w:val="en-US"/>
        </w:rPr>
        <w:t>Internet Policy Review</w:t>
      </w:r>
      <w:r w:rsidRPr="00910693">
        <w:rPr>
          <w:rFonts w:ascii="Arial" w:hAnsi="Arial" w:cs="Arial"/>
          <w:sz w:val="24"/>
          <w:szCs w:val="24"/>
          <w:lang w:val="en-US"/>
        </w:rPr>
        <w:t>, 6(1).</w:t>
      </w:r>
    </w:p>
    <w:p w14:paraId="497D84AC" w14:textId="77777777" w:rsidR="00910693" w:rsidRPr="00910693" w:rsidRDefault="00910693" w:rsidP="00910693">
      <w:pPr>
        <w:numPr>
          <w:ilvl w:val="0"/>
          <w:numId w:val="5"/>
        </w:numPr>
        <w:jc w:val="both"/>
        <w:rPr>
          <w:rFonts w:ascii="Arial" w:hAnsi="Arial" w:cs="Arial"/>
          <w:sz w:val="24"/>
          <w:szCs w:val="24"/>
        </w:rPr>
      </w:pPr>
      <w:r w:rsidRPr="00910693">
        <w:rPr>
          <w:rFonts w:ascii="Arial" w:hAnsi="Arial" w:cs="Arial"/>
          <w:sz w:val="24"/>
          <w:szCs w:val="24"/>
          <w:lang w:val="en-IN"/>
        </w:rPr>
        <w:t>Hayes, J., 2018. </w:t>
      </w:r>
      <w:r w:rsidRPr="00910693">
        <w:rPr>
          <w:rFonts w:ascii="Arial" w:hAnsi="Arial" w:cs="Arial"/>
          <w:i/>
          <w:iCs/>
          <w:sz w:val="24"/>
          <w:szCs w:val="24"/>
          <w:lang w:val="en-IN"/>
        </w:rPr>
        <w:t>The theory and practice of change management</w:t>
      </w:r>
      <w:r w:rsidRPr="00910693">
        <w:rPr>
          <w:rFonts w:ascii="Arial" w:hAnsi="Arial" w:cs="Arial"/>
          <w:sz w:val="24"/>
          <w:szCs w:val="24"/>
          <w:lang w:val="en-IN"/>
        </w:rPr>
        <w:t xml:space="preserve">. London: Palgrave. </w:t>
      </w:r>
    </w:p>
    <w:p w14:paraId="6F579F69" w14:textId="77777777" w:rsidR="00910693" w:rsidRPr="00910693" w:rsidRDefault="00910693" w:rsidP="00910693">
      <w:pPr>
        <w:numPr>
          <w:ilvl w:val="0"/>
          <w:numId w:val="5"/>
        </w:numPr>
        <w:jc w:val="both"/>
        <w:rPr>
          <w:rFonts w:ascii="Arial" w:hAnsi="Arial" w:cs="Arial"/>
          <w:sz w:val="24"/>
          <w:szCs w:val="24"/>
        </w:rPr>
      </w:pPr>
      <w:r w:rsidRPr="00910693">
        <w:rPr>
          <w:rFonts w:ascii="Arial" w:hAnsi="Arial" w:cs="Arial"/>
          <w:sz w:val="24"/>
          <w:szCs w:val="24"/>
          <w:lang w:val="en-IN"/>
        </w:rPr>
        <w:t xml:space="preserve">Kenney, M., </w:t>
      </w:r>
      <w:proofErr w:type="spellStart"/>
      <w:r w:rsidRPr="00910693">
        <w:rPr>
          <w:rFonts w:ascii="Arial" w:hAnsi="Arial" w:cs="Arial"/>
          <w:sz w:val="24"/>
          <w:szCs w:val="24"/>
          <w:lang w:val="en-IN"/>
        </w:rPr>
        <w:t>Rouvinen</w:t>
      </w:r>
      <w:proofErr w:type="spellEnd"/>
      <w:r w:rsidRPr="00910693">
        <w:rPr>
          <w:rFonts w:ascii="Arial" w:hAnsi="Arial" w:cs="Arial"/>
          <w:sz w:val="24"/>
          <w:szCs w:val="24"/>
          <w:lang w:val="en-IN"/>
        </w:rPr>
        <w:t xml:space="preserve">, P. and </w:t>
      </w:r>
      <w:proofErr w:type="spellStart"/>
      <w:r w:rsidRPr="00910693">
        <w:rPr>
          <w:rFonts w:ascii="Arial" w:hAnsi="Arial" w:cs="Arial"/>
          <w:sz w:val="24"/>
          <w:szCs w:val="24"/>
          <w:lang w:val="en-IN"/>
        </w:rPr>
        <w:t>Zysman</w:t>
      </w:r>
      <w:proofErr w:type="spellEnd"/>
      <w:r w:rsidRPr="00910693">
        <w:rPr>
          <w:rFonts w:ascii="Arial" w:hAnsi="Arial" w:cs="Arial"/>
          <w:sz w:val="24"/>
          <w:szCs w:val="24"/>
          <w:lang w:val="en-IN"/>
        </w:rPr>
        <w:t>, J., 2015. The digital disruption and its societal impacts. </w:t>
      </w:r>
      <w:r w:rsidRPr="00910693">
        <w:rPr>
          <w:rFonts w:ascii="Arial" w:hAnsi="Arial" w:cs="Arial"/>
          <w:i/>
          <w:iCs/>
          <w:sz w:val="24"/>
          <w:szCs w:val="24"/>
          <w:lang w:val="en-IN"/>
        </w:rPr>
        <w:t>Journal of Industry, Competition and Trade</w:t>
      </w:r>
      <w:r w:rsidRPr="00910693">
        <w:rPr>
          <w:rFonts w:ascii="Arial" w:hAnsi="Arial" w:cs="Arial"/>
          <w:sz w:val="24"/>
          <w:szCs w:val="24"/>
          <w:lang w:val="en-IN"/>
        </w:rPr>
        <w:t>, 15(1), pp.1-4.</w:t>
      </w:r>
    </w:p>
    <w:p w14:paraId="0F8B72B0" w14:textId="77777777" w:rsidR="00910693" w:rsidRPr="00910693" w:rsidRDefault="00910693" w:rsidP="00910693">
      <w:pPr>
        <w:numPr>
          <w:ilvl w:val="0"/>
          <w:numId w:val="5"/>
        </w:numPr>
        <w:jc w:val="both"/>
        <w:rPr>
          <w:rFonts w:ascii="Arial" w:hAnsi="Arial" w:cs="Arial"/>
          <w:sz w:val="24"/>
          <w:szCs w:val="24"/>
        </w:rPr>
      </w:pPr>
      <w:r w:rsidRPr="00910693">
        <w:rPr>
          <w:rFonts w:ascii="Arial" w:hAnsi="Arial" w:cs="Arial"/>
          <w:sz w:val="24"/>
          <w:szCs w:val="24"/>
          <w:lang w:val="en-US"/>
        </w:rPr>
        <w:t xml:space="preserve">Liu, K 2018, 'Government Ownership in Listed Firms Around the World', </w:t>
      </w:r>
      <w:r w:rsidRPr="00910693">
        <w:rPr>
          <w:rFonts w:ascii="Arial" w:hAnsi="Arial" w:cs="Arial"/>
          <w:i/>
          <w:iCs/>
          <w:sz w:val="24"/>
          <w:szCs w:val="24"/>
          <w:lang w:val="en-US"/>
        </w:rPr>
        <w:t>Business and Economics</w:t>
      </w:r>
      <w:r w:rsidRPr="00910693">
        <w:rPr>
          <w:rFonts w:ascii="Arial" w:hAnsi="Arial" w:cs="Arial"/>
          <w:sz w:val="24"/>
          <w:szCs w:val="24"/>
          <w:lang w:val="en-US"/>
        </w:rPr>
        <w:t>, vol 13, no. 2, pp. 131-146.</w:t>
      </w:r>
    </w:p>
    <w:p w14:paraId="73BB8102" w14:textId="77777777" w:rsidR="00910693" w:rsidRPr="00910693" w:rsidRDefault="00910693" w:rsidP="00910693">
      <w:pPr>
        <w:numPr>
          <w:ilvl w:val="0"/>
          <w:numId w:val="5"/>
        </w:numPr>
        <w:jc w:val="both"/>
        <w:rPr>
          <w:rFonts w:ascii="Arial" w:hAnsi="Arial" w:cs="Arial"/>
          <w:sz w:val="24"/>
          <w:szCs w:val="24"/>
        </w:rPr>
      </w:pPr>
      <w:proofErr w:type="spellStart"/>
      <w:r w:rsidRPr="00910693">
        <w:rPr>
          <w:rFonts w:ascii="Arial" w:hAnsi="Arial" w:cs="Arial"/>
          <w:sz w:val="24"/>
          <w:szCs w:val="24"/>
          <w:lang w:val="en-US"/>
        </w:rPr>
        <w:t>MacDermott</w:t>
      </w:r>
      <w:proofErr w:type="spellEnd"/>
      <w:r w:rsidRPr="00910693">
        <w:rPr>
          <w:rFonts w:ascii="Arial" w:hAnsi="Arial" w:cs="Arial"/>
          <w:sz w:val="24"/>
          <w:szCs w:val="24"/>
          <w:lang w:val="en-US"/>
        </w:rPr>
        <w:t xml:space="preserve">, T., 2018. The collective dimension of federal anti-discrimination proceedings in Australia: Shifting the burden from individual litigants. </w:t>
      </w:r>
      <w:r w:rsidRPr="00910693">
        <w:rPr>
          <w:rFonts w:ascii="Arial" w:hAnsi="Arial" w:cs="Arial"/>
          <w:i/>
          <w:iCs/>
          <w:sz w:val="24"/>
          <w:szCs w:val="24"/>
          <w:lang w:val="en-US"/>
        </w:rPr>
        <w:t xml:space="preserve">International Journal of Discrimination and the </w:t>
      </w:r>
      <w:proofErr w:type="gramStart"/>
      <w:r w:rsidRPr="00910693">
        <w:rPr>
          <w:rFonts w:ascii="Arial" w:hAnsi="Arial" w:cs="Arial"/>
          <w:i/>
          <w:iCs/>
          <w:sz w:val="24"/>
          <w:szCs w:val="24"/>
          <w:lang w:val="en-US"/>
        </w:rPr>
        <w:t xml:space="preserve">Law </w:t>
      </w:r>
      <w:r w:rsidRPr="00910693">
        <w:rPr>
          <w:rFonts w:ascii="Arial" w:hAnsi="Arial" w:cs="Arial"/>
          <w:sz w:val="24"/>
          <w:szCs w:val="24"/>
          <w:lang w:val="en-US"/>
        </w:rPr>
        <w:t>,</w:t>
      </w:r>
      <w:proofErr w:type="gramEnd"/>
      <w:r w:rsidRPr="00910693">
        <w:rPr>
          <w:rFonts w:ascii="Arial" w:hAnsi="Arial" w:cs="Arial"/>
          <w:sz w:val="24"/>
          <w:szCs w:val="24"/>
          <w:lang w:val="en-US"/>
        </w:rPr>
        <w:t xml:space="preserve"> 18(1), pp.22-39.</w:t>
      </w:r>
    </w:p>
    <w:p w14:paraId="7B5116F8" w14:textId="77777777" w:rsidR="00910693" w:rsidRPr="00910693" w:rsidRDefault="00910693" w:rsidP="00910693">
      <w:pPr>
        <w:numPr>
          <w:ilvl w:val="0"/>
          <w:numId w:val="5"/>
        </w:numPr>
        <w:jc w:val="both"/>
        <w:rPr>
          <w:rFonts w:ascii="Arial" w:hAnsi="Arial" w:cs="Arial"/>
          <w:sz w:val="24"/>
          <w:szCs w:val="24"/>
        </w:rPr>
      </w:pPr>
      <w:r w:rsidRPr="00910693">
        <w:rPr>
          <w:rFonts w:ascii="Arial" w:hAnsi="Arial" w:cs="Arial"/>
          <w:sz w:val="24"/>
          <w:szCs w:val="24"/>
          <w:lang w:val="en-IN"/>
        </w:rPr>
        <w:t xml:space="preserve">McLoughlin, I., </w:t>
      </w:r>
      <w:proofErr w:type="spellStart"/>
      <w:r w:rsidRPr="00910693">
        <w:rPr>
          <w:rFonts w:ascii="Arial" w:hAnsi="Arial" w:cs="Arial"/>
          <w:sz w:val="24"/>
          <w:szCs w:val="24"/>
          <w:lang w:val="en-IN"/>
        </w:rPr>
        <w:t>McNicoll</w:t>
      </w:r>
      <w:proofErr w:type="spellEnd"/>
      <w:r w:rsidRPr="00910693">
        <w:rPr>
          <w:rFonts w:ascii="Arial" w:hAnsi="Arial" w:cs="Arial"/>
          <w:sz w:val="24"/>
          <w:szCs w:val="24"/>
          <w:lang w:val="en-IN"/>
        </w:rPr>
        <w:t xml:space="preserve">, Y., Beecher </w:t>
      </w:r>
      <w:proofErr w:type="spellStart"/>
      <w:r w:rsidRPr="00910693">
        <w:rPr>
          <w:rFonts w:ascii="Arial" w:hAnsi="Arial" w:cs="Arial"/>
          <w:sz w:val="24"/>
          <w:szCs w:val="24"/>
          <w:lang w:val="en-IN"/>
        </w:rPr>
        <w:t>Kelk</w:t>
      </w:r>
      <w:proofErr w:type="spellEnd"/>
      <w:r w:rsidRPr="00910693">
        <w:rPr>
          <w:rFonts w:ascii="Arial" w:hAnsi="Arial" w:cs="Arial"/>
          <w:sz w:val="24"/>
          <w:szCs w:val="24"/>
          <w:lang w:val="en-IN"/>
        </w:rPr>
        <w:t>, A., Cornford, J. and Hutchinson, K., 2019. A ‘</w:t>
      </w:r>
      <w:proofErr w:type="spellStart"/>
      <w:r w:rsidRPr="00910693">
        <w:rPr>
          <w:rFonts w:ascii="Arial" w:hAnsi="Arial" w:cs="Arial"/>
          <w:sz w:val="24"/>
          <w:szCs w:val="24"/>
          <w:lang w:val="en-IN"/>
        </w:rPr>
        <w:t>Tripadvisor’for</w:t>
      </w:r>
      <w:proofErr w:type="spellEnd"/>
      <w:r w:rsidRPr="00910693">
        <w:rPr>
          <w:rFonts w:ascii="Arial" w:hAnsi="Arial" w:cs="Arial"/>
          <w:sz w:val="24"/>
          <w:szCs w:val="24"/>
          <w:lang w:val="en-IN"/>
        </w:rPr>
        <w:t xml:space="preserve"> disability? Social enterprise and ‘digital </w:t>
      </w:r>
      <w:proofErr w:type="spellStart"/>
      <w:r w:rsidRPr="00910693">
        <w:rPr>
          <w:rFonts w:ascii="Arial" w:hAnsi="Arial" w:cs="Arial"/>
          <w:sz w:val="24"/>
          <w:szCs w:val="24"/>
          <w:lang w:val="en-IN"/>
        </w:rPr>
        <w:t>disruption’in</w:t>
      </w:r>
      <w:proofErr w:type="spellEnd"/>
      <w:r w:rsidRPr="00910693">
        <w:rPr>
          <w:rFonts w:ascii="Arial" w:hAnsi="Arial" w:cs="Arial"/>
          <w:sz w:val="24"/>
          <w:szCs w:val="24"/>
          <w:lang w:val="en-IN"/>
        </w:rPr>
        <w:t xml:space="preserve"> Australia. </w:t>
      </w:r>
      <w:r w:rsidRPr="00910693">
        <w:rPr>
          <w:rFonts w:ascii="Arial" w:hAnsi="Arial" w:cs="Arial"/>
          <w:i/>
          <w:iCs/>
          <w:sz w:val="24"/>
          <w:szCs w:val="24"/>
          <w:lang w:val="en-IN"/>
        </w:rPr>
        <w:t>Information, Communication &amp; Society</w:t>
      </w:r>
      <w:r w:rsidRPr="00910693">
        <w:rPr>
          <w:rFonts w:ascii="Arial" w:hAnsi="Arial" w:cs="Arial"/>
          <w:sz w:val="24"/>
          <w:szCs w:val="24"/>
          <w:lang w:val="en-IN"/>
        </w:rPr>
        <w:t>, 22(4), pp.521-537.</w:t>
      </w:r>
    </w:p>
    <w:p w14:paraId="143F6865" w14:textId="77777777" w:rsidR="00910693" w:rsidRPr="00910693" w:rsidRDefault="00910693" w:rsidP="00910693">
      <w:pPr>
        <w:numPr>
          <w:ilvl w:val="0"/>
          <w:numId w:val="5"/>
        </w:numPr>
        <w:jc w:val="both"/>
        <w:rPr>
          <w:rFonts w:ascii="Arial" w:hAnsi="Arial" w:cs="Arial"/>
          <w:sz w:val="24"/>
          <w:szCs w:val="24"/>
        </w:rPr>
      </w:pPr>
      <w:r w:rsidRPr="00910693">
        <w:rPr>
          <w:rFonts w:ascii="Arial" w:hAnsi="Arial" w:cs="Arial"/>
          <w:sz w:val="24"/>
          <w:szCs w:val="24"/>
          <w:lang w:val="en-IN"/>
        </w:rPr>
        <w:t>Moorhead, S., 2016. The Telstra Research Laboratories. </w:t>
      </w:r>
      <w:r w:rsidRPr="00910693">
        <w:rPr>
          <w:rFonts w:ascii="Arial" w:hAnsi="Arial" w:cs="Arial"/>
          <w:i/>
          <w:iCs/>
          <w:sz w:val="24"/>
          <w:szCs w:val="24"/>
          <w:lang w:val="en-IN"/>
        </w:rPr>
        <w:t>Australian Journal of Telecommunications and the Digital Economy</w:t>
      </w:r>
      <w:r w:rsidRPr="00910693">
        <w:rPr>
          <w:rFonts w:ascii="Arial" w:hAnsi="Arial" w:cs="Arial"/>
          <w:sz w:val="24"/>
          <w:szCs w:val="24"/>
          <w:lang w:val="en-IN"/>
        </w:rPr>
        <w:t>, 4(4), p.1.</w:t>
      </w:r>
    </w:p>
    <w:p w14:paraId="5F94A2A9" w14:textId="77777777" w:rsidR="00910693" w:rsidRPr="00910693" w:rsidRDefault="00910693" w:rsidP="00910693">
      <w:pPr>
        <w:numPr>
          <w:ilvl w:val="0"/>
          <w:numId w:val="5"/>
        </w:numPr>
        <w:jc w:val="both"/>
        <w:rPr>
          <w:rFonts w:ascii="Arial" w:hAnsi="Arial" w:cs="Arial"/>
          <w:sz w:val="24"/>
          <w:szCs w:val="24"/>
        </w:rPr>
      </w:pPr>
      <w:proofErr w:type="spellStart"/>
      <w:r w:rsidRPr="00910693">
        <w:rPr>
          <w:rFonts w:ascii="Arial" w:hAnsi="Arial" w:cs="Arial"/>
          <w:sz w:val="24"/>
          <w:szCs w:val="24"/>
          <w:lang w:val="en-IN"/>
        </w:rPr>
        <w:t>Muenjohn</w:t>
      </w:r>
      <w:proofErr w:type="spellEnd"/>
      <w:r w:rsidRPr="00910693">
        <w:rPr>
          <w:rFonts w:ascii="Arial" w:hAnsi="Arial" w:cs="Arial"/>
          <w:sz w:val="24"/>
          <w:szCs w:val="24"/>
          <w:lang w:val="en-IN"/>
        </w:rPr>
        <w:t>, N. and McMurray, A., 2018. LEADERSHIP AND DECISION MAKING. </w:t>
      </w:r>
      <w:r w:rsidRPr="00910693">
        <w:rPr>
          <w:rFonts w:ascii="Arial" w:hAnsi="Arial" w:cs="Arial"/>
          <w:i/>
          <w:iCs/>
          <w:sz w:val="24"/>
          <w:szCs w:val="24"/>
          <w:lang w:val="en-IN"/>
        </w:rPr>
        <w:t>Leadership: Regional and Global Perspectives</w:t>
      </w:r>
      <w:r w:rsidRPr="00910693">
        <w:rPr>
          <w:rFonts w:ascii="Arial" w:hAnsi="Arial" w:cs="Arial"/>
          <w:sz w:val="24"/>
          <w:szCs w:val="24"/>
          <w:lang w:val="en-IN"/>
        </w:rPr>
        <w:t xml:space="preserve">, p.379.   </w:t>
      </w:r>
    </w:p>
    <w:p w14:paraId="64312188" w14:textId="77777777" w:rsidR="00910693" w:rsidRPr="00910693" w:rsidRDefault="00910693" w:rsidP="00910693">
      <w:pPr>
        <w:numPr>
          <w:ilvl w:val="0"/>
          <w:numId w:val="5"/>
        </w:numPr>
        <w:jc w:val="both"/>
        <w:rPr>
          <w:rFonts w:ascii="Arial" w:hAnsi="Arial" w:cs="Arial"/>
          <w:sz w:val="24"/>
          <w:szCs w:val="24"/>
        </w:rPr>
      </w:pPr>
      <w:r w:rsidRPr="00910693">
        <w:rPr>
          <w:rFonts w:ascii="Arial" w:hAnsi="Arial" w:cs="Arial"/>
          <w:sz w:val="24"/>
          <w:szCs w:val="24"/>
          <w:lang w:val="en-IN"/>
        </w:rPr>
        <w:t>Nambisan, S., 2017. Digital entrepreneurship: Toward a digital technology perspective of entrepreneurship. </w:t>
      </w:r>
      <w:r w:rsidRPr="00910693">
        <w:rPr>
          <w:rFonts w:ascii="Arial" w:hAnsi="Arial" w:cs="Arial"/>
          <w:i/>
          <w:iCs/>
          <w:sz w:val="24"/>
          <w:szCs w:val="24"/>
          <w:lang w:val="en-IN"/>
        </w:rPr>
        <w:t>Entrepreneurship Theory and Practice</w:t>
      </w:r>
      <w:r w:rsidRPr="00910693">
        <w:rPr>
          <w:rFonts w:ascii="Arial" w:hAnsi="Arial" w:cs="Arial"/>
          <w:sz w:val="24"/>
          <w:szCs w:val="24"/>
          <w:lang w:val="en-IN"/>
        </w:rPr>
        <w:t>, 41(6), pp.1029-1055.</w:t>
      </w:r>
    </w:p>
    <w:p w14:paraId="0DE475BE" w14:textId="77777777" w:rsidR="00910693" w:rsidRPr="00301135" w:rsidRDefault="00910693" w:rsidP="00910693">
      <w:pPr>
        <w:jc w:val="both"/>
        <w:rPr>
          <w:rFonts w:ascii="Arial" w:hAnsi="Arial" w:cs="Arial"/>
          <w:b/>
          <w:bCs/>
          <w:sz w:val="24"/>
          <w:szCs w:val="24"/>
        </w:rPr>
      </w:pPr>
    </w:p>
    <w:sectPr w:rsidR="00910693" w:rsidRPr="00301135">
      <w:head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2C4E39B" w14:textId="77777777" w:rsidR="00F337C3" w:rsidRDefault="00F337C3" w:rsidP="002D4B72">
      <w:pPr>
        <w:spacing w:after="0" w:line="240" w:lineRule="auto"/>
      </w:pPr>
      <w:r>
        <w:separator/>
      </w:r>
    </w:p>
  </w:endnote>
  <w:endnote w:type="continuationSeparator" w:id="0">
    <w:p w14:paraId="77B79DF2" w14:textId="77777777" w:rsidR="00F337C3" w:rsidRDefault="00F337C3" w:rsidP="002D4B7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8A7645B" w14:textId="77777777" w:rsidR="00F337C3" w:rsidRDefault="00F337C3" w:rsidP="002D4B72">
      <w:pPr>
        <w:spacing w:after="0" w:line="240" w:lineRule="auto"/>
      </w:pPr>
      <w:r>
        <w:separator/>
      </w:r>
    </w:p>
  </w:footnote>
  <w:footnote w:type="continuationSeparator" w:id="0">
    <w:p w14:paraId="536E6023" w14:textId="77777777" w:rsidR="00F337C3" w:rsidRDefault="00F337C3" w:rsidP="002D4B7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58362204"/>
      <w:docPartObj>
        <w:docPartGallery w:val="Page Numbers (Top of Page)"/>
        <w:docPartUnique/>
      </w:docPartObj>
    </w:sdtPr>
    <w:sdtEndPr>
      <w:rPr>
        <w:noProof/>
      </w:rPr>
    </w:sdtEndPr>
    <w:sdtContent>
      <w:p w14:paraId="4F075E98" w14:textId="628ADFCC" w:rsidR="005051B8" w:rsidRDefault="005051B8">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1165F6FB" w14:textId="6DFF46F1" w:rsidR="002D4B72" w:rsidRPr="002D4B72" w:rsidRDefault="002D4B72">
    <w:pPr>
      <w:pStyle w:val="Header"/>
      <w:rPr>
        <w:color w:val="D9D9D9" w:themeColor="background1" w:themeShade="D9"/>
        <w:sz w:val="18"/>
        <w:szCs w:val="1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792D18"/>
    <w:multiLevelType w:val="hybridMultilevel"/>
    <w:tmpl w:val="3AE26AA2"/>
    <w:lvl w:ilvl="0" w:tplc="30DA8AA0">
      <w:start w:val="1"/>
      <w:numFmt w:val="decimal"/>
      <w:lvlText w:val="%1."/>
      <w:lvlJc w:val="left"/>
      <w:pPr>
        <w:tabs>
          <w:tab w:val="num" w:pos="720"/>
        </w:tabs>
        <w:ind w:left="720" w:hanging="360"/>
      </w:pPr>
    </w:lvl>
    <w:lvl w:ilvl="1" w:tplc="B35A0C36" w:tentative="1">
      <w:start w:val="1"/>
      <w:numFmt w:val="decimal"/>
      <w:lvlText w:val="%2."/>
      <w:lvlJc w:val="left"/>
      <w:pPr>
        <w:tabs>
          <w:tab w:val="num" w:pos="1440"/>
        </w:tabs>
        <w:ind w:left="1440" w:hanging="360"/>
      </w:pPr>
    </w:lvl>
    <w:lvl w:ilvl="2" w:tplc="E7DC8784" w:tentative="1">
      <w:start w:val="1"/>
      <w:numFmt w:val="decimal"/>
      <w:lvlText w:val="%3."/>
      <w:lvlJc w:val="left"/>
      <w:pPr>
        <w:tabs>
          <w:tab w:val="num" w:pos="2160"/>
        </w:tabs>
        <w:ind w:left="2160" w:hanging="360"/>
      </w:pPr>
    </w:lvl>
    <w:lvl w:ilvl="3" w:tplc="50D2F7B0" w:tentative="1">
      <w:start w:val="1"/>
      <w:numFmt w:val="decimal"/>
      <w:lvlText w:val="%4."/>
      <w:lvlJc w:val="left"/>
      <w:pPr>
        <w:tabs>
          <w:tab w:val="num" w:pos="2880"/>
        </w:tabs>
        <w:ind w:left="2880" w:hanging="360"/>
      </w:pPr>
    </w:lvl>
    <w:lvl w:ilvl="4" w:tplc="B7223BE0" w:tentative="1">
      <w:start w:val="1"/>
      <w:numFmt w:val="decimal"/>
      <w:lvlText w:val="%5."/>
      <w:lvlJc w:val="left"/>
      <w:pPr>
        <w:tabs>
          <w:tab w:val="num" w:pos="3600"/>
        </w:tabs>
        <w:ind w:left="3600" w:hanging="360"/>
      </w:pPr>
    </w:lvl>
    <w:lvl w:ilvl="5" w:tplc="5B7AE20A" w:tentative="1">
      <w:start w:val="1"/>
      <w:numFmt w:val="decimal"/>
      <w:lvlText w:val="%6."/>
      <w:lvlJc w:val="left"/>
      <w:pPr>
        <w:tabs>
          <w:tab w:val="num" w:pos="4320"/>
        </w:tabs>
        <w:ind w:left="4320" w:hanging="360"/>
      </w:pPr>
    </w:lvl>
    <w:lvl w:ilvl="6" w:tplc="3132DAA4" w:tentative="1">
      <w:start w:val="1"/>
      <w:numFmt w:val="decimal"/>
      <w:lvlText w:val="%7."/>
      <w:lvlJc w:val="left"/>
      <w:pPr>
        <w:tabs>
          <w:tab w:val="num" w:pos="5040"/>
        </w:tabs>
        <w:ind w:left="5040" w:hanging="360"/>
      </w:pPr>
    </w:lvl>
    <w:lvl w:ilvl="7" w:tplc="69DCB2C0" w:tentative="1">
      <w:start w:val="1"/>
      <w:numFmt w:val="decimal"/>
      <w:lvlText w:val="%8."/>
      <w:lvlJc w:val="left"/>
      <w:pPr>
        <w:tabs>
          <w:tab w:val="num" w:pos="5760"/>
        </w:tabs>
        <w:ind w:left="5760" w:hanging="360"/>
      </w:pPr>
    </w:lvl>
    <w:lvl w:ilvl="8" w:tplc="E8D2685E" w:tentative="1">
      <w:start w:val="1"/>
      <w:numFmt w:val="decimal"/>
      <w:lvlText w:val="%9."/>
      <w:lvlJc w:val="left"/>
      <w:pPr>
        <w:tabs>
          <w:tab w:val="num" w:pos="6480"/>
        </w:tabs>
        <w:ind w:left="6480" w:hanging="360"/>
      </w:pPr>
    </w:lvl>
  </w:abstractNum>
  <w:abstractNum w:abstractNumId="1" w15:restartNumberingAfterBreak="0">
    <w:nsid w:val="16B83966"/>
    <w:multiLevelType w:val="hybridMultilevel"/>
    <w:tmpl w:val="640A67CA"/>
    <w:lvl w:ilvl="0" w:tplc="446072CE">
      <w:start w:val="11"/>
      <w:numFmt w:val="decimal"/>
      <w:lvlText w:val="%1."/>
      <w:lvlJc w:val="left"/>
      <w:pPr>
        <w:tabs>
          <w:tab w:val="num" w:pos="720"/>
        </w:tabs>
        <w:ind w:left="720" w:hanging="360"/>
      </w:pPr>
    </w:lvl>
    <w:lvl w:ilvl="1" w:tplc="AEE4F7F2" w:tentative="1">
      <w:start w:val="1"/>
      <w:numFmt w:val="decimal"/>
      <w:lvlText w:val="%2."/>
      <w:lvlJc w:val="left"/>
      <w:pPr>
        <w:tabs>
          <w:tab w:val="num" w:pos="1440"/>
        </w:tabs>
        <w:ind w:left="1440" w:hanging="360"/>
      </w:pPr>
    </w:lvl>
    <w:lvl w:ilvl="2" w:tplc="C678A0A4" w:tentative="1">
      <w:start w:val="1"/>
      <w:numFmt w:val="decimal"/>
      <w:lvlText w:val="%3."/>
      <w:lvlJc w:val="left"/>
      <w:pPr>
        <w:tabs>
          <w:tab w:val="num" w:pos="2160"/>
        </w:tabs>
        <w:ind w:left="2160" w:hanging="360"/>
      </w:pPr>
    </w:lvl>
    <w:lvl w:ilvl="3" w:tplc="5D3C4698" w:tentative="1">
      <w:start w:val="1"/>
      <w:numFmt w:val="decimal"/>
      <w:lvlText w:val="%4."/>
      <w:lvlJc w:val="left"/>
      <w:pPr>
        <w:tabs>
          <w:tab w:val="num" w:pos="2880"/>
        </w:tabs>
        <w:ind w:left="2880" w:hanging="360"/>
      </w:pPr>
    </w:lvl>
    <w:lvl w:ilvl="4" w:tplc="AF1416FC" w:tentative="1">
      <w:start w:val="1"/>
      <w:numFmt w:val="decimal"/>
      <w:lvlText w:val="%5."/>
      <w:lvlJc w:val="left"/>
      <w:pPr>
        <w:tabs>
          <w:tab w:val="num" w:pos="3600"/>
        </w:tabs>
        <w:ind w:left="3600" w:hanging="360"/>
      </w:pPr>
    </w:lvl>
    <w:lvl w:ilvl="5" w:tplc="04128DEE" w:tentative="1">
      <w:start w:val="1"/>
      <w:numFmt w:val="decimal"/>
      <w:lvlText w:val="%6."/>
      <w:lvlJc w:val="left"/>
      <w:pPr>
        <w:tabs>
          <w:tab w:val="num" w:pos="4320"/>
        </w:tabs>
        <w:ind w:left="4320" w:hanging="360"/>
      </w:pPr>
    </w:lvl>
    <w:lvl w:ilvl="6" w:tplc="56AA2252" w:tentative="1">
      <w:start w:val="1"/>
      <w:numFmt w:val="decimal"/>
      <w:lvlText w:val="%7."/>
      <w:lvlJc w:val="left"/>
      <w:pPr>
        <w:tabs>
          <w:tab w:val="num" w:pos="5040"/>
        </w:tabs>
        <w:ind w:left="5040" w:hanging="360"/>
      </w:pPr>
    </w:lvl>
    <w:lvl w:ilvl="7" w:tplc="1E085A3E" w:tentative="1">
      <w:start w:val="1"/>
      <w:numFmt w:val="decimal"/>
      <w:lvlText w:val="%8."/>
      <w:lvlJc w:val="left"/>
      <w:pPr>
        <w:tabs>
          <w:tab w:val="num" w:pos="5760"/>
        </w:tabs>
        <w:ind w:left="5760" w:hanging="360"/>
      </w:pPr>
    </w:lvl>
    <w:lvl w:ilvl="8" w:tplc="575E1B6A" w:tentative="1">
      <w:start w:val="1"/>
      <w:numFmt w:val="decimal"/>
      <w:lvlText w:val="%9."/>
      <w:lvlJc w:val="left"/>
      <w:pPr>
        <w:tabs>
          <w:tab w:val="num" w:pos="6480"/>
        </w:tabs>
        <w:ind w:left="6480" w:hanging="360"/>
      </w:pPr>
    </w:lvl>
  </w:abstractNum>
  <w:abstractNum w:abstractNumId="2" w15:restartNumberingAfterBreak="0">
    <w:nsid w:val="1C5D4ABD"/>
    <w:multiLevelType w:val="hybridMultilevel"/>
    <w:tmpl w:val="D10A0680"/>
    <w:lvl w:ilvl="0" w:tplc="DB446A42">
      <w:start w:val="11"/>
      <w:numFmt w:val="decimal"/>
      <w:lvlText w:val="%1."/>
      <w:lvlJc w:val="left"/>
      <w:pPr>
        <w:tabs>
          <w:tab w:val="num" w:pos="720"/>
        </w:tabs>
        <w:ind w:left="720" w:hanging="360"/>
      </w:pPr>
    </w:lvl>
    <w:lvl w:ilvl="1" w:tplc="CCD80A4A" w:tentative="1">
      <w:start w:val="1"/>
      <w:numFmt w:val="decimal"/>
      <w:lvlText w:val="%2."/>
      <w:lvlJc w:val="left"/>
      <w:pPr>
        <w:tabs>
          <w:tab w:val="num" w:pos="1440"/>
        </w:tabs>
        <w:ind w:left="1440" w:hanging="360"/>
      </w:pPr>
    </w:lvl>
    <w:lvl w:ilvl="2" w:tplc="101C6B18" w:tentative="1">
      <w:start w:val="1"/>
      <w:numFmt w:val="decimal"/>
      <w:lvlText w:val="%3."/>
      <w:lvlJc w:val="left"/>
      <w:pPr>
        <w:tabs>
          <w:tab w:val="num" w:pos="2160"/>
        </w:tabs>
        <w:ind w:left="2160" w:hanging="360"/>
      </w:pPr>
    </w:lvl>
    <w:lvl w:ilvl="3" w:tplc="D422A130" w:tentative="1">
      <w:start w:val="1"/>
      <w:numFmt w:val="decimal"/>
      <w:lvlText w:val="%4."/>
      <w:lvlJc w:val="left"/>
      <w:pPr>
        <w:tabs>
          <w:tab w:val="num" w:pos="2880"/>
        </w:tabs>
        <w:ind w:left="2880" w:hanging="360"/>
      </w:pPr>
    </w:lvl>
    <w:lvl w:ilvl="4" w:tplc="5C42D004" w:tentative="1">
      <w:start w:val="1"/>
      <w:numFmt w:val="decimal"/>
      <w:lvlText w:val="%5."/>
      <w:lvlJc w:val="left"/>
      <w:pPr>
        <w:tabs>
          <w:tab w:val="num" w:pos="3600"/>
        </w:tabs>
        <w:ind w:left="3600" w:hanging="360"/>
      </w:pPr>
    </w:lvl>
    <w:lvl w:ilvl="5" w:tplc="D640FE44" w:tentative="1">
      <w:start w:val="1"/>
      <w:numFmt w:val="decimal"/>
      <w:lvlText w:val="%6."/>
      <w:lvlJc w:val="left"/>
      <w:pPr>
        <w:tabs>
          <w:tab w:val="num" w:pos="4320"/>
        </w:tabs>
        <w:ind w:left="4320" w:hanging="360"/>
      </w:pPr>
    </w:lvl>
    <w:lvl w:ilvl="6" w:tplc="1E6A2652" w:tentative="1">
      <w:start w:val="1"/>
      <w:numFmt w:val="decimal"/>
      <w:lvlText w:val="%7."/>
      <w:lvlJc w:val="left"/>
      <w:pPr>
        <w:tabs>
          <w:tab w:val="num" w:pos="5040"/>
        </w:tabs>
        <w:ind w:left="5040" w:hanging="360"/>
      </w:pPr>
    </w:lvl>
    <w:lvl w:ilvl="7" w:tplc="64966D8A" w:tentative="1">
      <w:start w:val="1"/>
      <w:numFmt w:val="decimal"/>
      <w:lvlText w:val="%8."/>
      <w:lvlJc w:val="left"/>
      <w:pPr>
        <w:tabs>
          <w:tab w:val="num" w:pos="5760"/>
        </w:tabs>
        <w:ind w:left="5760" w:hanging="360"/>
      </w:pPr>
    </w:lvl>
    <w:lvl w:ilvl="8" w:tplc="E59C2558" w:tentative="1">
      <w:start w:val="1"/>
      <w:numFmt w:val="decimal"/>
      <w:lvlText w:val="%9."/>
      <w:lvlJc w:val="left"/>
      <w:pPr>
        <w:tabs>
          <w:tab w:val="num" w:pos="6480"/>
        </w:tabs>
        <w:ind w:left="6480" w:hanging="360"/>
      </w:pPr>
    </w:lvl>
  </w:abstractNum>
  <w:abstractNum w:abstractNumId="3" w15:restartNumberingAfterBreak="0">
    <w:nsid w:val="293D3CAB"/>
    <w:multiLevelType w:val="hybridMultilevel"/>
    <w:tmpl w:val="76B0E208"/>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 w15:restartNumberingAfterBreak="0">
    <w:nsid w:val="2AFE7F87"/>
    <w:multiLevelType w:val="hybridMultilevel"/>
    <w:tmpl w:val="584CB284"/>
    <w:lvl w:ilvl="0" w:tplc="F4144878">
      <w:start w:val="1"/>
      <w:numFmt w:val="decimal"/>
      <w:lvlText w:val="%1."/>
      <w:lvlJc w:val="left"/>
      <w:pPr>
        <w:tabs>
          <w:tab w:val="num" w:pos="720"/>
        </w:tabs>
        <w:ind w:left="720" w:hanging="360"/>
      </w:pPr>
    </w:lvl>
    <w:lvl w:ilvl="1" w:tplc="AC665154" w:tentative="1">
      <w:start w:val="1"/>
      <w:numFmt w:val="decimal"/>
      <w:lvlText w:val="%2."/>
      <w:lvlJc w:val="left"/>
      <w:pPr>
        <w:tabs>
          <w:tab w:val="num" w:pos="1440"/>
        </w:tabs>
        <w:ind w:left="1440" w:hanging="360"/>
      </w:pPr>
    </w:lvl>
    <w:lvl w:ilvl="2" w:tplc="62E2EDF6" w:tentative="1">
      <w:start w:val="1"/>
      <w:numFmt w:val="decimal"/>
      <w:lvlText w:val="%3."/>
      <w:lvlJc w:val="left"/>
      <w:pPr>
        <w:tabs>
          <w:tab w:val="num" w:pos="2160"/>
        </w:tabs>
        <w:ind w:left="2160" w:hanging="360"/>
      </w:pPr>
    </w:lvl>
    <w:lvl w:ilvl="3" w:tplc="9D5663A2" w:tentative="1">
      <w:start w:val="1"/>
      <w:numFmt w:val="decimal"/>
      <w:lvlText w:val="%4."/>
      <w:lvlJc w:val="left"/>
      <w:pPr>
        <w:tabs>
          <w:tab w:val="num" w:pos="2880"/>
        </w:tabs>
        <w:ind w:left="2880" w:hanging="360"/>
      </w:pPr>
    </w:lvl>
    <w:lvl w:ilvl="4" w:tplc="95B6E6E6" w:tentative="1">
      <w:start w:val="1"/>
      <w:numFmt w:val="decimal"/>
      <w:lvlText w:val="%5."/>
      <w:lvlJc w:val="left"/>
      <w:pPr>
        <w:tabs>
          <w:tab w:val="num" w:pos="3600"/>
        </w:tabs>
        <w:ind w:left="3600" w:hanging="360"/>
      </w:pPr>
    </w:lvl>
    <w:lvl w:ilvl="5" w:tplc="C616EDAA" w:tentative="1">
      <w:start w:val="1"/>
      <w:numFmt w:val="decimal"/>
      <w:lvlText w:val="%6."/>
      <w:lvlJc w:val="left"/>
      <w:pPr>
        <w:tabs>
          <w:tab w:val="num" w:pos="4320"/>
        </w:tabs>
        <w:ind w:left="4320" w:hanging="360"/>
      </w:pPr>
    </w:lvl>
    <w:lvl w:ilvl="6" w:tplc="3C224840" w:tentative="1">
      <w:start w:val="1"/>
      <w:numFmt w:val="decimal"/>
      <w:lvlText w:val="%7."/>
      <w:lvlJc w:val="left"/>
      <w:pPr>
        <w:tabs>
          <w:tab w:val="num" w:pos="5040"/>
        </w:tabs>
        <w:ind w:left="5040" w:hanging="360"/>
      </w:pPr>
    </w:lvl>
    <w:lvl w:ilvl="7" w:tplc="2702E462" w:tentative="1">
      <w:start w:val="1"/>
      <w:numFmt w:val="decimal"/>
      <w:lvlText w:val="%8."/>
      <w:lvlJc w:val="left"/>
      <w:pPr>
        <w:tabs>
          <w:tab w:val="num" w:pos="5760"/>
        </w:tabs>
        <w:ind w:left="5760" w:hanging="360"/>
      </w:pPr>
    </w:lvl>
    <w:lvl w:ilvl="8" w:tplc="333E549A" w:tentative="1">
      <w:start w:val="1"/>
      <w:numFmt w:val="decimal"/>
      <w:lvlText w:val="%9."/>
      <w:lvlJc w:val="left"/>
      <w:pPr>
        <w:tabs>
          <w:tab w:val="num" w:pos="6480"/>
        </w:tabs>
        <w:ind w:left="6480" w:hanging="360"/>
      </w:pPr>
    </w:lvl>
  </w:abstractNum>
  <w:abstractNum w:abstractNumId="5" w15:restartNumberingAfterBreak="0">
    <w:nsid w:val="35A83277"/>
    <w:multiLevelType w:val="hybridMultilevel"/>
    <w:tmpl w:val="6AD49F76"/>
    <w:lvl w:ilvl="0" w:tplc="F0FA4F9C">
      <w:start w:val="21"/>
      <w:numFmt w:val="decimal"/>
      <w:lvlText w:val="%1."/>
      <w:lvlJc w:val="left"/>
      <w:pPr>
        <w:tabs>
          <w:tab w:val="num" w:pos="720"/>
        </w:tabs>
        <w:ind w:left="720" w:hanging="360"/>
      </w:pPr>
    </w:lvl>
    <w:lvl w:ilvl="1" w:tplc="A8405222" w:tentative="1">
      <w:start w:val="1"/>
      <w:numFmt w:val="decimal"/>
      <w:lvlText w:val="%2."/>
      <w:lvlJc w:val="left"/>
      <w:pPr>
        <w:tabs>
          <w:tab w:val="num" w:pos="1440"/>
        </w:tabs>
        <w:ind w:left="1440" w:hanging="360"/>
      </w:pPr>
    </w:lvl>
    <w:lvl w:ilvl="2" w:tplc="460EFF86" w:tentative="1">
      <w:start w:val="1"/>
      <w:numFmt w:val="decimal"/>
      <w:lvlText w:val="%3."/>
      <w:lvlJc w:val="left"/>
      <w:pPr>
        <w:tabs>
          <w:tab w:val="num" w:pos="2160"/>
        </w:tabs>
        <w:ind w:left="2160" w:hanging="360"/>
      </w:pPr>
    </w:lvl>
    <w:lvl w:ilvl="3" w:tplc="5FC47800" w:tentative="1">
      <w:start w:val="1"/>
      <w:numFmt w:val="decimal"/>
      <w:lvlText w:val="%4."/>
      <w:lvlJc w:val="left"/>
      <w:pPr>
        <w:tabs>
          <w:tab w:val="num" w:pos="2880"/>
        </w:tabs>
        <w:ind w:left="2880" w:hanging="360"/>
      </w:pPr>
    </w:lvl>
    <w:lvl w:ilvl="4" w:tplc="161EDB5C" w:tentative="1">
      <w:start w:val="1"/>
      <w:numFmt w:val="decimal"/>
      <w:lvlText w:val="%5."/>
      <w:lvlJc w:val="left"/>
      <w:pPr>
        <w:tabs>
          <w:tab w:val="num" w:pos="3600"/>
        </w:tabs>
        <w:ind w:left="3600" w:hanging="360"/>
      </w:pPr>
    </w:lvl>
    <w:lvl w:ilvl="5" w:tplc="F6781874" w:tentative="1">
      <w:start w:val="1"/>
      <w:numFmt w:val="decimal"/>
      <w:lvlText w:val="%6."/>
      <w:lvlJc w:val="left"/>
      <w:pPr>
        <w:tabs>
          <w:tab w:val="num" w:pos="4320"/>
        </w:tabs>
        <w:ind w:left="4320" w:hanging="360"/>
      </w:pPr>
    </w:lvl>
    <w:lvl w:ilvl="6" w:tplc="8D2C62B8" w:tentative="1">
      <w:start w:val="1"/>
      <w:numFmt w:val="decimal"/>
      <w:lvlText w:val="%7."/>
      <w:lvlJc w:val="left"/>
      <w:pPr>
        <w:tabs>
          <w:tab w:val="num" w:pos="5040"/>
        </w:tabs>
        <w:ind w:left="5040" w:hanging="360"/>
      </w:pPr>
    </w:lvl>
    <w:lvl w:ilvl="7" w:tplc="8A601356" w:tentative="1">
      <w:start w:val="1"/>
      <w:numFmt w:val="decimal"/>
      <w:lvlText w:val="%8."/>
      <w:lvlJc w:val="left"/>
      <w:pPr>
        <w:tabs>
          <w:tab w:val="num" w:pos="5760"/>
        </w:tabs>
        <w:ind w:left="5760" w:hanging="360"/>
      </w:pPr>
    </w:lvl>
    <w:lvl w:ilvl="8" w:tplc="15942B76" w:tentative="1">
      <w:start w:val="1"/>
      <w:numFmt w:val="decimal"/>
      <w:lvlText w:val="%9."/>
      <w:lvlJc w:val="left"/>
      <w:pPr>
        <w:tabs>
          <w:tab w:val="num" w:pos="6480"/>
        </w:tabs>
        <w:ind w:left="6480" w:hanging="360"/>
      </w:pPr>
    </w:lvl>
  </w:abstractNum>
  <w:abstractNum w:abstractNumId="6" w15:restartNumberingAfterBreak="0">
    <w:nsid w:val="6FEC7277"/>
    <w:multiLevelType w:val="hybridMultilevel"/>
    <w:tmpl w:val="210C385E"/>
    <w:lvl w:ilvl="0" w:tplc="D708E950">
      <w:start w:val="21"/>
      <w:numFmt w:val="decimal"/>
      <w:lvlText w:val="%1."/>
      <w:lvlJc w:val="left"/>
      <w:pPr>
        <w:tabs>
          <w:tab w:val="num" w:pos="720"/>
        </w:tabs>
        <w:ind w:left="720" w:hanging="360"/>
      </w:pPr>
    </w:lvl>
    <w:lvl w:ilvl="1" w:tplc="2410E3A6" w:tentative="1">
      <w:start w:val="1"/>
      <w:numFmt w:val="decimal"/>
      <w:lvlText w:val="%2."/>
      <w:lvlJc w:val="left"/>
      <w:pPr>
        <w:tabs>
          <w:tab w:val="num" w:pos="1440"/>
        </w:tabs>
        <w:ind w:left="1440" w:hanging="360"/>
      </w:pPr>
    </w:lvl>
    <w:lvl w:ilvl="2" w:tplc="0C5A58EA" w:tentative="1">
      <w:start w:val="1"/>
      <w:numFmt w:val="decimal"/>
      <w:lvlText w:val="%3."/>
      <w:lvlJc w:val="left"/>
      <w:pPr>
        <w:tabs>
          <w:tab w:val="num" w:pos="2160"/>
        </w:tabs>
        <w:ind w:left="2160" w:hanging="360"/>
      </w:pPr>
    </w:lvl>
    <w:lvl w:ilvl="3" w:tplc="6EE0E56C" w:tentative="1">
      <w:start w:val="1"/>
      <w:numFmt w:val="decimal"/>
      <w:lvlText w:val="%4."/>
      <w:lvlJc w:val="left"/>
      <w:pPr>
        <w:tabs>
          <w:tab w:val="num" w:pos="2880"/>
        </w:tabs>
        <w:ind w:left="2880" w:hanging="360"/>
      </w:pPr>
    </w:lvl>
    <w:lvl w:ilvl="4" w:tplc="EB0476F6" w:tentative="1">
      <w:start w:val="1"/>
      <w:numFmt w:val="decimal"/>
      <w:lvlText w:val="%5."/>
      <w:lvlJc w:val="left"/>
      <w:pPr>
        <w:tabs>
          <w:tab w:val="num" w:pos="3600"/>
        </w:tabs>
        <w:ind w:left="3600" w:hanging="360"/>
      </w:pPr>
    </w:lvl>
    <w:lvl w:ilvl="5" w:tplc="2E84EAEC" w:tentative="1">
      <w:start w:val="1"/>
      <w:numFmt w:val="decimal"/>
      <w:lvlText w:val="%6."/>
      <w:lvlJc w:val="left"/>
      <w:pPr>
        <w:tabs>
          <w:tab w:val="num" w:pos="4320"/>
        </w:tabs>
        <w:ind w:left="4320" w:hanging="360"/>
      </w:pPr>
    </w:lvl>
    <w:lvl w:ilvl="6" w:tplc="DECCDC04" w:tentative="1">
      <w:start w:val="1"/>
      <w:numFmt w:val="decimal"/>
      <w:lvlText w:val="%7."/>
      <w:lvlJc w:val="left"/>
      <w:pPr>
        <w:tabs>
          <w:tab w:val="num" w:pos="5040"/>
        </w:tabs>
        <w:ind w:left="5040" w:hanging="360"/>
      </w:pPr>
    </w:lvl>
    <w:lvl w:ilvl="7" w:tplc="21087698" w:tentative="1">
      <w:start w:val="1"/>
      <w:numFmt w:val="decimal"/>
      <w:lvlText w:val="%8."/>
      <w:lvlJc w:val="left"/>
      <w:pPr>
        <w:tabs>
          <w:tab w:val="num" w:pos="5760"/>
        </w:tabs>
        <w:ind w:left="5760" w:hanging="360"/>
      </w:pPr>
    </w:lvl>
    <w:lvl w:ilvl="8" w:tplc="048230B4" w:tentative="1">
      <w:start w:val="1"/>
      <w:numFmt w:val="decimal"/>
      <w:lvlText w:val="%9."/>
      <w:lvlJc w:val="left"/>
      <w:pPr>
        <w:tabs>
          <w:tab w:val="num" w:pos="6480"/>
        </w:tabs>
        <w:ind w:left="6480" w:hanging="360"/>
      </w:pPr>
    </w:lvl>
  </w:abstractNum>
  <w:num w:numId="1">
    <w:abstractNumId w:val="0"/>
  </w:num>
  <w:num w:numId="2">
    <w:abstractNumId w:val="1"/>
  </w:num>
  <w:num w:numId="3">
    <w:abstractNumId w:val="5"/>
  </w:num>
  <w:num w:numId="4">
    <w:abstractNumId w:val="3"/>
  </w:num>
  <w:num w:numId="5">
    <w:abstractNumId w:val="4"/>
  </w:num>
  <w:num w:numId="6">
    <w:abstractNumId w:val="2"/>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11942"/>
    <w:rsid w:val="00055333"/>
    <w:rsid w:val="002D2A77"/>
    <w:rsid w:val="002D4B72"/>
    <w:rsid w:val="002F5C3A"/>
    <w:rsid w:val="00301135"/>
    <w:rsid w:val="00422DB5"/>
    <w:rsid w:val="004B6E32"/>
    <w:rsid w:val="004D4383"/>
    <w:rsid w:val="004E1DD7"/>
    <w:rsid w:val="005051B8"/>
    <w:rsid w:val="006964F3"/>
    <w:rsid w:val="007E695A"/>
    <w:rsid w:val="00875668"/>
    <w:rsid w:val="00910693"/>
    <w:rsid w:val="00A11942"/>
    <w:rsid w:val="00B073F7"/>
    <w:rsid w:val="00B948EE"/>
    <w:rsid w:val="00BD09FF"/>
    <w:rsid w:val="00C36F41"/>
    <w:rsid w:val="00C8630E"/>
    <w:rsid w:val="00E31166"/>
    <w:rsid w:val="00F337C3"/>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7EA919C"/>
  <w15:chartTrackingRefBased/>
  <w15:docId w15:val="{5C905666-8128-4999-BB20-56399DC566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D4B7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2D4B72"/>
    <w:pPr>
      <w:keepNext/>
      <w:keepLines/>
      <w:spacing w:before="200" w:after="0" w:line="360" w:lineRule="auto"/>
      <w:jc w:val="both"/>
      <w:outlineLvl w:val="1"/>
    </w:pPr>
    <w:rPr>
      <w:rFonts w:ascii="Times New Roman" w:eastAsiaTheme="majorEastAsia" w:hAnsi="Times New Roman" w:cstheme="majorBidi"/>
      <w:b/>
      <w:bCs/>
      <w:i/>
      <w:sz w:val="24"/>
      <w:szCs w:val="26"/>
      <w:lang w:val="en-IN"/>
    </w:rPr>
  </w:style>
  <w:style w:type="paragraph" w:styleId="Heading3">
    <w:name w:val="heading 3"/>
    <w:basedOn w:val="Normal"/>
    <w:next w:val="Normal"/>
    <w:link w:val="Heading3Char"/>
    <w:uiPriority w:val="9"/>
    <w:semiHidden/>
    <w:unhideWhenUsed/>
    <w:qFormat/>
    <w:rsid w:val="002D4B72"/>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2F5C3A"/>
    <w:rPr>
      <w:color w:val="0000FF"/>
      <w:u w:val="single"/>
    </w:rPr>
  </w:style>
  <w:style w:type="paragraph" w:styleId="Bibliography">
    <w:name w:val="Bibliography"/>
    <w:basedOn w:val="Normal"/>
    <w:next w:val="Normal"/>
    <w:uiPriority w:val="37"/>
    <w:semiHidden/>
    <w:unhideWhenUsed/>
    <w:rsid w:val="002D4B72"/>
  </w:style>
  <w:style w:type="character" w:customStyle="1" w:styleId="Heading1Char">
    <w:name w:val="Heading 1 Char"/>
    <w:basedOn w:val="DefaultParagraphFont"/>
    <w:link w:val="Heading1"/>
    <w:uiPriority w:val="9"/>
    <w:rsid w:val="002D4B72"/>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2D4B72"/>
    <w:rPr>
      <w:rFonts w:ascii="Times New Roman" w:eastAsiaTheme="majorEastAsia" w:hAnsi="Times New Roman" w:cstheme="majorBidi"/>
      <w:b/>
      <w:bCs/>
      <w:i/>
      <w:sz w:val="24"/>
      <w:szCs w:val="26"/>
      <w:lang w:val="en-IN"/>
    </w:rPr>
  </w:style>
  <w:style w:type="character" w:customStyle="1" w:styleId="Heading3Char">
    <w:name w:val="Heading 3 Char"/>
    <w:basedOn w:val="DefaultParagraphFont"/>
    <w:link w:val="Heading3"/>
    <w:uiPriority w:val="9"/>
    <w:semiHidden/>
    <w:rsid w:val="002D4B72"/>
    <w:rPr>
      <w:rFonts w:asciiTheme="majorHAnsi" w:eastAsiaTheme="majorEastAsia" w:hAnsiTheme="majorHAnsi" w:cstheme="majorBidi"/>
      <w:color w:val="1F3763" w:themeColor="accent1" w:themeShade="7F"/>
      <w:sz w:val="24"/>
      <w:szCs w:val="24"/>
    </w:rPr>
  </w:style>
  <w:style w:type="paragraph" w:styleId="ListParagraph">
    <w:name w:val="List Paragraph"/>
    <w:basedOn w:val="Normal"/>
    <w:uiPriority w:val="34"/>
    <w:qFormat/>
    <w:rsid w:val="002D4B72"/>
    <w:pPr>
      <w:ind w:left="720"/>
      <w:contextualSpacing/>
    </w:pPr>
  </w:style>
  <w:style w:type="paragraph" w:styleId="Header">
    <w:name w:val="header"/>
    <w:basedOn w:val="Normal"/>
    <w:link w:val="HeaderChar"/>
    <w:uiPriority w:val="99"/>
    <w:unhideWhenUsed/>
    <w:rsid w:val="002D4B72"/>
    <w:pPr>
      <w:tabs>
        <w:tab w:val="center" w:pos="4513"/>
        <w:tab w:val="right" w:pos="9026"/>
      </w:tabs>
      <w:spacing w:after="0" w:line="240" w:lineRule="auto"/>
    </w:pPr>
  </w:style>
  <w:style w:type="character" w:customStyle="1" w:styleId="HeaderChar">
    <w:name w:val="Header Char"/>
    <w:basedOn w:val="DefaultParagraphFont"/>
    <w:link w:val="Header"/>
    <w:uiPriority w:val="99"/>
    <w:rsid w:val="002D4B72"/>
  </w:style>
  <w:style w:type="paragraph" w:styleId="Footer">
    <w:name w:val="footer"/>
    <w:basedOn w:val="Normal"/>
    <w:link w:val="FooterChar"/>
    <w:uiPriority w:val="99"/>
    <w:unhideWhenUsed/>
    <w:rsid w:val="002D4B72"/>
    <w:pPr>
      <w:tabs>
        <w:tab w:val="center" w:pos="4513"/>
        <w:tab w:val="right" w:pos="9026"/>
      </w:tabs>
      <w:spacing w:after="0" w:line="240" w:lineRule="auto"/>
    </w:pPr>
  </w:style>
  <w:style w:type="character" w:customStyle="1" w:styleId="FooterChar">
    <w:name w:val="Footer Char"/>
    <w:basedOn w:val="DefaultParagraphFont"/>
    <w:link w:val="Footer"/>
    <w:uiPriority w:val="99"/>
    <w:rsid w:val="002D4B7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48217498">
      <w:bodyDiv w:val="1"/>
      <w:marLeft w:val="0"/>
      <w:marRight w:val="0"/>
      <w:marTop w:val="0"/>
      <w:marBottom w:val="0"/>
      <w:divBdr>
        <w:top w:val="none" w:sz="0" w:space="0" w:color="auto"/>
        <w:left w:val="none" w:sz="0" w:space="0" w:color="auto"/>
        <w:bottom w:val="none" w:sz="0" w:space="0" w:color="auto"/>
        <w:right w:val="none" w:sz="0" w:space="0" w:color="auto"/>
      </w:divBdr>
      <w:divsChild>
        <w:div w:id="900752399">
          <w:marLeft w:val="547"/>
          <w:marRight w:val="0"/>
          <w:marTop w:val="0"/>
          <w:marBottom w:val="0"/>
          <w:divBdr>
            <w:top w:val="none" w:sz="0" w:space="0" w:color="auto"/>
            <w:left w:val="none" w:sz="0" w:space="0" w:color="auto"/>
            <w:bottom w:val="none" w:sz="0" w:space="0" w:color="auto"/>
            <w:right w:val="none" w:sz="0" w:space="0" w:color="auto"/>
          </w:divBdr>
        </w:div>
        <w:div w:id="929386337">
          <w:marLeft w:val="547"/>
          <w:marRight w:val="0"/>
          <w:marTop w:val="0"/>
          <w:marBottom w:val="0"/>
          <w:divBdr>
            <w:top w:val="none" w:sz="0" w:space="0" w:color="auto"/>
            <w:left w:val="none" w:sz="0" w:space="0" w:color="auto"/>
            <w:bottom w:val="none" w:sz="0" w:space="0" w:color="auto"/>
            <w:right w:val="none" w:sz="0" w:space="0" w:color="auto"/>
          </w:divBdr>
        </w:div>
        <w:div w:id="1366709789">
          <w:marLeft w:val="547"/>
          <w:marRight w:val="0"/>
          <w:marTop w:val="0"/>
          <w:marBottom w:val="0"/>
          <w:divBdr>
            <w:top w:val="none" w:sz="0" w:space="0" w:color="auto"/>
            <w:left w:val="none" w:sz="0" w:space="0" w:color="auto"/>
            <w:bottom w:val="none" w:sz="0" w:space="0" w:color="auto"/>
            <w:right w:val="none" w:sz="0" w:space="0" w:color="auto"/>
          </w:divBdr>
        </w:div>
      </w:divsChild>
    </w:div>
    <w:div w:id="769080725">
      <w:bodyDiv w:val="1"/>
      <w:marLeft w:val="0"/>
      <w:marRight w:val="0"/>
      <w:marTop w:val="0"/>
      <w:marBottom w:val="0"/>
      <w:divBdr>
        <w:top w:val="none" w:sz="0" w:space="0" w:color="auto"/>
        <w:left w:val="none" w:sz="0" w:space="0" w:color="auto"/>
        <w:bottom w:val="none" w:sz="0" w:space="0" w:color="auto"/>
        <w:right w:val="none" w:sz="0" w:space="0" w:color="auto"/>
      </w:divBdr>
      <w:divsChild>
        <w:div w:id="621809959">
          <w:marLeft w:val="547"/>
          <w:marRight w:val="0"/>
          <w:marTop w:val="0"/>
          <w:marBottom w:val="0"/>
          <w:divBdr>
            <w:top w:val="none" w:sz="0" w:space="0" w:color="auto"/>
            <w:left w:val="none" w:sz="0" w:space="0" w:color="auto"/>
            <w:bottom w:val="none" w:sz="0" w:space="0" w:color="auto"/>
            <w:right w:val="none" w:sz="0" w:space="0" w:color="auto"/>
          </w:divBdr>
        </w:div>
        <w:div w:id="1570916582">
          <w:marLeft w:val="547"/>
          <w:marRight w:val="0"/>
          <w:marTop w:val="0"/>
          <w:marBottom w:val="0"/>
          <w:divBdr>
            <w:top w:val="none" w:sz="0" w:space="0" w:color="auto"/>
            <w:left w:val="none" w:sz="0" w:space="0" w:color="auto"/>
            <w:bottom w:val="none" w:sz="0" w:space="0" w:color="auto"/>
            <w:right w:val="none" w:sz="0" w:space="0" w:color="auto"/>
          </w:divBdr>
        </w:div>
        <w:div w:id="1832332991">
          <w:marLeft w:val="547"/>
          <w:marRight w:val="0"/>
          <w:marTop w:val="0"/>
          <w:marBottom w:val="0"/>
          <w:divBdr>
            <w:top w:val="none" w:sz="0" w:space="0" w:color="auto"/>
            <w:left w:val="none" w:sz="0" w:space="0" w:color="auto"/>
            <w:bottom w:val="none" w:sz="0" w:space="0" w:color="auto"/>
            <w:right w:val="none" w:sz="0" w:space="0" w:color="auto"/>
          </w:divBdr>
        </w:div>
        <w:div w:id="883374453">
          <w:marLeft w:val="547"/>
          <w:marRight w:val="0"/>
          <w:marTop w:val="0"/>
          <w:marBottom w:val="0"/>
          <w:divBdr>
            <w:top w:val="none" w:sz="0" w:space="0" w:color="auto"/>
            <w:left w:val="none" w:sz="0" w:space="0" w:color="auto"/>
            <w:bottom w:val="none" w:sz="0" w:space="0" w:color="auto"/>
            <w:right w:val="none" w:sz="0" w:space="0" w:color="auto"/>
          </w:divBdr>
        </w:div>
        <w:div w:id="1728526955">
          <w:marLeft w:val="547"/>
          <w:marRight w:val="0"/>
          <w:marTop w:val="0"/>
          <w:marBottom w:val="0"/>
          <w:divBdr>
            <w:top w:val="none" w:sz="0" w:space="0" w:color="auto"/>
            <w:left w:val="none" w:sz="0" w:space="0" w:color="auto"/>
            <w:bottom w:val="none" w:sz="0" w:space="0" w:color="auto"/>
            <w:right w:val="none" w:sz="0" w:space="0" w:color="auto"/>
          </w:divBdr>
        </w:div>
        <w:div w:id="2035038278">
          <w:marLeft w:val="547"/>
          <w:marRight w:val="0"/>
          <w:marTop w:val="0"/>
          <w:marBottom w:val="0"/>
          <w:divBdr>
            <w:top w:val="none" w:sz="0" w:space="0" w:color="auto"/>
            <w:left w:val="none" w:sz="0" w:space="0" w:color="auto"/>
            <w:bottom w:val="none" w:sz="0" w:space="0" w:color="auto"/>
            <w:right w:val="none" w:sz="0" w:space="0" w:color="auto"/>
          </w:divBdr>
        </w:div>
        <w:div w:id="2080513905">
          <w:marLeft w:val="547"/>
          <w:marRight w:val="0"/>
          <w:marTop w:val="0"/>
          <w:marBottom w:val="0"/>
          <w:divBdr>
            <w:top w:val="none" w:sz="0" w:space="0" w:color="auto"/>
            <w:left w:val="none" w:sz="0" w:space="0" w:color="auto"/>
            <w:bottom w:val="none" w:sz="0" w:space="0" w:color="auto"/>
            <w:right w:val="none" w:sz="0" w:space="0" w:color="auto"/>
          </w:divBdr>
        </w:div>
        <w:div w:id="688679347">
          <w:marLeft w:val="547"/>
          <w:marRight w:val="0"/>
          <w:marTop w:val="0"/>
          <w:marBottom w:val="0"/>
          <w:divBdr>
            <w:top w:val="none" w:sz="0" w:space="0" w:color="auto"/>
            <w:left w:val="none" w:sz="0" w:space="0" w:color="auto"/>
            <w:bottom w:val="none" w:sz="0" w:space="0" w:color="auto"/>
            <w:right w:val="none" w:sz="0" w:space="0" w:color="auto"/>
          </w:divBdr>
        </w:div>
        <w:div w:id="193544236">
          <w:marLeft w:val="547"/>
          <w:marRight w:val="0"/>
          <w:marTop w:val="0"/>
          <w:marBottom w:val="0"/>
          <w:divBdr>
            <w:top w:val="none" w:sz="0" w:space="0" w:color="auto"/>
            <w:left w:val="none" w:sz="0" w:space="0" w:color="auto"/>
            <w:bottom w:val="none" w:sz="0" w:space="0" w:color="auto"/>
            <w:right w:val="none" w:sz="0" w:space="0" w:color="auto"/>
          </w:divBdr>
        </w:div>
        <w:div w:id="1130785310">
          <w:marLeft w:val="547"/>
          <w:marRight w:val="0"/>
          <w:marTop w:val="0"/>
          <w:marBottom w:val="0"/>
          <w:divBdr>
            <w:top w:val="none" w:sz="0" w:space="0" w:color="auto"/>
            <w:left w:val="none" w:sz="0" w:space="0" w:color="auto"/>
            <w:bottom w:val="none" w:sz="0" w:space="0" w:color="auto"/>
            <w:right w:val="none" w:sz="0" w:space="0" w:color="auto"/>
          </w:divBdr>
        </w:div>
      </w:divsChild>
    </w:div>
    <w:div w:id="833301625">
      <w:bodyDiv w:val="1"/>
      <w:marLeft w:val="0"/>
      <w:marRight w:val="0"/>
      <w:marTop w:val="0"/>
      <w:marBottom w:val="0"/>
      <w:divBdr>
        <w:top w:val="none" w:sz="0" w:space="0" w:color="auto"/>
        <w:left w:val="none" w:sz="0" w:space="0" w:color="auto"/>
        <w:bottom w:val="none" w:sz="0" w:space="0" w:color="auto"/>
        <w:right w:val="none" w:sz="0" w:space="0" w:color="auto"/>
      </w:divBdr>
      <w:divsChild>
        <w:div w:id="1888687680">
          <w:marLeft w:val="547"/>
          <w:marRight w:val="0"/>
          <w:marTop w:val="0"/>
          <w:marBottom w:val="0"/>
          <w:divBdr>
            <w:top w:val="none" w:sz="0" w:space="0" w:color="auto"/>
            <w:left w:val="none" w:sz="0" w:space="0" w:color="auto"/>
            <w:bottom w:val="none" w:sz="0" w:space="0" w:color="auto"/>
            <w:right w:val="none" w:sz="0" w:space="0" w:color="auto"/>
          </w:divBdr>
        </w:div>
        <w:div w:id="1536649592">
          <w:marLeft w:val="547"/>
          <w:marRight w:val="0"/>
          <w:marTop w:val="0"/>
          <w:marBottom w:val="0"/>
          <w:divBdr>
            <w:top w:val="none" w:sz="0" w:space="0" w:color="auto"/>
            <w:left w:val="none" w:sz="0" w:space="0" w:color="auto"/>
            <w:bottom w:val="none" w:sz="0" w:space="0" w:color="auto"/>
            <w:right w:val="none" w:sz="0" w:space="0" w:color="auto"/>
          </w:divBdr>
        </w:div>
        <w:div w:id="2006735628">
          <w:marLeft w:val="547"/>
          <w:marRight w:val="0"/>
          <w:marTop w:val="0"/>
          <w:marBottom w:val="0"/>
          <w:divBdr>
            <w:top w:val="none" w:sz="0" w:space="0" w:color="auto"/>
            <w:left w:val="none" w:sz="0" w:space="0" w:color="auto"/>
            <w:bottom w:val="none" w:sz="0" w:space="0" w:color="auto"/>
            <w:right w:val="none" w:sz="0" w:space="0" w:color="auto"/>
          </w:divBdr>
        </w:div>
        <w:div w:id="1601907035">
          <w:marLeft w:val="547"/>
          <w:marRight w:val="0"/>
          <w:marTop w:val="0"/>
          <w:marBottom w:val="0"/>
          <w:divBdr>
            <w:top w:val="none" w:sz="0" w:space="0" w:color="auto"/>
            <w:left w:val="none" w:sz="0" w:space="0" w:color="auto"/>
            <w:bottom w:val="none" w:sz="0" w:space="0" w:color="auto"/>
            <w:right w:val="none" w:sz="0" w:space="0" w:color="auto"/>
          </w:divBdr>
        </w:div>
        <w:div w:id="1580603832">
          <w:marLeft w:val="547"/>
          <w:marRight w:val="0"/>
          <w:marTop w:val="0"/>
          <w:marBottom w:val="0"/>
          <w:divBdr>
            <w:top w:val="none" w:sz="0" w:space="0" w:color="auto"/>
            <w:left w:val="none" w:sz="0" w:space="0" w:color="auto"/>
            <w:bottom w:val="none" w:sz="0" w:space="0" w:color="auto"/>
            <w:right w:val="none" w:sz="0" w:space="0" w:color="auto"/>
          </w:divBdr>
        </w:div>
        <w:div w:id="556283128">
          <w:marLeft w:val="547"/>
          <w:marRight w:val="0"/>
          <w:marTop w:val="0"/>
          <w:marBottom w:val="0"/>
          <w:divBdr>
            <w:top w:val="none" w:sz="0" w:space="0" w:color="auto"/>
            <w:left w:val="none" w:sz="0" w:space="0" w:color="auto"/>
            <w:bottom w:val="none" w:sz="0" w:space="0" w:color="auto"/>
            <w:right w:val="none" w:sz="0" w:space="0" w:color="auto"/>
          </w:divBdr>
        </w:div>
        <w:div w:id="1292981436">
          <w:marLeft w:val="547"/>
          <w:marRight w:val="0"/>
          <w:marTop w:val="0"/>
          <w:marBottom w:val="0"/>
          <w:divBdr>
            <w:top w:val="none" w:sz="0" w:space="0" w:color="auto"/>
            <w:left w:val="none" w:sz="0" w:space="0" w:color="auto"/>
            <w:bottom w:val="none" w:sz="0" w:space="0" w:color="auto"/>
            <w:right w:val="none" w:sz="0" w:space="0" w:color="auto"/>
          </w:divBdr>
        </w:div>
        <w:div w:id="789981817">
          <w:marLeft w:val="547"/>
          <w:marRight w:val="0"/>
          <w:marTop w:val="0"/>
          <w:marBottom w:val="0"/>
          <w:divBdr>
            <w:top w:val="none" w:sz="0" w:space="0" w:color="auto"/>
            <w:left w:val="none" w:sz="0" w:space="0" w:color="auto"/>
            <w:bottom w:val="none" w:sz="0" w:space="0" w:color="auto"/>
            <w:right w:val="none" w:sz="0" w:space="0" w:color="auto"/>
          </w:divBdr>
        </w:div>
        <w:div w:id="620308638">
          <w:marLeft w:val="547"/>
          <w:marRight w:val="0"/>
          <w:marTop w:val="0"/>
          <w:marBottom w:val="0"/>
          <w:divBdr>
            <w:top w:val="none" w:sz="0" w:space="0" w:color="auto"/>
            <w:left w:val="none" w:sz="0" w:space="0" w:color="auto"/>
            <w:bottom w:val="none" w:sz="0" w:space="0" w:color="auto"/>
            <w:right w:val="none" w:sz="0" w:space="0" w:color="auto"/>
          </w:divBdr>
        </w:div>
        <w:div w:id="181289650">
          <w:marLeft w:val="547"/>
          <w:marRight w:val="0"/>
          <w:marTop w:val="0"/>
          <w:marBottom w:val="0"/>
          <w:divBdr>
            <w:top w:val="none" w:sz="0" w:space="0" w:color="auto"/>
            <w:left w:val="none" w:sz="0" w:space="0" w:color="auto"/>
            <w:bottom w:val="none" w:sz="0" w:space="0" w:color="auto"/>
            <w:right w:val="none" w:sz="0" w:space="0" w:color="auto"/>
          </w:divBdr>
        </w:div>
      </w:divsChild>
    </w:div>
    <w:div w:id="934753238">
      <w:bodyDiv w:val="1"/>
      <w:marLeft w:val="0"/>
      <w:marRight w:val="0"/>
      <w:marTop w:val="0"/>
      <w:marBottom w:val="0"/>
      <w:divBdr>
        <w:top w:val="none" w:sz="0" w:space="0" w:color="auto"/>
        <w:left w:val="none" w:sz="0" w:space="0" w:color="auto"/>
        <w:bottom w:val="none" w:sz="0" w:space="0" w:color="auto"/>
        <w:right w:val="none" w:sz="0" w:space="0" w:color="auto"/>
      </w:divBdr>
      <w:divsChild>
        <w:div w:id="823089793">
          <w:marLeft w:val="547"/>
          <w:marRight w:val="0"/>
          <w:marTop w:val="0"/>
          <w:marBottom w:val="0"/>
          <w:divBdr>
            <w:top w:val="none" w:sz="0" w:space="0" w:color="auto"/>
            <w:left w:val="none" w:sz="0" w:space="0" w:color="auto"/>
            <w:bottom w:val="none" w:sz="0" w:space="0" w:color="auto"/>
            <w:right w:val="none" w:sz="0" w:space="0" w:color="auto"/>
          </w:divBdr>
        </w:div>
        <w:div w:id="380061524">
          <w:marLeft w:val="547"/>
          <w:marRight w:val="0"/>
          <w:marTop w:val="0"/>
          <w:marBottom w:val="0"/>
          <w:divBdr>
            <w:top w:val="none" w:sz="0" w:space="0" w:color="auto"/>
            <w:left w:val="none" w:sz="0" w:space="0" w:color="auto"/>
            <w:bottom w:val="none" w:sz="0" w:space="0" w:color="auto"/>
            <w:right w:val="none" w:sz="0" w:space="0" w:color="auto"/>
          </w:divBdr>
        </w:div>
        <w:div w:id="1050151583">
          <w:marLeft w:val="547"/>
          <w:marRight w:val="0"/>
          <w:marTop w:val="0"/>
          <w:marBottom w:val="0"/>
          <w:divBdr>
            <w:top w:val="none" w:sz="0" w:space="0" w:color="auto"/>
            <w:left w:val="none" w:sz="0" w:space="0" w:color="auto"/>
            <w:bottom w:val="none" w:sz="0" w:space="0" w:color="auto"/>
            <w:right w:val="none" w:sz="0" w:space="0" w:color="auto"/>
          </w:divBdr>
        </w:div>
        <w:div w:id="1732457062">
          <w:marLeft w:val="547"/>
          <w:marRight w:val="0"/>
          <w:marTop w:val="0"/>
          <w:marBottom w:val="0"/>
          <w:divBdr>
            <w:top w:val="none" w:sz="0" w:space="0" w:color="auto"/>
            <w:left w:val="none" w:sz="0" w:space="0" w:color="auto"/>
            <w:bottom w:val="none" w:sz="0" w:space="0" w:color="auto"/>
            <w:right w:val="none" w:sz="0" w:space="0" w:color="auto"/>
          </w:divBdr>
        </w:div>
        <w:div w:id="545064042">
          <w:marLeft w:val="547"/>
          <w:marRight w:val="0"/>
          <w:marTop w:val="0"/>
          <w:marBottom w:val="0"/>
          <w:divBdr>
            <w:top w:val="none" w:sz="0" w:space="0" w:color="auto"/>
            <w:left w:val="none" w:sz="0" w:space="0" w:color="auto"/>
            <w:bottom w:val="none" w:sz="0" w:space="0" w:color="auto"/>
            <w:right w:val="none" w:sz="0" w:space="0" w:color="auto"/>
          </w:divBdr>
        </w:div>
        <w:div w:id="736707222">
          <w:marLeft w:val="547"/>
          <w:marRight w:val="0"/>
          <w:marTop w:val="0"/>
          <w:marBottom w:val="0"/>
          <w:divBdr>
            <w:top w:val="none" w:sz="0" w:space="0" w:color="auto"/>
            <w:left w:val="none" w:sz="0" w:space="0" w:color="auto"/>
            <w:bottom w:val="none" w:sz="0" w:space="0" w:color="auto"/>
            <w:right w:val="none" w:sz="0" w:space="0" w:color="auto"/>
          </w:divBdr>
        </w:div>
        <w:div w:id="2030443449">
          <w:marLeft w:val="547"/>
          <w:marRight w:val="0"/>
          <w:marTop w:val="0"/>
          <w:marBottom w:val="0"/>
          <w:divBdr>
            <w:top w:val="none" w:sz="0" w:space="0" w:color="auto"/>
            <w:left w:val="none" w:sz="0" w:space="0" w:color="auto"/>
            <w:bottom w:val="none" w:sz="0" w:space="0" w:color="auto"/>
            <w:right w:val="none" w:sz="0" w:space="0" w:color="auto"/>
          </w:divBdr>
        </w:div>
        <w:div w:id="493881498">
          <w:marLeft w:val="547"/>
          <w:marRight w:val="0"/>
          <w:marTop w:val="0"/>
          <w:marBottom w:val="0"/>
          <w:divBdr>
            <w:top w:val="none" w:sz="0" w:space="0" w:color="auto"/>
            <w:left w:val="none" w:sz="0" w:space="0" w:color="auto"/>
            <w:bottom w:val="none" w:sz="0" w:space="0" w:color="auto"/>
            <w:right w:val="none" w:sz="0" w:space="0" w:color="auto"/>
          </w:divBdr>
        </w:div>
        <w:div w:id="151680234">
          <w:marLeft w:val="547"/>
          <w:marRight w:val="0"/>
          <w:marTop w:val="0"/>
          <w:marBottom w:val="0"/>
          <w:divBdr>
            <w:top w:val="none" w:sz="0" w:space="0" w:color="auto"/>
            <w:left w:val="none" w:sz="0" w:space="0" w:color="auto"/>
            <w:bottom w:val="none" w:sz="0" w:space="0" w:color="auto"/>
            <w:right w:val="none" w:sz="0" w:space="0" w:color="auto"/>
          </w:divBdr>
        </w:div>
        <w:div w:id="272593646">
          <w:marLeft w:val="547"/>
          <w:marRight w:val="0"/>
          <w:marTop w:val="0"/>
          <w:marBottom w:val="0"/>
          <w:divBdr>
            <w:top w:val="none" w:sz="0" w:space="0" w:color="auto"/>
            <w:left w:val="none" w:sz="0" w:space="0" w:color="auto"/>
            <w:bottom w:val="none" w:sz="0" w:space="0" w:color="auto"/>
            <w:right w:val="none" w:sz="0" w:space="0" w:color="auto"/>
          </w:divBdr>
        </w:div>
      </w:divsChild>
    </w:div>
    <w:div w:id="1647513103">
      <w:bodyDiv w:val="1"/>
      <w:marLeft w:val="0"/>
      <w:marRight w:val="0"/>
      <w:marTop w:val="0"/>
      <w:marBottom w:val="0"/>
      <w:divBdr>
        <w:top w:val="none" w:sz="0" w:space="0" w:color="auto"/>
        <w:left w:val="none" w:sz="0" w:space="0" w:color="auto"/>
        <w:bottom w:val="none" w:sz="0" w:space="0" w:color="auto"/>
        <w:right w:val="none" w:sz="0" w:space="0" w:color="auto"/>
      </w:divBdr>
      <w:divsChild>
        <w:div w:id="921524142">
          <w:marLeft w:val="547"/>
          <w:marRight w:val="0"/>
          <w:marTop w:val="0"/>
          <w:marBottom w:val="0"/>
          <w:divBdr>
            <w:top w:val="none" w:sz="0" w:space="0" w:color="auto"/>
            <w:left w:val="none" w:sz="0" w:space="0" w:color="auto"/>
            <w:bottom w:val="none" w:sz="0" w:space="0" w:color="auto"/>
            <w:right w:val="none" w:sz="0" w:space="0" w:color="auto"/>
          </w:divBdr>
        </w:div>
        <w:div w:id="456797832">
          <w:marLeft w:val="547"/>
          <w:marRight w:val="0"/>
          <w:marTop w:val="0"/>
          <w:marBottom w:val="0"/>
          <w:divBdr>
            <w:top w:val="none" w:sz="0" w:space="0" w:color="auto"/>
            <w:left w:val="none" w:sz="0" w:space="0" w:color="auto"/>
            <w:bottom w:val="none" w:sz="0" w:space="0" w:color="auto"/>
            <w:right w:val="none" w:sz="0" w:space="0" w:color="auto"/>
          </w:divBdr>
        </w:div>
        <w:div w:id="1964146385">
          <w:marLeft w:val="547"/>
          <w:marRight w:val="0"/>
          <w:marTop w:val="0"/>
          <w:marBottom w:val="0"/>
          <w:divBdr>
            <w:top w:val="none" w:sz="0" w:space="0" w:color="auto"/>
            <w:left w:val="none" w:sz="0" w:space="0" w:color="auto"/>
            <w:bottom w:val="none" w:sz="0" w:space="0" w:color="auto"/>
            <w:right w:val="none" w:sz="0" w:space="0" w:color="auto"/>
          </w:divBdr>
        </w:div>
        <w:div w:id="166747834">
          <w:marLeft w:val="547"/>
          <w:marRight w:val="0"/>
          <w:marTop w:val="0"/>
          <w:marBottom w:val="0"/>
          <w:divBdr>
            <w:top w:val="none" w:sz="0" w:space="0" w:color="auto"/>
            <w:left w:val="none" w:sz="0" w:space="0" w:color="auto"/>
            <w:bottom w:val="none" w:sz="0" w:space="0" w:color="auto"/>
            <w:right w:val="none" w:sz="0" w:space="0" w:color="auto"/>
          </w:divBdr>
        </w:div>
        <w:div w:id="269625995">
          <w:marLeft w:val="547"/>
          <w:marRight w:val="0"/>
          <w:marTop w:val="0"/>
          <w:marBottom w:val="0"/>
          <w:divBdr>
            <w:top w:val="none" w:sz="0" w:space="0" w:color="auto"/>
            <w:left w:val="none" w:sz="0" w:space="0" w:color="auto"/>
            <w:bottom w:val="none" w:sz="0" w:space="0" w:color="auto"/>
            <w:right w:val="none" w:sz="0" w:space="0" w:color="auto"/>
          </w:divBdr>
        </w:div>
        <w:div w:id="1312715423">
          <w:marLeft w:val="547"/>
          <w:marRight w:val="0"/>
          <w:marTop w:val="0"/>
          <w:marBottom w:val="0"/>
          <w:divBdr>
            <w:top w:val="none" w:sz="0" w:space="0" w:color="auto"/>
            <w:left w:val="none" w:sz="0" w:space="0" w:color="auto"/>
            <w:bottom w:val="none" w:sz="0" w:space="0" w:color="auto"/>
            <w:right w:val="none" w:sz="0" w:space="0" w:color="auto"/>
          </w:divBdr>
        </w:div>
        <w:div w:id="845750711">
          <w:marLeft w:val="547"/>
          <w:marRight w:val="0"/>
          <w:marTop w:val="0"/>
          <w:marBottom w:val="0"/>
          <w:divBdr>
            <w:top w:val="none" w:sz="0" w:space="0" w:color="auto"/>
            <w:left w:val="none" w:sz="0" w:space="0" w:color="auto"/>
            <w:bottom w:val="none" w:sz="0" w:space="0" w:color="auto"/>
            <w:right w:val="none" w:sz="0" w:space="0" w:color="auto"/>
          </w:divBdr>
        </w:div>
        <w:div w:id="1628467462">
          <w:marLeft w:val="547"/>
          <w:marRight w:val="0"/>
          <w:marTop w:val="0"/>
          <w:marBottom w:val="0"/>
          <w:divBdr>
            <w:top w:val="none" w:sz="0" w:space="0" w:color="auto"/>
            <w:left w:val="none" w:sz="0" w:space="0" w:color="auto"/>
            <w:bottom w:val="none" w:sz="0" w:space="0" w:color="auto"/>
            <w:right w:val="none" w:sz="0" w:space="0" w:color="auto"/>
          </w:divBdr>
        </w:div>
        <w:div w:id="121311628">
          <w:marLeft w:val="547"/>
          <w:marRight w:val="0"/>
          <w:marTop w:val="0"/>
          <w:marBottom w:val="0"/>
          <w:divBdr>
            <w:top w:val="none" w:sz="0" w:space="0" w:color="auto"/>
            <w:left w:val="none" w:sz="0" w:space="0" w:color="auto"/>
            <w:bottom w:val="none" w:sz="0" w:space="0" w:color="auto"/>
            <w:right w:val="none" w:sz="0" w:space="0" w:color="auto"/>
          </w:divBdr>
        </w:div>
        <w:div w:id="1182934825">
          <w:marLeft w:val="547"/>
          <w:marRight w:val="0"/>
          <w:marTop w:val="0"/>
          <w:marBottom w:val="0"/>
          <w:divBdr>
            <w:top w:val="none" w:sz="0" w:space="0" w:color="auto"/>
            <w:left w:val="none" w:sz="0" w:space="0" w:color="auto"/>
            <w:bottom w:val="none" w:sz="0" w:space="0" w:color="auto"/>
            <w:right w:val="none" w:sz="0" w:space="0" w:color="auto"/>
          </w:divBdr>
        </w:div>
      </w:divsChild>
    </w:div>
    <w:div w:id="1695305676">
      <w:bodyDiv w:val="1"/>
      <w:marLeft w:val="0"/>
      <w:marRight w:val="0"/>
      <w:marTop w:val="0"/>
      <w:marBottom w:val="0"/>
      <w:divBdr>
        <w:top w:val="none" w:sz="0" w:space="0" w:color="auto"/>
        <w:left w:val="none" w:sz="0" w:space="0" w:color="auto"/>
        <w:bottom w:val="none" w:sz="0" w:space="0" w:color="auto"/>
        <w:right w:val="none" w:sz="0" w:space="0" w:color="auto"/>
      </w:divBdr>
      <w:divsChild>
        <w:div w:id="1771776526">
          <w:marLeft w:val="547"/>
          <w:marRight w:val="0"/>
          <w:marTop w:val="0"/>
          <w:marBottom w:val="0"/>
          <w:divBdr>
            <w:top w:val="none" w:sz="0" w:space="0" w:color="auto"/>
            <w:left w:val="none" w:sz="0" w:space="0" w:color="auto"/>
            <w:bottom w:val="none" w:sz="0" w:space="0" w:color="auto"/>
            <w:right w:val="none" w:sz="0" w:space="0" w:color="auto"/>
          </w:divBdr>
        </w:div>
        <w:div w:id="1472864575">
          <w:marLeft w:val="547"/>
          <w:marRight w:val="0"/>
          <w:marTop w:val="0"/>
          <w:marBottom w:val="0"/>
          <w:divBdr>
            <w:top w:val="none" w:sz="0" w:space="0" w:color="auto"/>
            <w:left w:val="none" w:sz="0" w:space="0" w:color="auto"/>
            <w:bottom w:val="none" w:sz="0" w:space="0" w:color="auto"/>
            <w:right w:val="none" w:sz="0" w:space="0" w:color="auto"/>
          </w:divBdr>
        </w:div>
        <w:div w:id="1392576652">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about:blank" TargetMode="External"/><Relationship Id="rId13" Type="http://schemas.openxmlformats.org/officeDocument/2006/relationships/hyperlink" Target="https://youtu.be/gt1fYQO8qG0" TargetMode="External"/><Relationship Id="rId3" Type="http://schemas.openxmlformats.org/officeDocument/2006/relationships/settings" Target="settings.xml"/><Relationship Id="rId7" Type="http://schemas.openxmlformats.org/officeDocument/2006/relationships/hyperlink" Target="about:blank" TargetMode="External"/><Relationship Id="rId12" Type="http://schemas.openxmlformats.org/officeDocument/2006/relationships/hyperlink" Target="about:blank"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about:blank"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about:blank" TargetMode="External"/><Relationship Id="rId4" Type="http://schemas.openxmlformats.org/officeDocument/2006/relationships/webSettings" Target="webSettings.xml"/><Relationship Id="rId9" Type="http://schemas.openxmlformats.org/officeDocument/2006/relationships/hyperlink" Target="https://exchange.telstra.com.au/predictions-2019s-biggest-tech-trends/On%2010%20November%202019" TargetMode="Externa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98</TotalTime>
  <Pages>10</Pages>
  <Words>2627</Words>
  <Characters>14975</Characters>
  <Application>Microsoft Office Word</Application>
  <DocSecurity>0</DocSecurity>
  <Lines>124</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17567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Sumangala Antonypillai</dc:creator>
  <cp:keywords/>
  <dc:description/>
  <cp:lastModifiedBy>Sumangala Antonypillai</cp:lastModifiedBy>
  <cp:revision>10</cp:revision>
  <dcterms:created xsi:type="dcterms:W3CDTF">2019-11-25T09:32:00Z</dcterms:created>
  <dcterms:modified xsi:type="dcterms:W3CDTF">2019-11-26T12:56:00Z</dcterms:modified>
</cp:coreProperties>
</file>