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5D08E" w14:textId="27CB1450" w:rsidR="00BA5E2C" w:rsidRDefault="00BA5E2C">
      <w:pPr>
        <w:rPr>
          <w:rFonts w:ascii="Arial" w:hAnsi="Arial" w:cs="Arial"/>
          <w:b/>
          <w:bCs/>
          <w:color w:val="000000" w:themeColor="text1"/>
          <w:lang w:val="en-GB"/>
        </w:rPr>
      </w:pPr>
      <w:r w:rsidRPr="00BA5E2C">
        <w:rPr>
          <w:rFonts w:ascii="Aptos" w:eastAsia="Aptos" w:hAnsi="Aptos" w:cs="Times New Roman"/>
          <w:b/>
          <w:bCs/>
          <w:noProof/>
          <w:kern w:val="2"/>
          <w:sz w:val="24"/>
          <w:szCs w:val="24"/>
          <w:lang w:val="en-GB"/>
          <w14:ligatures w14:val="standardContextual"/>
        </w:rPr>
        <w:drawing>
          <wp:inline distT="0" distB="0" distL="0" distR="0" wp14:anchorId="34D716B5" wp14:editId="65F4C930">
            <wp:extent cx="2200910" cy="743585"/>
            <wp:effectExtent l="0" t="0" r="8890" b="0"/>
            <wp:docPr id="148066027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660277" name="Picture 1"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743585"/>
                    </a:xfrm>
                    <a:prstGeom prst="rect">
                      <a:avLst/>
                    </a:prstGeom>
                    <a:noFill/>
                  </pic:spPr>
                </pic:pic>
              </a:graphicData>
            </a:graphic>
          </wp:inline>
        </w:drawing>
      </w:r>
    </w:p>
    <w:p w14:paraId="742CC861" w14:textId="77777777" w:rsidR="00BA5E2C" w:rsidRPr="00BA5E2C" w:rsidRDefault="00BA5E2C" w:rsidP="00BA5E2C">
      <w:pPr>
        <w:suppressAutoHyphens/>
        <w:spacing w:before="120" w:after="120" w:line="360" w:lineRule="auto"/>
        <w:jc w:val="both"/>
        <w:rPr>
          <w:rFonts w:ascii="Segoe UI" w:eastAsia="Calibri" w:hAnsi="Segoe UI" w:cs="Segoe UI"/>
          <w:b/>
          <w:bCs/>
          <w:color w:val="212529"/>
          <w:kern w:val="2"/>
          <w:sz w:val="28"/>
          <w:szCs w:val="28"/>
          <w:lang w:val="en-GB"/>
          <w14:ligatures w14:val="standardContextual"/>
        </w:rPr>
      </w:pPr>
      <w:r w:rsidRPr="00BA5E2C">
        <w:rPr>
          <w:rFonts w:ascii="Segoe UI" w:eastAsia="Calibri" w:hAnsi="Segoe UI" w:cs="Segoe UI"/>
          <w:b/>
          <w:bCs/>
          <w:color w:val="212529"/>
          <w:kern w:val="2"/>
          <w:sz w:val="28"/>
          <w:szCs w:val="28"/>
          <w:lang w:val="en-GB"/>
          <w14:ligatures w14:val="standardContextual"/>
        </w:rPr>
        <w:t>Doctorate in Professional Practice</w:t>
      </w:r>
    </w:p>
    <w:tbl>
      <w:tblPr>
        <w:tblStyle w:val="TableGrid1"/>
        <w:tblpPr w:leftFromText="180" w:rightFromText="180" w:vertAnchor="text" w:horzAnchor="margin" w:tblpY="9"/>
        <w:tblW w:w="936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2"/>
        <w:gridCol w:w="5968"/>
      </w:tblGrid>
      <w:tr w:rsidR="00BA5E2C" w:rsidRPr="00BA5E2C" w14:paraId="21AD1E63"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32093D4B"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Student Name: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7812D21" w14:textId="77777777" w:rsidR="00BA5E2C" w:rsidRPr="00BA5E2C" w:rsidRDefault="00BA5E2C" w:rsidP="00BA5E2C">
            <w:pPr>
              <w:suppressAutoHyphens/>
              <w:spacing w:before="120" w:after="120" w:line="360" w:lineRule="auto"/>
              <w:rPr>
                <w:rFonts w:ascii="Calibri" w:eastAsia="Arial" w:hAnsi="Calibri" w:cs="Calibri"/>
                <w:b/>
                <w:bCs/>
                <w:color w:val="000000"/>
                <w:sz w:val="28"/>
                <w:szCs w:val="28"/>
                <w:lang w:eastAsia="ar-SA"/>
              </w:rPr>
            </w:pPr>
            <w:r w:rsidRPr="00BA5E2C">
              <w:rPr>
                <w:rFonts w:ascii="Calibri" w:eastAsia="Arial" w:hAnsi="Calibri" w:cs="Calibri"/>
                <w:b/>
                <w:bCs/>
                <w:color w:val="000000"/>
                <w:sz w:val="28"/>
                <w:szCs w:val="28"/>
                <w:lang w:eastAsia="ar-SA"/>
              </w:rPr>
              <w:t>Karine Williams</w:t>
            </w:r>
          </w:p>
        </w:tc>
      </w:tr>
      <w:tr w:rsidR="00BA5E2C" w:rsidRPr="00BA5E2C" w14:paraId="726DA24D"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097375D0"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Student Number:</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D7B68BB" w14:textId="77777777" w:rsidR="00BA5E2C" w:rsidRPr="00BA5E2C" w:rsidRDefault="00BA5E2C" w:rsidP="00BA5E2C">
            <w:pPr>
              <w:suppressAutoHyphens/>
              <w:spacing w:before="120" w:after="120" w:line="360" w:lineRule="auto"/>
              <w:rPr>
                <w:rFonts w:ascii="Calibri" w:eastAsia="Arial" w:hAnsi="Calibri" w:cs="Calibri"/>
                <w:b/>
                <w:bCs/>
                <w:color w:val="000000"/>
                <w:sz w:val="28"/>
                <w:szCs w:val="28"/>
                <w:lang w:eastAsia="ar-SA"/>
              </w:rPr>
            </w:pPr>
            <w:r w:rsidRPr="00BA5E2C">
              <w:rPr>
                <w:rFonts w:ascii="Calibri" w:eastAsia="Arial" w:hAnsi="Calibri" w:cs="Calibri"/>
                <w:b/>
                <w:bCs/>
                <w:color w:val="000000"/>
                <w:sz w:val="28"/>
                <w:szCs w:val="28"/>
                <w:lang w:eastAsia="ar-SA"/>
              </w:rPr>
              <w:t>2414373</w:t>
            </w:r>
          </w:p>
        </w:tc>
      </w:tr>
      <w:tr w:rsidR="00BA5E2C" w:rsidRPr="00BA5E2C" w14:paraId="5CD6339C"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72F8520A"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Module No:</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B704364" w14:textId="4700DBB4" w:rsidR="00BA5E2C" w:rsidRPr="00BA5E2C" w:rsidRDefault="00BA5E2C" w:rsidP="00BA5E2C">
            <w:pPr>
              <w:suppressAutoHyphens/>
              <w:spacing w:before="120" w:after="120" w:line="360" w:lineRule="auto"/>
              <w:rPr>
                <w:rFonts w:ascii="Calibri" w:eastAsia="Tahoma" w:hAnsi="Calibri" w:cs="Calibri"/>
                <w:b/>
                <w:bCs/>
                <w:color w:val="000000"/>
                <w:sz w:val="28"/>
                <w:szCs w:val="28"/>
                <w:lang w:eastAsia="ar-SA"/>
              </w:rPr>
            </w:pPr>
            <w:proofErr w:type="spellStart"/>
            <w:r w:rsidRPr="00BA5E2C">
              <w:rPr>
                <w:rFonts w:ascii="Calibri" w:eastAsia="Tahoma" w:hAnsi="Calibri" w:cs="Calibri"/>
                <w:b/>
                <w:bCs/>
                <w:color w:val="000000"/>
                <w:sz w:val="28"/>
                <w:szCs w:val="28"/>
                <w:lang w:eastAsia="ar-SA"/>
              </w:rPr>
              <w:t>BMDP</w:t>
            </w:r>
            <w:proofErr w:type="spellEnd"/>
            <w:r w:rsidRPr="00BA5E2C">
              <w:rPr>
                <w:rFonts w:ascii="Calibri" w:eastAsia="Tahoma" w:hAnsi="Calibri" w:cs="Calibri"/>
                <w:b/>
                <w:bCs/>
                <w:color w:val="000000"/>
                <w:sz w:val="28"/>
                <w:szCs w:val="28"/>
                <w:lang w:eastAsia="ar-SA"/>
              </w:rPr>
              <w:t xml:space="preserve"> 70</w:t>
            </w:r>
            <w:r>
              <w:rPr>
                <w:rFonts w:ascii="Calibri" w:eastAsia="Tahoma" w:hAnsi="Calibri" w:cs="Calibri"/>
                <w:b/>
                <w:bCs/>
                <w:color w:val="000000"/>
                <w:sz w:val="28"/>
                <w:szCs w:val="28"/>
                <w:lang w:eastAsia="ar-SA"/>
              </w:rPr>
              <w:t>02</w:t>
            </w:r>
          </w:p>
        </w:tc>
      </w:tr>
      <w:tr w:rsidR="00BA5E2C" w:rsidRPr="00BA5E2C" w14:paraId="53B9A6E1" w14:textId="77777777" w:rsidTr="0067386A">
        <w:trPr>
          <w:trHeight w:val="300"/>
        </w:trPr>
        <w:tc>
          <w:tcPr>
            <w:tcW w:w="3392" w:type="dxa"/>
            <w:tcBorders>
              <w:top w:val="single" w:sz="6" w:space="0" w:color="000000"/>
              <w:left w:val="single" w:sz="6" w:space="0" w:color="000000"/>
              <w:bottom w:val="single" w:sz="6" w:space="0" w:color="000000"/>
              <w:right w:val="single" w:sz="6" w:space="0" w:color="000000"/>
            </w:tcBorders>
            <w:shd w:val="clear" w:color="auto" w:fill="D9D9D9"/>
            <w:tcMar>
              <w:left w:w="105" w:type="dxa"/>
              <w:right w:w="105" w:type="dxa"/>
            </w:tcMar>
          </w:tcPr>
          <w:p w14:paraId="2086D12C" w14:textId="77777777" w:rsidR="00BA5E2C" w:rsidRPr="00BA5E2C" w:rsidRDefault="00BA5E2C" w:rsidP="00BA5E2C">
            <w:pPr>
              <w:suppressAutoHyphens/>
              <w:spacing w:before="120" w:after="120" w:line="360" w:lineRule="auto"/>
              <w:rPr>
                <w:rFonts w:ascii="Calibri" w:eastAsia="Tahoma" w:hAnsi="Calibri" w:cs="Calibri"/>
                <w:color w:val="000000"/>
                <w:sz w:val="28"/>
                <w:szCs w:val="28"/>
                <w:lang w:eastAsia="ar-SA"/>
              </w:rPr>
            </w:pPr>
            <w:r w:rsidRPr="00BA5E2C">
              <w:rPr>
                <w:rFonts w:ascii="Calibri" w:eastAsia="Tahoma" w:hAnsi="Calibri" w:cs="Calibri"/>
                <w:color w:val="000000"/>
                <w:sz w:val="28"/>
                <w:szCs w:val="28"/>
                <w:lang w:eastAsia="ar-SA"/>
              </w:rPr>
              <w:t>Module Title:</w:t>
            </w:r>
          </w:p>
        </w:tc>
        <w:tc>
          <w:tcPr>
            <w:tcW w:w="5968"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F13553B" w14:textId="77777777" w:rsidR="00BA5E2C" w:rsidRPr="00BA5E2C" w:rsidRDefault="00BA5E2C" w:rsidP="00BA5E2C">
            <w:pPr>
              <w:suppressAutoHyphens/>
              <w:spacing w:before="120" w:after="120" w:line="360" w:lineRule="auto"/>
              <w:rPr>
                <w:rFonts w:ascii="Calibri" w:eastAsia="Tahoma" w:hAnsi="Calibri" w:cs="Calibri"/>
                <w:b/>
                <w:bCs/>
                <w:color w:val="000000"/>
                <w:sz w:val="28"/>
                <w:szCs w:val="28"/>
                <w:lang w:eastAsia="ar-SA"/>
              </w:rPr>
            </w:pPr>
            <w:r w:rsidRPr="00BA5E2C">
              <w:rPr>
                <w:rFonts w:ascii="Calibri" w:eastAsia="Tahoma" w:hAnsi="Calibri" w:cs="Calibri"/>
                <w:b/>
                <w:bCs/>
                <w:color w:val="000000"/>
                <w:sz w:val="28"/>
                <w:szCs w:val="28"/>
                <w:lang w:eastAsia="ar-SA"/>
              </w:rPr>
              <w:t>Review of Professional Learning</w:t>
            </w:r>
          </w:p>
        </w:tc>
      </w:tr>
    </w:tbl>
    <w:p w14:paraId="0412F2AF" w14:textId="77777777" w:rsidR="00BA5E2C" w:rsidRPr="00BA5E2C" w:rsidRDefault="00BA5E2C">
      <w:pPr>
        <w:rPr>
          <w:rFonts w:ascii="Arial" w:hAnsi="Arial" w:cs="Arial"/>
          <w:b/>
          <w:bCs/>
          <w:color w:val="000000" w:themeColor="text1"/>
          <w:lang w:val="en-GB"/>
        </w:rPr>
      </w:pPr>
    </w:p>
    <w:p w14:paraId="4B902646" w14:textId="77777777" w:rsidR="00BA5E2C" w:rsidRPr="00BA5E2C" w:rsidRDefault="00BA5E2C" w:rsidP="00BA5E2C">
      <w:pPr>
        <w:suppressAutoHyphens/>
        <w:spacing w:before="120" w:after="120" w:line="360" w:lineRule="auto"/>
        <w:jc w:val="both"/>
        <w:rPr>
          <w:rFonts w:ascii="Calibri" w:eastAsia="Tahoma" w:hAnsi="Calibri" w:cs="Calibri"/>
          <w:color w:val="000000"/>
          <w:sz w:val="24"/>
          <w:szCs w:val="24"/>
          <w:lang w:val="en-GB" w:eastAsia="ar-SA"/>
        </w:rPr>
      </w:pPr>
      <w:r w:rsidRPr="00BA5E2C">
        <w:rPr>
          <w:rFonts w:ascii="Calibri" w:eastAsia="Tahoma" w:hAnsi="Calibri" w:cs="Calibri"/>
          <w:b/>
          <w:bCs/>
          <w:color w:val="000000"/>
          <w:sz w:val="24"/>
          <w:szCs w:val="24"/>
          <w:lang w:val="en-GB" w:eastAsia="ar-SA"/>
        </w:rPr>
        <w:t>Statement of Confirmation of Authenticity</w:t>
      </w:r>
    </w:p>
    <w:p w14:paraId="7419262A" w14:textId="77777777" w:rsidR="00BA5E2C" w:rsidRPr="00BA5E2C" w:rsidRDefault="00BA5E2C" w:rsidP="00BA5E2C">
      <w:pPr>
        <w:suppressAutoHyphens/>
        <w:spacing w:before="120" w:after="120" w:line="240" w:lineRule="auto"/>
        <w:jc w:val="both"/>
        <w:rPr>
          <w:rFonts w:ascii="Calibri" w:eastAsia="Tahoma" w:hAnsi="Calibri" w:cs="Calibri"/>
          <w:color w:val="000000"/>
          <w:lang w:val="en-GB" w:eastAsia="ar-SA"/>
        </w:rPr>
      </w:pPr>
      <w:r w:rsidRPr="00BA5E2C">
        <w:rPr>
          <w:rFonts w:ascii="Calibri" w:eastAsia="Tahoma" w:hAnsi="Calibri" w:cs="Calibri"/>
          <w:color w:val="000000"/>
          <w:lang w:val="en-GB" w:eastAsia="ar-S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3DA1831" w14:textId="77777777" w:rsidR="00BA5E2C" w:rsidRPr="00BA5E2C" w:rsidRDefault="00BA5E2C" w:rsidP="00BA5E2C">
      <w:pPr>
        <w:spacing w:after="160" w:line="240" w:lineRule="auto"/>
        <w:rPr>
          <w:rFonts w:ascii="Calibri" w:eastAsia="Calibri" w:hAnsi="Calibri" w:cs="Calibri"/>
          <w:color w:val="000000"/>
          <w:sz w:val="24"/>
          <w:lang w:val="en-GB" w:eastAsia="ar-SA"/>
        </w:rPr>
      </w:pPr>
      <w:r w:rsidRPr="00BA5E2C">
        <w:rPr>
          <w:rFonts w:ascii="Calibri" w:eastAsia="Tahoma" w:hAnsi="Calibri" w:cs="Calibri"/>
          <w:color w:val="000000"/>
          <w:lang w:val="en-GB" w:eastAsia="ar-SA"/>
        </w:rPr>
        <w:t>Attention is drawn to the plagiarism and unfair practice policies of both the University and of ILM.</w:t>
      </w:r>
    </w:p>
    <w:p w14:paraId="60DEB7E3" w14:textId="4775FCD5" w:rsidR="00BA5E2C" w:rsidRPr="00BA5E2C" w:rsidRDefault="00BA5E2C" w:rsidP="00BA5E2C">
      <w:pPr>
        <w:spacing w:after="160" w:line="278" w:lineRule="auto"/>
        <w:rPr>
          <w:rFonts w:ascii="Aptos" w:eastAsia="Aptos" w:hAnsi="Aptos" w:cs="Times New Roman"/>
          <w:b/>
          <w:bCs/>
          <w:kern w:val="2"/>
          <w:sz w:val="24"/>
          <w:szCs w:val="24"/>
          <w:lang w:val="en-GB"/>
          <w14:ligatures w14:val="standardContextual"/>
        </w:rPr>
      </w:pPr>
      <w:r w:rsidRPr="00BA5E2C">
        <w:rPr>
          <w:rFonts w:ascii="Calibri" w:eastAsia="Calibri" w:hAnsi="Calibri" w:cs="Calibri"/>
          <w:color w:val="000000"/>
          <w:lang w:val="en-GB" w:eastAsia="ar-SA"/>
        </w:rPr>
        <w:t xml:space="preserve">I acknowledge the use of Grammarly (https://www.grammarly.com/) </w:t>
      </w:r>
      <w:proofErr w:type="gramStart"/>
      <w:r w:rsidRPr="00BA5E2C">
        <w:rPr>
          <w:rFonts w:ascii="Calibri" w:eastAsia="Calibri" w:hAnsi="Calibri" w:cs="Calibri"/>
          <w:color w:val="000000"/>
          <w:lang w:val="en-GB" w:eastAsia="ar-SA"/>
        </w:rPr>
        <w:t>on</w:t>
      </w:r>
      <w:proofErr w:type="gramEnd"/>
      <w:r w:rsidRPr="00BA5E2C">
        <w:rPr>
          <w:rFonts w:ascii="Calibri" w:eastAsia="Calibri" w:hAnsi="Calibri" w:cs="Calibri"/>
          <w:color w:val="000000"/>
          <w:lang w:val="en-GB" w:eastAsia="ar-SA"/>
        </w:rPr>
        <w:t xml:space="preserve"> April </w:t>
      </w:r>
      <w:r>
        <w:rPr>
          <w:rFonts w:ascii="Calibri" w:eastAsia="Calibri" w:hAnsi="Calibri" w:cs="Calibri"/>
          <w:color w:val="000000"/>
          <w:lang w:val="en-GB" w:eastAsia="ar-SA"/>
        </w:rPr>
        <w:t xml:space="preserve">through Aug </w:t>
      </w:r>
      <w:r w:rsidRPr="00BA5E2C">
        <w:rPr>
          <w:rFonts w:ascii="Calibri" w:eastAsia="Calibri" w:hAnsi="Calibri" w:cs="Calibri"/>
          <w:color w:val="000000"/>
          <w:lang w:val="en-GB" w:eastAsia="ar-SA"/>
        </w:rPr>
        <w:t>2025 to check my work</w:t>
      </w:r>
      <w:r>
        <w:rPr>
          <w:rFonts w:ascii="Calibri" w:eastAsia="Calibri" w:hAnsi="Calibri" w:cs="Calibri"/>
          <w:color w:val="000000"/>
          <w:lang w:val="en-GB" w:eastAsia="ar-SA"/>
        </w:rPr>
        <w:t>.</w:t>
      </w:r>
      <w:r w:rsidRPr="00BA5E2C">
        <w:rPr>
          <w:rFonts w:ascii="Calibri" w:eastAsia="Calibri" w:hAnsi="Calibri" w:cs="Calibri"/>
          <w:color w:val="000000"/>
          <w:lang w:val="en-GB" w:eastAsia="ar-SA"/>
        </w:rPr>
        <w:t xml:space="preserve"> I confirm that I have not presented any </w:t>
      </w:r>
      <w:r>
        <w:rPr>
          <w:rFonts w:ascii="Calibri" w:eastAsia="Calibri" w:hAnsi="Calibri" w:cs="Calibri"/>
          <w:color w:val="000000"/>
          <w:lang w:val="en-GB" w:eastAsia="ar-SA"/>
        </w:rPr>
        <w:t>AI-generated</w:t>
      </w:r>
      <w:r w:rsidRPr="00BA5E2C">
        <w:rPr>
          <w:rFonts w:ascii="Calibri" w:eastAsia="Calibri" w:hAnsi="Calibri" w:cs="Calibri"/>
          <w:color w:val="000000"/>
          <w:lang w:val="en-GB" w:eastAsia="ar-SA"/>
        </w:rPr>
        <w:t xml:space="preserve"> text as my own work. I acknowledge the use of ChatGPT (https://chatgpt.com/) between 6</w:t>
      </w:r>
      <w:r w:rsidRPr="00BA5E2C">
        <w:rPr>
          <w:rFonts w:ascii="Calibri" w:eastAsia="Calibri" w:hAnsi="Calibri" w:cs="Calibri"/>
          <w:color w:val="000000"/>
          <w:vertAlign w:val="superscript"/>
          <w:lang w:val="en-GB" w:eastAsia="ar-SA"/>
        </w:rPr>
        <w:t>th</w:t>
      </w:r>
      <w:r w:rsidRPr="00BA5E2C">
        <w:rPr>
          <w:rFonts w:ascii="Calibri" w:eastAsia="Calibri" w:hAnsi="Calibri" w:cs="Calibri"/>
          <w:color w:val="000000"/>
          <w:lang w:val="en-GB" w:eastAsia="ar-SA"/>
        </w:rPr>
        <w:t xml:space="preserve"> May 2025 – </w:t>
      </w:r>
      <w:r>
        <w:rPr>
          <w:rFonts w:ascii="Calibri" w:eastAsia="Calibri" w:hAnsi="Calibri" w:cs="Calibri"/>
          <w:color w:val="000000"/>
          <w:lang w:val="en-GB" w:eastAsia="ar-SA"/>
        </w:rPr>
        <w:t>15</w:t>
      </w:r>
      <w:r w:rsidRPr="00BA5E2C">
        <w:rPr>
          <w:rFonts w:ascii="Calibri" w:eastAsia="Calibri" w:hAnsi="Calibri" w:cs="Calibri"/>
          <w:color w:val="000000"/>
          <w:vertAlign w:val="superscript"/>
          <w:lang w:val="en-GB" w:eastAsia="ar-SA"/>
        </w:rPr>
        <w:t>th</w:t>
      </w:r>
      <w:r w:rsidRPr="00BA5E2C">
        <w:rPr>
          <w:rFonts w:ascii="Calibri" w:eastAsia="Calibri" w:hAnsi="Calibri" w:cs="Calibri"/>
          <w:color w:val="000000"/>
          <w:lang w:val="en-GB" w:eastAsia="ar-SA"/>
        </w:rPr>
        <w:t xml:space="preserve"> A</w:t>
      </w:r>
      <w:r>
        <w:rPr>
          <w:rFonts w:ascii="Calibri" w:eastAsia="Calibri" w:hAnsi="Calibri" w:cs="Calibri"/>
          <w:color w:val="000000"/>
          <w:lang w:val="en-GB" w:eastAsia="ar-SA"/>
        </w:rPr>
        <w:t>ug</w:t>
      </w:r>
      <w:r w:rsidRPr="00BA5E2C">
        <w:rPr>
          <w:rFonts w:ascii="Calibri" w:eastAsia="Calibri" w:hAnsi="Calibri" w:cs="Calibri"/>
          <w:color w:val="000000"/>
          <w:lang w:val="en-GB" w:eastAsia="ar-SA"/>
        </w:rPr>
        <w:t xml:space="preserve"> 2025 to search for seminal work on</w:t>
      </w:r>
      <w:r>
        <w:rPr>
          <w:rFonts w:ascii="Calibri" w:eastAsia="Calibri" w:hAnsi="Calibri" w:cs="Calibri"/>
          <w:color w:val="000000"/>
          <w:lang w:val="en-GB" w:eastAsia="ar-SA"/>
        </w:rPr>
        <w:t xml:space="preserve"> </w:t>
      </w:r>
      <w:proofErr w:type="spellStart"/>
      <w:r>
        <w:rPr>
          <w:rFonts w:ascii="Calibri" w:eastAsia="Calibri" w:hAnsi="Calibri" w:cs="Calibri"/>
          <w:color w:val="000000"/>
          <w:lang w:val="en-GB" w:eastAsia="ar-SA"/>
        </w:rPr>
        <w:t>on</w:t>
      </w:r>
      <w:proofErr w:type="spellEnd"/>
      <w:r>
        <w:rPr>
          <w:rFonts w:ascii="Calibri" w:eastAsia="Calibri" w:hAnsi="Calibri" w:cs="Calibri"/>
          <w:color w:val="000000"/>
          <w:lang w:val="en-GB" w:eastAsia="ar-SA"/>
        </w:rPr>
        <w:t xml:space="preserve"> the review subject, in line with UWTSD Policy on AI (Aug 15). </w:t>
      </w:r>
      <w:r w:rsidRPr="00BA5E2C">
        <w:rPr>
          <w:rFonts w:ascii="Calibri" w:eastAsia="Calibri" w:hAnsi="Calibri" w:cs="Calibri"/>
          <w:color w:val="000000"/>
          <w:lang w:val="en-GB" w:eastAsia="ar-SA"/>
        </w:rPr>
        <w:t xml:space="preserve">I confirm that I have not presented any AI-generated text as my work. </w:t>
      </w:r>
      <w:r>
        <w:rPr>
          <w:rFonts w:ascii="Calibri" w:eastAsia="Calibri" w:hAnsi="Calibri" w:cs="Calibri"/>
          <w:color w:val="000000"/>
          <w:lang w:val="en-GB" w:eastAsia="ar-SA"/>
        </w:rPr>
        <w:t>Additional use of AI for research is detailed in the assessment text.</w:t>
      </w:r>
    </w:p>
    <w:p w14:paraId="187BB095" w14:textId="77777777" w:rsidR="00BA5E2C" w:rsidRPr="00BA5E2C" w:rsidRDefault="00BA5E2C">
      <w:pPr>
        <w:rPr>
          <w:rFonts w:ascii="Arial" w:hAnsi="Arial" w:cs="Arial"/>
          <w:b/>
          <w:bCs/>
          <w:color w:val="000000" w:themeColor="text1"/>
          <w:lang w:val="en-GB"/>
        </w:rPr>
      </w:pPr>
    </w:p>
    <w:p w14:paraId="040ACE4D" w14:textId="77777777" w:rsidR="00BA5E2C" w:rsidRDefault="00BA5E2C">
      <w:pPr>
        <w:rPr>
          <w:rFonts w:ascii="Arial" w:hAnsi="Arial" w:cs="Arial"/>
          <w:b/>
          <w:bCs/>
          <w:color w:val="000000" w:themeColor="text1"/>
        </w:rPr>
      </w:pPr>
    </w:p>
    <w:p w14:paraId="64F08FEC" w14:textId="77777777" w:rsidR="00BA5E2C" w:rsidRDefault="00BA5E2C">
      <w:pPr>
        <w:rPr>
          <w:rFonts w:ascii="Arial" w:hAnsi="Arial" w:cs="Arial"/>
          <w:b/>
          <w:bCs/>
          <w:color w:val="000000" w:themeColor="text1"/>
        </w:rPr>
      </w:pPr>
    </w:p>
    <w:p w14:paraId="03BF2861" w14:textId="77777777" w:rsidR="00A44044" w:rsidRDefault="00A44044" w:rsidP="00A92172">
      <w:pPr>
        <w:spacing w:line="480" w:lineRule="auto"/>
        <w:rPr>
          <w:rFonts w:ascii="Arial" w:hAnsi="Arial" w:cs="Arial"/>
          <w:b/>
          <w:bCs/>
          <w:color w:val="000000" w:themeColor="text1"/>
        </w:rPr>
      </w:pPr>
    </w:p>
    <w:sdt>
      <w:sdtPr>
        <w:rPr>
          <w:rFonts w:asciiTheme="minorHAnsi" w:eastAsiaTheme="minorEastAsia" w:hAnsiTheme="minorHAnsi" w:cs="Arial"/>
          <w:b w:val="0"/>
          <w:bCs w:val="0"/>
          <w:color w:val="auto"/>
          <w:sz w:val="22"/>
          <w:szCs w:val="22"/>
        </w:rPr>
        <w:id w:val="-361283096"/>
        <w:docPartObj>
          <w:docPartGallery w:val="Table of Contents"/>
          <w:docPartUnique/>
        </w:docPartObj>
      </w:sdtPr>
      <w:sdtEndPr>
        <w:rPr>
          <w:rFonts w:cstheme="minorBidi"/>
          <w:noProof/>
        </w:rPr>
      </w:sdtEndPr>
      <w:sdtContent>
        <w:p w14:paraId="48BEA65D" w14:textId="14AABC73" w:rsidR="00A44044" w:rsidRPr="00A44044" w:rsidRDefault="00A44044">
          <w:pPr>
            <w:pStyle w:val="TOCHeading"/>
            <w:rPr>
              <w:rFonts w:cs="Arial"/>
            </w:rPr>
          </w:pPr>
          <w:r w:rsidRPr="00A44044">
            <w:rPr>
              <w:rFonts w:cs="Arial"/>
            </w:rPr>
            <w:t>Table of Contents</w:t>
          </w:r>
        </w:p>
        <w:p w14:paraId="089A0A37" w14:textId="468F5D33" w:rsidR="002534C5" w:rsidRPr="00F0289B" w:rsidRDefault="00A44044">
          <w:pPr>
            <w:pStyle w:val="TOC1"/>
            <w:tabs>
              <w:tab w:val="right" w:leader="dot" w:pos="8963"/>
            </w:tabs>
            <w:rPr>
              <w:rFonts w:ascii="Arial" w:hAnsi="Arial" w:cs="Arial"/>
              <w:noProof/>
              <w:kern w:val="2"/>
              <w:sz w:val="24"/>
              <w:szCs w:val="24"/>
              <w:lang w:val="en-GB" w:eastAsia="en-GB"/>
              <w14:ligatures w14:val="standardContextual"/>
            </w:rPr>
          </w:pPr>
          <w:r w:rsidRPr="00F0289B">
            <w:rPr>
              <w:rFonts w:ascii="Arial" w:hAnsi="Arial" w:cs="Arial"/>
              <w:b/>
              <w:bCs/>
            </w:rPr>
            <w:fldChar w:fldCharType="begin"/>
          </w:r>
          <w:r w:rsidRPr="00F0289B">
            <w:rPr>
              <w:rFonts w:ascii="Arial" w:hAnsi="Arial" w:cs="Arial"/>
              <w:b/>
              <w:bCs/>
            </w:rPr>
            <w:instrText xml:space="preserve"> TOC \o "1-3" \h \z \u </w:instrText>
          </w:r>
          <w:r w:rsidRPr="00F0289B">
            <w:rPr>
              <w:rFonts w:ascii="Arial" w:hAnsi="Arial" w:cs="Arial"/>
              <w:b/>
              <w:bCs/>
            </w:rPr>
            <w:fldChar w:fldCharType="separate"/>
          </w:r>
          <w:hyperlink w:anchor="_Toc206171120" w:history="1">
            <w:r w:rsidR="002534C5" w:rsidRPr="00F0289B">
              <w:rPr>
                <w:rStyle w:val="Hyperlink"/>
                <w:rFonts w:ascii="Arial" w:hAnsi="Arial" w:cs="Arial"/>
                <w:noProof/>
              </w:rPr>
              <w:t>1. Introduction.</w:t>
            </w:r>
            <w:r w:rsidR="002534C5" w:rsidRPr="00F0289B">
              <w:rPr>
                <w:rFonts w:ascii="Arial" w:hAnsi="Arial" w:cs="Arial"/>
                <w:noProof/>
                <w:webHidden/>
              </w:rPr>
              <w:tab/>
            </w:r>
            <w:r w:rsidR="002534C5" w:rsidRPr="00F0289B">
              <w:rPr>
                <w:rFonts w:ascii="Arial" w:hAnsi="Arial" w:cs="Arial"/>
                <w:noProof/>
                <w:webHidden/>
              </w:rPr>
              <w:fldChar w:fldCharType="begin"/>
            </w:r>
            <w:r w:rsidR="002534C5" w:rsidRPr="00F0289B">
              <w:rPr>
                <w:rFonts w:ascii="Arial" w:hAnsi="Arial" w:cs="Arial"/>
                <w:noProof/>
                <w:webHidden/>
              </w:rPr>
              <w:instrText xml:space="preserve"> PAGEREF _Toc206171120 \h </w:instrText>
            </w:r>
            <w:r w:rsidR="002534C5" w:rsidRPr="00F0289B">
              <w:rPr>
                <w:rFonts w:ascii="Arial" w:hAnsi="Arial" w:cs="Arial"/>
                <w:noProof/>
                <w:webHidden/>
              </w:rPr>
            </w:r>
            <w:r w:rsidR="002534C5" w:rsidRPr="00F0289B">
              <w:rPr>
                <w:rFonts w:ascii="Arial" w:hAnsi="Arial" w:cs="Arial"/>
                <w:noProof/>
                <w:webHidden/>
              </w:rPr>
              <w:fldChar w:fldCharType="separate"/>
            </w:r>
            <w:r w:rsidR="002534C5" w:rsidRPr="00F0289B">
              <w:rPr>
                <w:rFonts w:ascii="Arial" w:hAnsi="Arial" w:cs="Arial"/>
                <w:noProof/>
                <w:webHidden/>
              </w:rPr>
              <w:t>4</w:t>
            </w:r>
            <w:r w:rsidR="002534C5" w:rsidRPr="00F0289B">
              <w:rPr>
                <w:rFonts w:ascii="Arial" w:hAnsi="Arial" w:cs="Arial"/>
                <w:noProof/>
                <w:webHidden/>
              </w:rPr>
              <w:fldChar w:fldCharType="end"/>
            </w:r>
          </w:hyperlink>
        </w:p>
        <w:p w14:paraId="18869A47" w14:textId="1E5FA87A" w:rsidR="002534C5" w:rsidRPr="00F0289B" w:rsidRDefault="002534C5">
          <w:pPr>
            <w:pStyle w:val="TOC3"/>
            <w:tabs>
              <w:tab w:val="right" w:leader="dot" w:pos="8963"/>
            </w:tabs>
            <w:rPr>
              <w:rFonts w:ascii="Arial" w:hAnsi="Arial" w:cs="Arial"/>
              <w:noProof/>
              <w:kern w:val="2"/>
              <w:sz w:val="24"/>
              <w:szCs w:val="24"/>
              <w:lang w:val="en-GB" w:eastAsia="en-GB"/>
              <w14:ligatures w14:val="standardContextual"/>
            </w:rPr>
          </w:pPr>
          <w:hyperlink w:anchor="_Toc206171121" w:history="1">
            <w:r w:rsidRPr="00F0289B">
              <w:rPr>
                <w:rStyle w:val="Hyperlink"/>
                <w:rFonts w:ascii="Arial" w:hAnsi="Arial" w:cs="Arial"/>
                <w:noProof/>
              </w:rPr>
              <w:t>1.1.2. UDL: 3 Core Principles.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6</w:t>
            </w:r>
            <w:r w:rsidRPr="00F0289B">
              <w:rPr>
                <w:rFonts w:ascii="Arial" w:hAnsi="Arial" w:cs="Arial"/>
                <w:noProof/>
                <w:webHidden/>
              </w:rPr>
              <w:fldChar w:fldCharType="end"/>
            </w:r>
          </w:hyperlink>
        </w:p>
        <w:p w14:paraId="7ED95567" w14:textId="611620A8" w:rsidR="002534C5" w:rsidRPr="00F0289B" w:rsidRDefault="002534C5">
          <w:pPr>
            <w:pStyle w:val="TOC3"/>
            <w:tabs>
              <w:tab w:val="right" w:leader="dot" w:pos="8963"/>
            </w:tabs>
            <w:rPr>
              <w:rFonts w:ascii="Arial" w:hAnsi="Arial" w:cs="Arial"/>
              <w:noProof/>
              <w:kern w:val="2"/>
              <w:sz w:val="24"/>
              <w:szCs w:val="24"/>
              <w:lang w:val="en-GB" w:eastAsia="en-GB"/>
              <w14:ligatures w14:val="standardContextual"/>
            </w:rPr>
          </w:pPr>
          <w:hyperlink w:anchor="_Toc206171122" w:history="1">
            <w:r w:rsidRPr="00F0289B">
              <w:rPr>
                <w:rStyle w:val="Hyperlink"/>
                <w:rFonts w:ascii="Arial" w:hAnsi="Arial" w:cs="Arial"/>
                <w:noProof/>
                <w:lang w:val="en-GB"/>
              </w:rPr>
              <w:t>1,1.3. Sustainable Development Goal 4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7</w:t>
            </w:r>
            <w:r w:rsidRPr="00F0289B">
              <w:rPr>
                <w:rFonts w:ascii="Arial" w:hAnsi="Arial" w:cs="Arial"/>
                <w:noProof/>
                <w:webHidden/>
              </w:rPr>
              <w:fldChar w:fldCharType="end"/>
            </w:r>
          </w:hyperlink>
        </w:p>
        <w:p w14:paraId="72AE58C9" w14:textId="0E8AF78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3" w:history="1">
            <w:r w:rsidRPr="00F0289B">
              <w:rPr>
                <w:rStyle w:val="Hyperlink"/>
                <w:rFonts w:ascii="Arial" w:hAnsi="Arial" w:cs="Arial"/>
                <w:noProof/>
                <w:lang w:val="en-GB"/>
              </w:rPr>
              <w:t>1,2. Relationship Between SDG 4 and ADG 10 in HE.</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25910757" w14:textId="432513F7"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24" w:history="1">
            <w:r w:rsidRPr="00F0289B">
              <w:rPr>
                <w:rStyle w:val="Hyperlink"/>
                <w:rFonts w:ascii="Arial" w:hAnsi="Arial" w:cs="Arial"/>
                <w:noProof/>
              </w:rPr>
              <w:t>2. Methodology: Semi-systematic integrative review.</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47D352DF" w14:textId="2775E39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5" w:history="1">
            <w:r w:rsidRPr="00F0289B">
              <w:rPr>
                <w:rStyle w:val="Hyperlink"/>
                <w:rFonts w:ascii="Arial" w:hAnsi="Arial" w:cs="Arial"/>
                <w:noProof/>
              </w:rPr>
              <w:t>2.1 Research questions.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8</w:t>
            </w:r>
            <w:r w:rsidRPr="00F0289B">
              <w:rPr>
                <w:rFonts w:ascii="Arial" w:hAnsi="Arial" w:cs="Arial"/>
                <w:noProof/>
                <w:webHidden/>
              </w:rPr>
              <w:fldChar w:fldCharType="end"/>
            </w:r>
          </w:hyperlink>
        </w:p>
        <w:p w14:paraId="111F0CAE" w14:textId="35A7B2D2"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6" w:history="1">
            <w:r w:rsidRPr="00F0289B">
              <w:rPr>
                <w:rStyle w:val="Hyperlink"/>
                <w:rFonts w:ascii="Arial" w:hAnsi="Arial" w:cs="Arial"/>
                <w:noProof/>
                <w:lang w:val="en-GB"/>
              </w:rPr>
              <w:t>2.2 Scope, inclusion and exclusion criteria</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9</w:t>
            </w:r>
            <w:r w:rsidRPr="00F0289B">
              <w:rPr>
                <w:rFonts w:ascii="Arial" w:hAnsi="Arial" w:cs="Arial"/>
                <w:noProof/>
                <w:webHidden/>
              </w:rPr>
              <w:fldChar w:fldCharType="end"/>
            </w:r>
          </w:hyperlink>
        </w:p>
        <w:p w14:paraId="6F36369D" w14:textId="4A585C13"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7" w:history="1">
            <w:r w:rsidRPr="00F0289B">
              <w:rPr>
                <w:rStyle w:val="Hyperlink"/>
                <w:rFonts w:ascii="Arial" w:hAnsi="Arial" w:cs="Arial"/>
                <w:noProof/>
                <w:lang w:val="en-GB"/>
              </w:rPr>
              <w:t>2.3 Search strategy.</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9</w:t>
            </w:r>
            <w:r w:rsidRPr="00F0289B">
              <w:rPr>
                <w:rFonts w:ascii="Arial" w:hAnsi="Arial" w:cs="Arial"/>
                <w:noProof/>
                <w:webHidden/>
              </w:rPr>
              <w:fldChar w:fldCharType="end"/>
            </w:r>
          </w:hyperlink>
        </w:p>
        <w:p w14:paraId="0DDA2936" w14:textId="05559C86"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8" w:history="1">
            <w:r w:rsidRPr="00F0289B">
              <w:rPr>
                <w:rStyle w:val="Hyperlink"/>
                <w:rFonts w:ascii="Arial" w:hAnsi="Arial" w:cs="Arial"/>
                <w:noProof/>
                <w:lang w:val="en-GB"/>
              </w:rPr>
              <w:t>2.4 Screening and selection.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11</w:t>
            </w:r>
            <w:r w:rsidRPr="00F0289B">
              <w:rPr>
                <w:rFonts w:ascii="Arial" w:hAnsi="Arial" w:cs="Arial"/>
                <w:noProof/>
                <w:webHidden/>
              </w:rPr>
              <w:fldChar w:fldCharType="end"/>
            </w:r>
          </w:hyperlink>
        </w:p>
        <w:p w14:paraId="056BBFFB" w14:textId="1D6224F2"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29" w:history="1">
            <w:r w:rsidRPr="00F0289B">
              <w:rPr>
                <w:rStyle w:val="Hyperlink"/>
                <w:rFonts w:ascii="Arial" w:hAnsi="Arial" w:cs="Arial"/>
                <w:noProof/>
              </w:rPr>
              <w:t>2.6. Limitations.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_Toc206171129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12</w:t>
            </w:r>
            <w:r w:rsidRPr="00F0289B">
              <w:rPr>
                <w:rFonts w:ascii="Arial" w:hAnsi="Arial" w:cs="Arial"/>
                <w:noProof/>
                <w:webHidden/>
              </w:rPr>
              <w:fldChar w:fldCharType="end"/>
            </w:r>
          </w:hyperlink>
        </w:p>
        <w:p w14:paraId="11B0BEFA" w14:textId="24FDB84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0" w:history="1">
            <w:r w:rsidRPr="00F0289B">
              <w:rPr>
                <w:rStyle w:val="Hyperlink"/>
                <w:rFonts w:ascii="Arial" w:hAnsi="Arial" w:cs="Arial"/>
                <w:noProof/>
              </w:rPr>
              <w:t>4. Gaps in the Literature and Future Research.</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14</w:t>
            </w:r>
            <w:r w:rsidRPr="00F0289B">
              <w:rPr>
                <w:rFonts w:ascii="Arial" w:hAnsi="Arial" w:cs="Arial"/>
                <w:noProof/>
                <w:webHidden/>
              </w:rPr>
              <w:fldChar w:fldCharType="end"/>
            </w:r>
          </w:hyperlink>
        </w:p>
        <w:p w14:paraId="449B388A" w14:textId="4021B4F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1" w:history="1">
            <w:r w:rsidRPr="00F0289B">
              <w:rPr>
                <w:rStyle w:val="Hyperlink"/>
                <w:rFonts w:ascii="Arial" w:hAnsi="Arial" w:cs="Arial"/>
                <w:noProof/>
              </w:rPr>
              <w:t>5. Context: Higher Education Pressures and the Case for Seamless UDL.</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15</w:t>
            </w:r>
            <w:r w:rsidRPr="00F0289B">
              <w:rPr>
                <w:rFonts w:ascii="Arial" w:hAnsi="Arial" w:cs="Arial"/>
                <w:noProof/>
                <w:webHidden/>
              </w:rPr>
              <w:fldChar w:fldCharType="end"/>
            </w:r>
          </w:hyperlink>
        </w:p>
        <w:p w14:paraId="11D4D70F" w14:textId="1915C19E"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2" w:history="1">
            <w:r w:rsidRPr="00F0289B">
              <w:rPr>
                <w:rStyle w:val="Hyperlink"/>
                <w:rFonts w:ascii="Arial" w:hAnsi="Arial" w:cs="Arial"/>
                <w:noProof/>
              </w:rPr>
              <w:t>5.1. Declining Applicant Numbers and Changing Student Profiles.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15</w:t>
            </w:r>
            <w:r w:rsidRPr="00F0289B">
              <w:rPr>
                <w:rFonts w:ascii="Arial" w:hAnsi="Arial" w:cs="Arial"/>
                <w:noProof/>
                <w:webHidden/>
              </w:rPr>
              <w:fldChar w:fldCharType="end"/>
            </w:r>
          </w:hyperlink>
        </w:p>
        <w:p w14:paraId="2D4B1485" w14:textId="1E310C4F"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3" w:history="1">
            <w:r w:rsidRPr="00F0289B">
              <w:rPr>
                <w:rStyle w:val="Hyperlink"/>
                <w:rFonts w:ascii="Arial" w:hAnsi="Arial" w:cs="Arial"/>
                <w:noProof/>
              </w:rPr>
              <w:t>5.2. Increasing Prevalence of Neurodivergent Students.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16</w:t>
            </w:r>
            <w:r w:rsidRPr="00F0289B">
              <w:rPr>
                <w:rFonts w:ascii="Arial" w:hAnsi="Arial" w:cs="Arial"/>
                <w:noProof/>
                <w:webHidden/>
              </w:rPr>
              <w:fldChar w:fldCharType="end"/>
            </w:r>
          </w:hyperlink>
        </w:p>
        <w:p w14:paraId="345F0364" w14:textId="77031091"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4" w:history="1">
            <w:r w:rsidRPr="00F0289B">
              <w:rPr>
                <w:rStyle w:val="Hyperlink"/>
                <w:rFonts w:ascii="Arial" w:hAnsi="Arial" w:cs="Arial"/>
                <w:noProof/>
              </w:rPr>
              <w:t>5.3. Financial Constraints and Efficiency Imperatives.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17</w:t>
            </w:r>
            <w:r w:rsidRPr="00F0289B">
              <w:rPr>
                <w:rFonts w:ascii="Arial" w:hAnsi="Arial" w:cs="Arial"/>
                <w:noProof/>
                <w:webHidden/>
              </w:rPr>
              <w:fldChar w:fldCharType="end"/>
            </w:r>
          </w:hyperlink>
        </w:p>
        <w:p w14:paraId="3C11DB56" w14:textId="419177A4"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5" w:history="1">
            <w:r w:rsidRPr="00F0289B">
              <w:rPr>
                <w:rStyle w:val="Hyperlink"/>
                <w:rFonts w:ascii="Arial" w:hAnsi="Arial" w:cs="Arial"/>
                <w:noProof/>
              </w:rPr>
              <w:t>5.4. Moving from Retrospective Accommodation to Anticipation.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18</w:t>
            </w:r>
            <w:r w:rsidRPr="00F0289B">
              <w:rPr>
                <w:rFonts w:ascii="Arial" w:hAnsi="Arial" w:cs="Arial"/>
                <w:noProof/>
                <w:webHidden/>
              </w:rPr>
              <w:fldChar w:fldCharType="end"/>
            </w:r>
          </w:hyperlink>
        </w:p>
        <w:p w14:paraId="14183B13" w14:textId="307EB0D4"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36" w:history="1">
            <w:r w:rsidRPr="00F0289B">
              <w:rPr>
                <w:rStyle w:val="Hyperlink"/>
                <w:rFonts w:ascii="Arial" w:hAnsi="Arial" w:cs="Arial"/>
                <w:noProof/>
              </w:rPr>
              <w:t>6. Linking Seamless UDL to SDG 4 and SDG 10.</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19</w:t>
            </w:r>
            <w:r w:rsidRPr="00F0289B">
              <w:rPr>
                <w:rFonts w:ascii="Arial" w:hAnsi="Arial" w:cs="Arial"/>
                <w:noProof/>
                <w:webHidden/>
              </w:rPr>
              <w:fldChar w:fldCharType="end"/>
            </w:r>
          </w:hyperlink>
        </w:p>
        <w:p w14:paraId="009F10A9" w14:textId="010F0979"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7" w:history="1">
            <w:r w:rsidRPr="00F0289B">
              <w:rPr>
                <w:rStyle w:val="Hyperlink"/>
                <w:rFonts w:ascii="Arial" w:hAnsi="Arial" w:cs="Arial"/>
                <w:noProof/>
              </w:rPr>
              <w:t>6.1. SDG 4: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19</w:t>
            </w:r>
            <w:r w:rsidRPr="00F0289B">
              <w:rPr>
                <w:rFonts w:ascii="Arial" w:hAnsi="Arial" w:cs="Arial"/>
                <w:noProof/>
                <w:webHidden/>
              </w:rPr>
              <w:fldChar w:fldCharType="end"/>
            </w:r>
          </w:hyperlink>
        </w:p>
        <w:p w14:paraId="714EE52E" w14:textId="2EB54240"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8" w:history="1">
            <w:r w:rsidRPr="00F0289B">
              <w:rPr>
                <w:rStyle w:val="Hyperlink"/>
                <w:rFonts w:ascii="Arial" w:hAnsi="Arial" w:cs="Arial"/>
                <w:noProof/>
              </w:rPr>
              <w:t>6.2. SDG 10: Reduced Inequalities.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21</w:t>
            </w:r>
            <w:r w:rsidRPr="00F0289B">
              <w:rPr>
                <w:rFonts w:ascii="Arial" w:hAnsi="Arial" w:cs="Arial"/>
                <w:noProof/>
                <w:webHidden/>
              </w:rPr>
              <w:fldChar w:fldCharType="end"/>
            </w:r>
          </w:hyperlink>
        </w:p>
        <w:p w14:paraId="7ABB01FB" w14:textId="7E4559DC"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39" w:history="1">
            <w:r w:rsidRPr="00F0289B">
              <w:rPr>
                <w:rStyle w:val="Hyperlink"/>
                <w:rFonts w:ascii="Arial" w:hAnsi="Arial" w:cs="Arial"/>
                <w:noProof/>
              </w:rPr>
              <w:t>6.3. The Interdependence of SDG 4 and SDG 10.</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_Toc206171139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22</w:t>
            </w:r>
            <w:r w:rsidRPr="00F0289B">
              <w:rPr>
                <w:rFonts w:ascii="Arial" w:hAnsi="Arial" w:cs="Arial"/>
                <w:noProof/>
                <w:webHidden/>
              </w:rPr>
              <w:fldChar w:fldCharType="end"/>
            </w:r>
          </w:hyperlink>
        </w:p>
        <w:p w14:paraId="7347F1B1" w14:textId="091634E5"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0" w:history="1">
            <w:r w:rsidRPr="00F0289B">
              <w:rPr>
                <w:rStyle w:val="Hyperlink"/>
                <w:rFonts w:ascii="Arial" w:hAnsi="Arial" w:cs="Arial"/>
                <w:noProof/>
              </w:rPr>
              <w:t>7. UDL as a Whole-Institution Strategy rather than an Adjustment.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22</w:t>
            </w:r>
            <w:r w:rsidRPr="00F0289B">
              <w:rPr>
                <w:rFonts w:ascii="Arial" w:hAnsi="Arial" w:cs="Arial"/>
                <w:noProof/>
                <w:webHidden/>
              </w:rPr>
              <w:fldChar w:fldCharType="end"/>
            </w:r>
          </w:hyperlink>
        </w:p>
        <w:p w14:paraId="2A1008B7" w14:textId="4BA53743"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1" w:history="1">
            <w:r w:rsidRPr="00F0289B">
              <w:rPr>
                <w:rStyle w:val="Hyperlink"/>
                <w:rFonts w:ascii="Arial" w:hAnsi="Arial" w:cs="Arial"/>
                <w:noProof/>
              </w:rPr>
              <w:t>7.1 Impact on Learning Outcomes and Student Engagement.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23</w:t>
            </w:r>
            <w:r w:rsidRPr="00F0289B">
              <w:rPr>
                <w:rFonts w:ascii="Arial" w:hAnsi="Arial" w:cs="Arial"/>
                <w:noProof/>
                <w:webHidden/>
              </w:rPr>
              <w:fldChar w:fldCharType="end"/>
            </w:r>
          </w:hyperlink>
        </w:p>
        <w:p w14:paraId="442B203C" w14:textId="41530514"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2" w:history="1">
            <w:r w:rsidRPr="00F0289B">
              <w:rPr>
                <w:rStyle w:val="Hyperlink"/>
                <w:rFonts w:ascii="Arial" w:hAnsi="Arial" w:cs="Arial"/>
                <w:noProof/>
              </w:rPr>
              <w:t>8. Barriers to Implementation in UK Higher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_Toc206171142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24</w:t>
            </w:r>
            <w:r w:rsidRPr="00F0289B">
              <w:rPr>
                <w:rFonts w:ascii="Arial" w:hAnsi="Arial" w:cs="Arial"/>
                <w:noProof/>
                <w:webHidden/>
              </w:rPr>
              <w:fldChar w:fldCharType="end"/>
            </w:r>
          </w:hyperlink>
        </w:p>
        <w:p w14:paraId="458069C6" w14:textId="1A9DB756"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3" w:history="1">
            <w:r w:rsidRPr="00F0289B">
              <w:rPr>
                <w:rStyle w:val="Hyperlink"/>
                <w:rFonts w:ascii="Arial" w:hAnsi="Arial" w:cs="Arial"/>
                <w:noProof/>
              </w:rPr>
              <w:t>9. Examples of Best Practice in UK Higher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_Toc206171143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6A66B1CF" w14:textId="1FEC62E7"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4" w:history="1">
            <w:r w:rsidRPr="00F0289B">
              <w:rPr>
                <w:rStyle w:val="Hyperlink"/>
                <w:rFonts w:ascii="Arial" w:hAnsi="Arial" w:cs="Arial"/>
                <w:noProof/>
              </w:rPr>
              <w:t>9.1. University of Leeds: Inclusive Learning Design Project.</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_Toc206171144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00C04D16" w14:textId="3927BB1B"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45" w:history="1">
            <w:r w:rsidRPr="00F0289B">
              <w:rPr>
                <w:rStyle w:val="Hyperlink"/>
                <w:rFonts w:ascii="Arial" w:hAnsi="Arial" w:cs="Arial"/>
                <w:noProof/>
              </w:rPr>
              <w:t>9.2. Open University: Digital Accessibility Leadership.</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_Toc206171145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26</w:t>
            </w:r>
            <w:r w:rsidRPr="00F0289B">
              <w:rPr>
                <w:rFonts w:ascii="Arial" w:hAnsi="Arial" w:cs="Arial"/>
                <w:noProof/>
                <w:webHidden/>
              </w:rPr>
              <w:fldChar w:fldCharType="end"/>
            </w:r>
          </w:hyperlink>
        </w:p>
        <w:p w14:paraId="6C59F445" w14:textId="2E0604C7"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6" w:history="1">
            <w:r w:rsidRPr="00F0289B">
              <w:rPr>
                <w:rStyle w:val="Hyperlink"/>
                <w:rFonts w:ascii="Arial" w:hAnsi="Arial" w:cs="Arial"/>
                <w:noProof/>
              </w:rPr>
              <w:t>10. Recommendations for Policy and Practice Derived from the Review of Literature.</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_Toc206171146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28</w:t>
            </w:r>
            <w:r w:rsidRPr="00F0289B">
              <w:rPr>
                <w:rFonts w:ascii="Arial" w:hAnsi="Arial" w:cs="Arial"/>
                <w:noProof/>
                <w:webHidden/>
              </w:rPr>
              <w:fldChar w:fldCharType="end"/>
            </w:r>
          </w:hyperlink>
        </w:p>
        <w:p w14:paraId="51FCEC82" w14:textId="5D0FBDCF"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7" w:history="1">
            <w:r w:rsidRPr="00F0289B">
              <w:rPr>
                <w:rStyle w:val="Hyperlink"/>
                <w:rFonts w:ascii="Arial" w:hAnsi="Arial" w:cs="Arial"/>
                <w:noProof/>
              </w:rPr>
              <w:t>11. Conclusion.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_Toc206171147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29</w:t>
            </w:r>
            <w:r w:rsidRPr="00F0289B">
              <w:rPr>
                <w:rFonts w:ascii="Arial" w:hAnsi="Arial" w:cs="Arial"/>
                <w:noProof/>
                <w:webHidden/>
              </w:rPr>
              <w:fldChar w:fldCharType="end"/>
            </w:r>
          </w:hyperlink>
        </w:p>
        <w:p w14:paraId="6F0A1CC0" w14:textId="326C7D3E"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8" w:history="1">
            <w:r w:rsidRPr="00F0289B">
              <w:rPr>
                <w:rStyle w:val="Hyperlink"/>
                <w:rFonts w:ascii="Arial" w:hAnsi="Arial" w:cs="Arial"/>
                <w:noProof/>
              </w:rPr>
              <w:t>References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_Toc206171148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31</w:t>
            </w:r>
            <w:r w:rsidRPr="00F0289B">
              <w:rPr>
                <w:rFonts w:ascii="Arial" w:hAnsi="Arial" w:cs="Arial"/>
                <w:noProof/>
                <w:webHidden/>
              </w:rPr>
              <w:fldChar w:fldCharType="end"/>
            </w:r>
          </w:hyperlink>
        </w:p>
        <w:p w14:paraId="71FDF6AC" w14:textId="2C1AAFCC" w:rsidR="002534C5" w:rsidRPr="00F0289B" w:rsidRDefault="002534C5">
          <w:pPr>
            <w:pStyle w:val="TOC1"/>
            <w:tabs>
              <w:tab w:val="right" w:leader="dot" w:pos="8963"/>
            </w:tabs>
            <w:rPr>
              <w:rFonts w:ascii="Arial" w:hAnsi="Arial" w:cs="Arial"/>
              <w:noProof/>
              <w:kern w:val="2"/>
              <w:sz w:val="24"/>
              <w:szCs w:val="24"/>
              <w:lang w:val="en-GB" w:eastAsia="en-GB"/>
              <w14:ligatures w14:val="standardContextual"/>
            </w:rPr>
          </w:pPr>
          <w:hyperlink w:anchor="_Toc206171149" w:history="1">
            <w:r w:rsidRPr="00F0289B">
              <w:rPr>
                <w:rStyle w:val="Hyperlink"/>
                <w:rFonts w:ascii="Arial" w:hAnsi="Arial" w:cs="Arial"/>
                <w:noProof/>
                <w:lang w:val="en-GB" w:eastAsia="en-GB"/>
              </w:rPr>
              <w:t>Appendices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_Toc206171149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43</w:t>
            </w:r>
            <w:r w:rsidRPr="00F0289B">
              <w:rPr>
                <w:rFonts w:ascii="Arial" w:hAnsi="Arial" w:cs="Arial"/>
                <w:noProof/>
                <w:webHidden/>
              </w:rPr>
              <w:fldChar w:fldCharType="end"/>
            </w:r>
          </w:hyperlink>
        </w:p>
        <w:p w14:paraId="36ED0751" w14:textId="4F58F4F6"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50" w:history="1">
            <w:r w:rsidRPr="00F0289B">
              <w:rPr>
                <w:rStyle w:val="Hyperlink"/>
                <w:rFonts w:ascii="Arial" w:hAnsi="Arial" w:cs="Arial"/>
                <w:noProof/>
                <w:lang w:val="en-GB" w:eastAsia="en-GB"/>
              </w:rPr>
              <w:t>Appendix A: UN SDG 4 - Quality Education</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_Toc206171150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43</w:t>
            </w:r>
            <w:r w:rsidRPr="00F0289B">
              <w:rPr>
                <w:rFonts w:ascii="Arial" w:hAnsi="Arial" w:cs="Arial"/>
                <w:noProof/>
                <w:webHidden/>
              </w:rPr>
              <w:fldChar w:fldCharType="end"/>
            </w:r>
          </w:hyperlink>
        </w:p>
        <w:p w14:paraId="3E3E7861" w14:textId="6105008A" w:rsidR="002534C5" w:rsidRPr="00F0289B" w:rsidRDefault="002534C5">
          <w:pPr>
            <w:pStyle w:val="TOC2"/>
            <w:tabs>
              <w:tab w:val="right" w:leader="dot" w:pos="8963"/>
            </w:tabs>
            <w:rPr>
              <w:rFonts w:ascii="Arial" w:hAnsi="Arial" w:cs="Arial"/>
              <w:noProof/>
              <w:kern w:val="2"/>
              <w:sz w:val="24"/>
              <w:szCs w:val="24"/>
              <w:lang w:val="en-GB" w:eastAsia="en-GB"/>
              <w14:ligatures w14:val="standardContextual"/>
            </w:rPr>
          </w:pPr>
          <w:hyperlink w:anchor="_Toc206171151" w:history="1">
            <w:r w:rsidRPr="00F0289B">
              <w:rPr>
                <w:rStyle w:val="Hyperlink"/>
                <w:rFonts w:ascii="Arial" w:hAnsi="Arial" w:cs="Arial"/>
                <w:noProof/>
                <w:lang w:val="en-GB" w:eastAsia="en-GB"/>
              </w:rPr>
              <w:t xml:space="preserve">Appendix B: UN SDG - </w:t>
            </w:r>
            <w:r w:rsidRPr="00F0289B">
              <w:rPr>
                <w:rStyle w:val="Hyperlink"/>
                <w:rFonts w:ascii="Arial" w:hAnsi="Arial" w:cs="Arial"/>
                <w:noProof/>
                <w:lang w:eastAsia="en-GB"/>
              </w:rPr>
              <w:t>Reduced Inequalities (Within and among countries)</w:t>
            </w:r>
            <w:r w:rsidRPr="00F0289B">
              <w:rPr>
                <w:rFonts w:ascii="Arial" w:hAnsi="Arial" w:cs="Arial"/>
                <w:noProof/>
                <w:webHidden/>
              </w:rPr>
              <w:tab/>
            </w:r>
            <w:r w:rsidRPr="00F0289B">
              <w:rPr>
                <w:rFonts w:ascii="Arial" w:hAnsi="Arial" w:cs="Arial"/>
                <w:noProof/>
                <w:webHidden/>
              </w:rPr>
              <w:fldChar w:fldCharType="begin"/>
            </w:r>
            <w:r w:rsidRPr="00F0289B">
              <w:rPr>
                <w:rFonts w:ascii="Arial" w:hAnsi="Arial" w:cs="Arial"/>
                <w:noProof/>
                <w:webHidden/>
              </w:rPr>
              <w:instrText xml:space="preserve"> PAGEREF _Toc206171151 \h </w:instrText>
            </w:r>
            <w:r w:rsidRPr="00F0289B">
              <w:rPr>
                <w:rFonts w:ascii="Arial" w:hAnsi="Arial" w:cs="Arial"/>
                <w:noProof/>
                <w:webHidden/>
              </w:rPr>
            </w:r>
            <w:r w:rsidRPr="00F0289B">
              <w:rPr>
                <w:rFonts w:ascii="Arial" w:hAnsi="Arial" w:cs="Arial"/>
                <w:noProof/>
                <w:webHidden/>
              </w:rPr>
              <w:fldChar w:fldCharType="separate"/>
            </w:r>
            <w:r w:rsidRPr="00F0289B">
              <w:rPr>
                <w:rFonts w:ascii="Arial" w:hAnsi="Arial" w:cs="Arial"/>
                <w:noProof/>
                <w:webHidden/>
              </w:rPr>
              <w:t>44</w:t>
            </w:r>
            <w:r w:rsidRPr="00F0289B">
              <w:rPr>
                <w:rFonts w:ascii="Arial" w:hAnsi="Arial" w:cs="Arial"/>
                <w:noProof/>
                <w:webHidden/>
              </w:rPr>
              <w:fldChar w:fldCharType="end"/>
            </w:r>
          </w:hyperlink>
        </w:p>
        <w:p w14:paraId="55012B41" w14:textId="7D9D05CA" w:rsidR="00A44044" w:rsidRDefault="00A44044">
          <w:r w:rsidRPr="00F0289B">
            <w:rPr>
              <w:rFonts w:ascii="Arial" w:hAnsi="Arial" w:cs="Arial"/>
              <w:b/>
              <w:bCs/>
              <w:noProof/>
            </w:rPr>
            <w:lastRenderedPageBreak/>
            <w:fldChar w:fldCharType="end"/>
          </w:r>
        </w:p>
      </w:sdtContent>
    </w:sdt>
    <w:p w14:paraId="6D82E267" w14:textId="4C51E17A" w:rsidR="00C2223B" w:rsidRPr="00A44044" w:rsidRDefault="00000000" w:rsidP="00A44044">
      <w:pPr>
        <w:rPr>
          <w:rFonts w:ascii="Arial" w:hAnsi="Arial" w:cs="Arial"/>
          <w:b/>
          <w:bCs/>
          <w:sz w:val="24"/>
          <w:szCs w:val="24"/>
        </w:rPr>
      </w:pPr>
      <w:r w:rsidRPr="00A44044">
        <w:rPr>
          <w:rFonts w:ascii="Arial" w:hAnsi="Arial" w:cs="Arial"/>
          <w:b/>
          <w:bCs/>
          <w:sz w:val="24"/>
          <w:szCs w:val="24"/>
        </w:rPr>
        <w:t>The Seamless Integration of Universal Design for Learning (</w:t>
      </w:r>
      <w:proofErr w:type="spellStart"/>
      <w:r w:rsidRPr="00A44044">
        <w:rPr>
          <w:rFonts w:ascii="Arial" w:hAnsi="Arial" w:cs="Arial"/>
          <w:b/>
          <w:bCs/>
          <w:sz w:val="24"/>
          <w:szCs w:val="24"/>
        </w:rPr>
        <w:t>UDL</w:t>
      </w:r>
      <w:proofErr w:type="spellEnd"/>
      <w:r w:rsidRPr="00A44044">
        <w:rPr>
          <w:rFonts w:ascii="Arial" w:hAnsi="Arial" w:cs="Arial"/>
          <w:b/>
          <w:bCs/>
          <w:sz w:val="24"/>
          <w:szCs w:val="24"/>
        </w:rPr>
        <w:t>) in Higher Education</w:t>
      </w:r>
      <w:r w:rsidR="006B4696">
        <w:rPr>
          <w:rFonts w:ascii="Arial" w:hAnsi="Arial" w:cs="Arial"/>
          <w:b/>
          <w:bCs/>
          <w:sz w:val="24"/>
          <w:szCs w:val="24"/>
        </w:rPr>
        <w:t xml:space="preserve"> in Supporting</w:t>
      </w:r>
      <w:r w:rsidRPr="00A44044">
        <w:rPr>
          <w:rFonts w:ascii="Arial" w:hAnsi="Arial" w:cs="Arial"/>
          <w:b/>
          <w:bCs/>
          <w:sz w:val="24"/>
          <w:szCs w:val="24"/>
        </w:rPr>
        <w:t xml:space="preserve"> Sustainable Development Goals 4 and 10</w:t>
      </w:r>
      <w:r w:rsidR="006B4696">
        <w:rPr>
          <w:rFonts w:ascii="Arial" w:hAnsi="Arial" w:cs="Arial"/>
          <w:b/>
          <w:bCs/>
          <w:sz w:val="24"/>
          <w:szCs w:val="24"/>
        </w:rPr>
        <w:t>:</w:t>
      </w:r>
      <w:r w:rsidRPr="00A44044">
        <w:rPr>
          <w:rFonts w:ascii="Arial" w:hAnsi="Arial" w:cs="Arial"/>
          <w:b/>
          <w:bCs/>
          <w:sz w:val="24"/>
          <w:szCs w:val="24"/>
        </w:rPr>
        <w:br/>
        <w:t xml:space="preserve">A Semi-Systematic </w:t>
      </w:r>
      <w:r w:rsidR="00A92172" w:rsidRPr="00A44044">
        <w:rPr>
          <w:rFonts w:ascii="Arial" w:hAnsi="Arial" w:cs="Arial"/>
          <w:b/>
          <w:bCs/>
          <w:sz w:val="24"/>
          <w:szCs w:val="24"/>
        </w:rPr>
        <w:t xml:space="preserve">Integrative </w:t>
      </w:r>
      <w:r w:rsidRPr="00A44044">
        <w:rPr>
          <w:rFonts w:ascii="Arial" w:hAnsi="Arial" w:cs="Arial"/>
          <w:b/>
          <w:bCs/>
          <w:sz w:val="24"/>
          <w:szCs w:val="24"/>
        </w:rPr>
        <w:t>Literature Review</w:t>
      </w:r>
    </w:p>
    <w:p w14:paraId="393B8165" w14:textId="0FC5924A" w:rsidR="00175D5D" w:rsidRPr="00E425D9" w:rsidRDefault="00175D5D" w:rsidP="00E425D9">
      <w:pPr>
        <w:pStyle w:val="Heading1"/>
      </w:pPr>
      <w:bookmarkStart w:id="0" w:name="_Toc206171120"/>
      <w:r w:rsidRPr="00E425D9">
        <w:t>1. Introduction</w:t>
      </w:r>
      <w:r w:rsidR="002F0827">
        <w:t>.</w:t>
      </w:r>
      <w:bookmarkEnd w:id="0"/>
    </w:p>
    <w:p w14:paraId="3ADFC2FA" w14:textId="34203D3B"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Universities across the UK are having to accommodate</w:t>
      </w:r>
      <w:r w:rsidR="00B370A7">
        <w:rPr>
          <w:rFonts w:ascii="Arial" w:eastAsia="MS Mincho" w:hAnsi="Arial" w:cs="Arial"/>
          <w:color w:val="000000"/>
        </w:rPr>
        <w:t xml:space="preserve"> a </w:t>
      </w:r>
      <w:r w:rsidR="00175D5D" w:rsidRPr="00175D5D">
        <w:rPr>
          <w:rFonts w:ascii="Arial" w:eastAsia="MS Mincho" w:hAnsi="Arial" w:cs="Arial"/>
          <w:color w:val="000000"/>
        </w:rPr>
        <w:t>period of change that is reshaping their student populations, funding streams, and teaching priorities. Falling international enrolments, reduced income, and an increase in the proportion of students from widening participation backgrounds, including higher numbers of neurodivergent students, are driving the need for more inclusive, adaptable teaching models (Hubble &amp; Bolton, 2023). While many institutions still apply Universal Design for Learning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principles as a reasonable adjustment for students with declared disabilities, there is a growing argument that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is most effective when applied seamlessly for all students, regardless of need or label (Rao et al., 2021).</w:t>
      </w:r>
    </w:p>
    <w:p w14:paraId="5D70E48C" w14:textId="77777777" w:rsidR="00585BAF"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review explicitly aligns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to SDG 4 and SDG 10. For SDG 4 (Quality Education), with specific reference to targets 4.3 (equal access to tertiary education), 4.5 (eliminate disparities), and 4.a (inclusive, safe, effective learning environments). For SDG 10 (Reduced Inequalities). The review additionally focuses on SDG targets 10.2 (promote social, economic and political inclusion) and 10.3 (ensure equal opportunity and reduce discriminatory outcomes) and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mechanisms, multiple means of engagement, representation, and action and expression, interact positively and negatively with these targets in UK HE.</w:t>
      </w:r>
    </w:p>
    <w:p w14:paraId="6BE81E5B" w14:textId="77777777" w:rsidR="00585BAF"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Overall, UK </w:t>
      </w:r>
      <w:proofErr w:type="gramStart"/>
      <w:r w:rsidRPr="00175D5D">
        <w:rPr>
          <w:rFonts w:ascii="Arial" w:eastAsia="MS Mincho" w:hAnsi="Arial" w:cs="Arial"/>
          <w:color w:val="000000"/>
        </w:rPr>
        <w:t>HE</w:t>
      </w:r>
      <w:proofErr w:type="gramEnd"/>
      <w:r w:rsidRPr="00175D5D">
        <w:rPr>
          <w:rFonts w:ascii="Arial" w:eastAsia="MS Mincho" w:hAnsi="Arial" w:cs="Arial"/>
          <w:color w:val="000000"/>
        </w:rPr>
        <w:t xml:space="preserve"> admissions patterns are mixed. 2024 statistics show overall acceptances up, with analys</w:t>
      </w:r>
      <w:r w:rsidR="00DF23B5">
        <w:rPr>
          <w:rFonts w:ascii="Arial" w:eastAsia="MS Mincho" w:hAnsi="Arial" w:cs="Arial"/>
          <w:color w:val="000000"/>
        </w:rPr>
        <w:t>i</w:t>
      </w:r>
      <w:r w:rsidRPr="00175D5D">
        <w:rPr>
          <w:rFonts w:ascii="Arial" w:eastAsia="MS Mincho" w:hAnsi="Arial" w:cs="Arial"/>
          <w:color w:val="000000"/>
        </w:rPr>
        <w:t xml:space="preserve">s indicating growth at high-tariff providers (e.g. many Russell Group </w:t>
      </w:r>
      <w:r w:rsidRPr="00175D5D">
        <w:rPr>
          <w:rFonts w:ascii="Arial" w:eastAsia="MS Mincho" w:hAnsi="Arial" w:cs="Arial"/>
          <w:color w:val="000000"/>
        </w:rPr>
        <w:lastRenderedPageBreak/>
        <w:t>institutions) but significantly</w:t>
      </w:r>
      <w:r w:rsidR="00DF23B5">
        <w:rPr>
          <w:rFonts w:ascii="Arial" w:eastAsia="MS Mincho" w:hAnsi="Arial" w:cs="Arial"/>
          <w:color w:val="000000"/>
        </w:rPr>
        <w:t>,</w:t>
      </w:r>
      <w:r w:rsidRPr="00175D5D">
        <w:rPr>
          <w:rFonts w:ascii="Arial" w:eastAsia="MS Mincho" w:hAnsi="Arial" w:cs="Arial"/>
          <w:color w:val="000000"/>
        </w:rPr>
        <w:t xml:space="preserve"> declines at medium/low-tariff providers, where many </w:t>
      </w:r>
      <w:proofErr w:type="gramStart"/>
      <w:r w:rsidRPr="00175D5D">
        <w:rPr>
          <w:rFonts w:ascii="Arial" w:eastAsia="MS Mincho" w:hAnsi="Arial" w:cs="Arial"/>
          <w:color w:val="000000"/>
        </w:rPr>
        <w:t>less</w:t>
      </w:r>
      <w:proofErr w:type="gramEnd"/>
      <w:r w:rsidRPr="00175D5D">
        <w:rPr>
          <w:rFonts w:ascii="Arial" w:eastAsia="MS Mincho" w:hAnsi="Arial" w:cs="Arial"/>
          <w:color w:val="000000"/>
        </w:rPr>
        <w:t xml:space="preserve"> academic students </w:t>
      </w:r>
      <w:r w:rsidR="00DF23B5">
        <w:rPr>
          <w:rFonts w:ascii="Arial" w:eastAsia="MS Mincho" w:hAnsi="Arial" w:cs="Arial"/>
          <w:color w:val="000000"/>
        </w:rPr>
        <w:t xml:space="preserve">often </w:t>
      </w:r>
      <w:r w:rsidRPr="00175D5D">
        <w:rPr>
          <w:rFonts w:ascii="Arial" w:eastAsia="MS Mincho" w:hAnsi="Arial" w:cs="Arial"/>
          <w:color w:val="000000"/>
        </w:rPr>
        <w:t xml:space="preserve">apply </w:t>
      </w:r>
      <w:r w:rsidR="00540A5C" w:rsidRPr="00540A5C">
        <w:rPr>
          <w:rFonts w:ascii="Arial" w:eastAsia="MS Mincho" w:hAnsi="Arial" w:cs="Arial"/>
          <w:color w:val="000000"/>
        </w:rPr>
        <w:t xml:space="preserve">(Kernohan, 2024; </w:t>
      </w:r>
      <w:proofErr w:type="spellStart"/>
      <w:r w:rsidR="00540A5C" w:rsidRPr="00540A5C">
        <w:rPr>
          <w:rFonts w:ascii="Arial" w:eastAsia="MS Mincho" w:hAnsi="Arial" w:cs="Arial"/>
          <w:color w:val="000000"/>
        </w:rPr>
        <w:t>UCAS</w:t>
      </w:r>
      <w:proofErr w:type="spellEnd"/>
      <w:r w:rsidR="00540A5C" w:rsidRPr="00540A5C">
        <w:rPr>
          <w:rFonts w:ascii="Arial" w:eastAsia="MS Mincho" w:hAnsi="Arial" w:cs="Arial"/>
          <w:color w:val="000000"/>
        </w:rPr>
        <w:t>, 2024)</w:t>
      </w:r>
      <w:r w:rsidR="00DF23B5">
        <w:rPr>
          <w:rFonts w:ascii="Arial" w:eastAsia="MS Mincho" w:hAnsi="Arial" w:cs="Arial"/>
          <w:color w:val="000000"/>
        </w:rPr>
        <w:t xml:space="preserve">. Often, these </w:t>
      </w:r>
      <w:r w:rsidR="00540A5C">
        <w:rPr>
          <w:rFonts w:ascii="Arial" w:eastAsia="MS Mincho" w:hAnsi="Arial" w:cs="Arial"/>
          <w:color w:val="000000"/>
        </w:rPr>
        <w:t>u</w:t>
      </w:r>
      <w:r w:rsidRPr="00175D5D">
        <w:rPr>
          <w:rFonts w:ascii="Arial" w:eastAsia="MS Mincho" w:hAnsi="Arial" w:cs="Arial"/>
          <w:color w:val="000000"/>
        </w:rPr>
        <w:t>niversities are teaching cohorts with increasingly diverse needs, including a steady rise in disclosed disabilities and mental-health conditions; mental-health disclosures</w:t>
      </w:r>
      <w:r w:rsidR="00DF23B5">
        <w:rPr>
          <w:rFonts w:ascii="Arial" w:eastAsia="MS Mincho" w:hAnsi="Arial" w:cs="Arial"/>
          <w:color w:val="000000"/>
        </w:rPr>
        <w:t xml:space="preserve"> in HE</w:t>
      </w:r>
      <w:r w:rsidRPr="00175D5D">
        <w:rPr>
          <w:rFonts w:ascii="Arial" w:eastAsia="MS Mincho" w:hAnsi="Arial" w:cs="Arial"/>
          <w:color w:val="000000"/>
        </w:rPr>
        <w:t xml:space="preserve"> increased from under 1% in 2010/11 to 5.8% in 2022/23 (Hubble &amp; Bolton, 2023). However, many students </w:t>
      </w:r>
      <w:proofErr w:type="gramStart"/>
      <w:r w:rsidRPr="00175D5D">
        <w:rPr>
          <w:rFonts w:ascii="Arial" w:eastAsia="MS Mincho" w:hAnsi="Arial" w:cs="Arial"/>
          <w:color w:val="000000"/>
        </w:rPr>
        <w:t xml:space="preserve">who </w:t>
      </w:r>
      <w:r w:rsidR="00DF23B5">
        <w:rPr>
          <w:rFonts w:ascii="Arial" w:eastAsia="MS Mincho" w:hAnsi="Arial" w:cs="Arial"/>
          <w:color w:val="000000"/>
        </w:rPr>
        <w:t>would</w:t>
      </w:r>
      <w:proofErr w:type="gramEnd"/>
      <w:r w:rsidRPr="00175D5D">
        <w:rPr>
          <w:rFonts w:ascii="Arial" w:eastAsia="MS Mincho" w:hAnsi="Arial" w:cs="Arial"/>
          <w:color w:val="000000"/>
        </w:rPr>
        <w:t xml:space="preserve"> benefit from adjustments choose not to disclose because of anticipated stigma, perceived academic/admissions risks, and the administrative burden associated with processes such as DSA (Eccles et al., 2018; Student Minds, 2024).</w:t>
      </w:r>
    </w:p>
    <w:p w14:paraId="2457E1FF" w14:textId="77777777" w:rsidR="00585BAF"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review, therefore, looks at the benefits of applying a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all students across modules and assessments to reduce reliance on ‘retrofitted’, case-by-case accommodations by avoiding a perceived two-tier model that still provides individual support where required </w:t>
      </w:r>
      <w:r w:rsidR="00540A5C" w:rsidRPr="00540A5C">
        <w:rPr>
          <w:rFonts w:ascii="Arial" w:eastAsia="MS Mincho" w:hAnsi="Arial" w:cs="Arial"/>
          <w:color w:val="000000"/>
        </w:rPr>
        <w:t>(Advance HE, 2024; CAST, 2018; Disabled Students UK, 2024)</w:t>
      </w:r>
      <w:r w:rsidR="00540A5C">
        <w:rPr>
          <w:rFonts w:ascii="Arial" w:eastAsia="MS Mincho" w:hAnsi="Arial" w:cs="Arial"/>
          <w:color w:val="000000"/>
        </w:rPr>
        <w:t>.</w:t>
      </w:r>
    </w:p>
    <w:p w14:paraId="752AF4EF" w14:textId="77777777" w:rsidR="00586234"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of </w:t>
      </w:r>
      <w:proofErr w:type="spellStart"/>
      <w:r w:rsidRPr="00175D5D">
        <w:rPr>
          <w:rFonts w:ascii="Arial" w:eastAsia="MS Mincho" w:hAnsi="Arial" w:cs="Arial"/>
          <w:color w:val="000000"/>
        </w:rPr>
        <w:t>utilising</w:t>
      </w:r>
      <w:proofErr w:type="spellEnd"/>
      <w:r w:rsidRPr="00175D5D">
        <w:rPr>
          <w:rFonts w:ascii="Arial" w:eastAsia="MS Mincho" w:hAnsi="Arial" w:cs="Arial"/>
          <w:color w:val="000000"/>
        </w:rPr>
        <w:t xml:space="preserve"> multiple means of engagement, representation, and expression</w:t>
      </w:r>
      <w:r w:rsidR="004921AB">
        <w:rPr>
          <w:rFonts w:ascii="Arial" w:eastAsia="MS Mincho" w:hAnsi="Arial" w:cs="Arial"/>
          <w:color w:val="000000"/>
        </w:rPr>
        <w:t>,</w:t>
      </w:r>
      <w:r w:rsidRPr="00175D5D">
        <w:rPr>
          <w:rFonts w:ascii="Arial" w:eastAsia="MS Mincho" w:hAnsi="Arial" w:cs="Arial"/>
          <w:color w:val="000000"/>
        </w:rPr>
        <w:t xml:space="preserve"> is </w:t>
      </w:r>
      <w:r w:rsidR="004921AB">
        <w:rPr>
          <w:rFonts w:ascii="Arial" w:eastAsia="MS Mincho" w:hAnsi="Arial" w:cs="Arial"/>
          <w:color w:val="000000"/>
        </w:rPr>
        <w:t>examined</w:t>
      </w:r>
      <w:r w:rsidRPr="00175D5D">
        <w:rPr>
          <w:rFonts w:ascii="Arial" w:eastAsia="MS Mincho" w:hAnsi="Arial" w:cs="Arial"/>
          <w:color w:val="000000"/>
        </w:rPr>
        <w:t xml:space="preserve"> through this review of literature to improve access and attainment across the entire student body, not solely for those with identified needs (</w:t>
      </w:r>
      <w:proofErr w:type="spellStart"/>
      <w:r w:rsidRPr="00175D5D">
        <w:rPr>
          <w:rFonts w:ascii="Arial" w:eastAsia="MS Mincho" w:hAnsi="Arial" w:cs="Arial"/>
          <w:color w:val="000000"/>
        </w:rPr>
        <w:t>Almeqdad</w:t>
      </w:r>
      <w:proofErr w:type="spellEnd"/>
      <w:r w:rsidRPr="00175D5D">
        <w:rPr>
          <w:rFonts w:ascii="Arial" w:eastAsia="MS Mincho" w:hAnsi="Arial" w:cs="Arial"/>
          <w:color w:val="000000"/>
        </w:rPr>
        <w:t xml:space="preserve"> et al., 2023; Bray et al., 2024; Rao et al., 2021; Redstone &amp; Luo, 2024).</w:t>
      </w:r>
      <w:r>
        <w:rPr>
          <w:rFonts w:ascii="Arial" w:eastAsia="MS Mincho" w:hAnsi="Arial" w:cs="Arial"/>
          <w:color w:val="000000"/>
        </w:rPr>
        <w:t xml:space="preserve"> </w:t>
      </w:r>
      <w:r w:rsidRPr="00175D5D">
        <w:rPr>
          <w:rFonts w:ascii="Arial" w:eastAsia="MS Mincho" w:hAnsi="Arial" w:cs="Arial"/>
          <w:color w:val="000000"/>
        </w:rPr>
        <w:t xml:space="preserve">From the perspective of the Sustainable Development Goals (SDGs), </w:t>
      </w:r>
      <w:r>
        <w:rPr>
          <w:rFonts w:ascii="Arial" w:eastAsia="MS Mincho" w:hAnsi="Arial" w:cs="Arial"/>
          <w:color w:val="000000"/>
        </w:rPr>
        <w:t xml:space="preserve">this review considers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w:t>
      </w:r>
      <w:r>
        <w:rPr>
          <w:rFonts w:ascii="Arial" w:eastAsia="MS Mincho" w:hAnsi="Arial" w:cs="Arial"/>
          <w:color w:val="000000"/>
        </w:rPr>
        <w:t>in the context of</w:t>
      </w:r>
      <w:r w:rsidRPr="00175D5D">
        <w:rPr>
          <w:rFonts w:ascii="Arial" w:eastAsia="MS Mincho" w:hAnsi="Arial" w:cs="Arial"/>
          <w:color w:val="000000"/>
        </w:rPr>
        <w:t xml:space="preserve"> both SDG 4: </w:t>
      </w:r>
      <w:r w:rsidRPr="00175D5D">
        <w:rPr>
          <w:rFonts w:ascii="Arial" w:eastAsia="MS Mincho" w:hAnsi="Arial" w:cs="Arial"/>
          <w:i/>
          <w:iCs/>
          <w:color w:val="000000"/>
        </w:rPr>
        <w:t>Quality Education</w:t>
      </w:r>
      <w:r w:rsidRPr="00175D5D">
        <w:rPr>
          <w:rFonts w:ascii="Arial" w:eastAsia="MS Mincho" w:hAnsi="Arial" w:cs="Arial"/>
          <w:color w:val="000000"/>
        </w:rPr>
        <w:t xml:space="preserve"> and SDG 10: </w:t>
      </w:r>
      <w:r w:rsidRPr="00585BAF">
        <w:rPr>
          <w:rFonts w:ascii="Arial" w:eastAsia="MS Mincho" w:hAnsi="Arial" w:cs="Arial"/>
          <w:color w:val="000000"/>
        </w:rPr>
        <w:t>Reduced Inequalities.</w:t>
      </w:r>
    </w:p>
    <w:p w14:paraId="205EA11A" w14:textId="77777777" w:rsidR="00586234"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Designing curricula with accessibility and flexibility embedded from the outset enables higher education institutions to both accommodate and mitigate disparities in learning outcomes, preserve academic standards, and sustain success across increasingly diverse student cohorts </w:t>
      </w:r>
      <w:r w:rsidR="00540A5C" w:rsidRPr="00540A5C">
        <w:rPr>
          <w:rFonts w:ascii="Arial" w:eastAsia="MS Mincho" w:hAnsi="Arial" w:cs="Arial"/>
          <w:color w:val="000000"/>
        </w:rPr>
        <w:t>(Galvin, 2024; United Nations, 2015; Veytia Bucheli et al., 2024)</w:t>
      </w:r>
      <w:r w:rsidR="00540A5C">
        <w:rPr>
          <w:rFonts w:ascii="Arial" w:eastAsia="MS Mincho" w:hAnsi="Arial" w:cs="Arial"/>
          <w:color w:val="000000"/>
        </w:rPr>
        <w:t xml:space="preserve">. </w:t>
      </w:r>
      <w:r w:rsidRPr="00175D5D">
        <w:rPr>
          <w:rFonts w:ascii="Arial" w:eastAsia="MS Mincho" w:hAnsi="Arial" w:cs="Arial"/>
          <w:color w:val="000000"/>
        </w:rPr>
        <w:t>Current sector pressures, reduc</w:t>
      </w:r>
      <w:r w:rsidR="00F91366">
        <w:rPr>
          <w:rFonts w:ascii="Arial" w:eastAsia="MS Mincho" w:hAnsi="Arial" w:cs="Arial"/>
          <w:color w:val="000000"/>
        </w:rPr>
        <w:t>tion in</w:t>
      </w:r>
      <w:r w:rsidRPr="00175D5D">
        <w:rPr>
          <w:rFonts w:ascii="Arial" w:eastAsia="MS Mincho" w:hAnsi="Arial" w:cs="Arial"/>
          <w:color w:val="000000"/>
        </w:rPr>
        <w:t xml:space="preserve"> high-fee international enrolments, </w:t>
      </w:r>
      <w:r w:rsidR="00DF23B5">
        <w:rPr>
          <w:rFonts w:ascii="Arial" w:eastAsia="MS Mincho" w:hAnsi="Arial" w:cs="Arial"/>
          <w:color w:val="000000"/>
        </w:rPr>
        <w:t xml:space="preserve">and uneven and lessening </w:t>
      </w:r>
      <w:r w:rsidR="00DF23B5">
        <w:rPr>
          <w:rFonts w:ascii="Arial" w:eastAsia="MS Mincho" w:hAnsi="Arial" w:cs="Arial"/>
          <w:color w:val="000000"/>
        </w:rPr>
        <w:lastRenderedPageBreak/>
        <w:t>academic domestic application trends intensify the need for an institutional shift from a reactive approach to teaching</w:t>
      </w:r>
      <w:r w:rsidRPr="00175D5D">
        <w:rPr>
          <w:rFonts w:ascii="Arial" w:eastAsia="MS Mincho" w:hAnsi="Arial" w:cs="Arial"/>
          <w:color w:val="000000"/>
        </w:rPr>
        <w:t xml:space="preserve"> to a seamless, universal provision.</w:t>
      </w:r>
    </w:p>
    <w:p w14:paraId="64BA4FC9" w14:textId="3579E54E"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research detailed in this review indicates that a comprehensive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enhances equitable participation, raises attainment across demographic groups, and strengthens institutional resilience against demographic and financial volatility, thereby ‘</w:t>
      </w:r>
      <w:proofErr w:type="spellStart"/>
      <w:r w:rsidRPr="00175D5D">
        <w:rPr>
          <w:rFonts w:ascii="Arial" w:eastAsia="MS Mincho" w:hAnsi="Arial" w:cs="Arial"/>
          <w:color w:val="000000"/>
        </w:rPr>
        <w:t>operationalising</w:t>
      </w:r>
      <w:proofErr w:type="spellEnd"/>
      <w:r w:rsidRPr="00175D5D">
        <w:rPr>
          <w:rFonts w:ascii="Arial" w:eastAsia="MS Mincho" w:hAnsi="Arial" w:cs="Arial"/>
          <w:color w:val="000000"/>
        </w:rPr>
        <w:t>’ the educational quality and equity ambitions central to SDG 4 and SDG 10 (Qu, 2024; Veytia Bucheli et al., 2024).</w:t>
      </w:r>
    </w:p>
    <w:p w14:paraId="11CA6F35" w14:textId="537F3BCF" w:rsid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purpose of this review is, therefore, to </w:t>
      </w:r>
      <w:proofErr w:type="spellStart"/>
      <w:r w:rsidRPr="00175D5D">
        <w:rPr>
          <w:rFonts w:ascii="Arial" w:eastAsia="MS Mincho" w:hAnsi="Arial" w:cs="Arial"/>
          <w:color w:val="000000"/>
        </w:rPr>
        <w:t>synthesise</w:t>
      </w:r>
      <w:proofErr w:type="spellEnd"/>
      <w:r w:rsidRPr="00175D5D">
        <w:rPr>
          <w:rFonts w:ascii="Arial" w:eastAsia="MS Mincho" w:hAnsi="Arial" w:cs="Arial"/>
          <w:color w:val="000000"/>
        </w:rPr>
        <w:t xml:space="preserve"> recent literature (2016–2025) on the integration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in higher education, with a focus on UK-based research where possible. The review draws on both peer-reviewed and high-quality grey literature to examine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is being applied, its impact on student outcomes, and its relevance to institutional sustainability in the context of the SDGs, specifically SDG 4 and SDG 10.</w:t>
      </w:r>
    </w:p>
    <w:p w14:paraId="02914FC9" w14:textId="625C9F0C" w:rsidR="002F0827" w:rsidRDefault="002F0827" w:rsidP="002F0827">
      <w:pPr>
        <w:spacing w:line="480" w:lineRule="auto"/>
        <w:rPr>
          <w:rFonts w:ascii="Arial" w:eastAsia="MS Mincho" w:hAnsi="Arial" w:cs="Arial"/>
          <w:b/>
          <w:bCs/>
          <w:color w:val="000000"/>
          <w:lang w:val="en-GB"/>
        </w:rPr>
      </w:pPr>
      <w:r>
        <w:rPr>
          <w:rFonts w:ascii="Arial" w:eastAsia="MS Mincho" w:hAnsi="Arial" w:cs="Arial"/>
          <w:b/>
          <w:bCs/>
          <w:color w:val="000000"/>
          <w:lang w:val="en-GB"/>
        </w:rPr>
        <w:t xml:space="preserve">1.1. </w:t>
      </w:r>
      <w:r w:rsidRPr="002F0827">
        <w:rPr>
          <w:rFonts w:ascii="Arial" w:eastAsia="MS Mincho" w:hAnsi="Arial" w:cs="Arial"/>
          <w:b/>
          <w:bCs/>
          <w:color w:val="000000"/>
          <w:lang w:val="en-GB"/>
        </w:rPr>
        <w:t>Key Terms</w:t>
      </w:r>
      <w:r>
        <w:rPr>
          <w:rFonts w:ascii="Arial" w:eastAsia="MS Mincho" w:hAnsi="Arial" w:cs="Arial"/>
          <w:b/>
          <w:bCs/>
          <w:color w:val="000000"/>
          <w:lang w:val="en-GB"/>
        </w:rPr>
        <w:t>.</w:t>
      </w:r>
      <w:r w:rsidRPr="002F0827">
        <w:rPr>
          <w:rFonts w:ascii="Arial" w:eastAsia="MS Mincho" w:hAnsi="Arial" w:cs="Arial"/>
          <w:b/>
          <w:bCs/>
          <w:color w:val="000000"/>
          <w:lang w:val="en-GB"/>
        </w:rPr>
        <w:br/>
      </w:r>
      <w:r>
        <w:rPr>
          <w:rFonts w:ascii="Arial" w:eastAsia="MS Mincho" w:hAnsi="Arial" w:cs="Arial"/>
          <w:b/>
          <w:bCs/>
          <w:color w:val="000000"/>
          <w:lang w:val="en-GB"/>
        </w:rPr>
        <w:t>1</w:t>
      </w:r>
      <w:r w:rsidRPr="002F0827">
        <w:rPr>
          <w:rFonts w:ascii="Arial" w:eastAsia="MS Mincho" w:hAnsi="Arial" w:cs="Arial"/>
          <w:b/>
          <w:bCs/>
          <w:color w:val="000000"/>
          <w:lang w:val="en-GB"/>
        </w:rPr>
        <w:t>.1</w:t>
      </w:r>
      <w:r>
        <w:rPr>
          <w:rFonts w:ascii="Arial" w:eastAsia="MS Mincho" w:hAnsi="Arial" w:cs="Arial"/>
          <w:b/>
          <w:bCs/>
          <w:color w:val="000000"/>
          <w:lang w:val="en-GB"/>
        </w:rPr>
        <w:t>.1</w:t>
      </w:r>
      <w:r w:rsidRPr="002F0827">
        <w:rPr>
          <w:rFonts w:ascii="Arial" w:eastAsia="MS Mincho" w:hAnsi="Arial" w:cs="Arial"/>
          <w:b/>
          <w:bCs/>
          <w:color w:val="000000"/>
          <w:lang w:val="en-GB"/>
        </w:rPr>
        <w:t xml:space="preserve"> Universal Design for Learning (</w:t>
      </w:r>
      <w:proofErr w:type="spellStart"/>
      <w:r w:rsidRPr="002F0827">
        <w:rPr>
          <w:rFonts w:ascii="Arial" w:eastAsia="MS Mincho" w:hAnsi="Arial" w:cs="Arial"/>
          <w:b/>
          <w:bCs/>
          <w:color w:val="000000"/>
          <w:lang w:val="en-GB"/>
        </w:rPr>
        <w:t>UDL</w:t>
      </w:r>
      <w:proofErr w:type="spellEnd"/>
      <w:r w:rsidRPr="002F0827">
        <w:rPr>
          <w:rFonts w:ascii="Arial" w:eastAsia="MS Mincho" w:hAnsi="Arial" w:cs="Arial"/>
          <w:b/>
          <w:bCs/>
          <w:color w:val="000000"/>
          <w:lang w:val="en-GB"/>
        </w:rPr>
        <w:t>).</w:t>
      </w:r>
      <w:r w:rsidRPr="002F0827">
        <w:rPr>
          <w:rFonts w:ascii="Arial" w:eastAsia="MS Mincho" w:hAnsi="Arial" w:cs="Arial"/>
          <w:b/>
          <w:bCs/>
          <w:color w:val="000000"/>
          <w:lang w:val="en-GB"/>
        </w:rPr>
        <w:br/>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is a design framework from CAST that reduces barriers at source by providing both research and guidance on the benefits of 3 key areas or principles: multiple means of engagement, representation, and action/expression (CAST, 2018, 2024). CAST researchers developed the approach in the early 1990s and have since been adopted across many educational sectors, initially in North America, but now more widely integrated into European education (Rose, 2014). In UK higher education,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-aligned practice is increasingly appearing in national guidance on inclusive curriculum and assessment, mainly in secondary education, but more recently integrated into HE (QAA, 2023; Advance HE, 2024).</w:t>
      </w:r>
    </w:p>
    <w:p w14:paraId="7830C205" w14:textId="23063734" w:rsidR="002F0827" w:rsidRPr="00B370A7" w:rsidRDefault="002F0827" w:rsidP="00B370A7">
      <w:pPr>
        <w:pStyle w:val="Heading3"/>
      </w:pPr>
      <w:bookmarkStart w:id="1" w:name="_Toc206171121"/>
      <w:r>
        <w:lastRenderedPageBreak/>
        <w:t>1</w:t>
      </w:r>
      <w:r w:rsidRPr="002F0827">
        <w:t>.1.</w:t>
      </w:r>
      <w:r>
        <w:t>2</w:t>
      </w:r>
      <w:r w:rsidRPr="002F0827">
        <w:t xml:space="preserve">. </w:t>
      </w:r>
      <w:proofErr w:type="spellStart"/>
      <w:r>
        <w:t>UDL</w:t>
      </w:r>
      <w:proofErr w:type="spellEnd"/>
      <w:r w:rsidRPr="002F0827">
        <w:t xml:space="preserve">: </w:t>
      </w:r>
      <w:r>
        <w:t xml:space="preserve">3 </w:t>
      </w:r>
      <w:r w:rsidRPr="002F0827">
        <w:t xml:space="preserve">Core </w:t>
      </w:r>
      <w:r>
        <w:t>Principles.</w:t>
      </w:r>
      <w:bookmarkEnd w:id="1"/>
      <w:r w:rsidR="00B370A7">
        <w:br/>
      </w:r>
    </w:p>
    <w:p w14:paraId="06808A83" w14:textId="43CFA3A4" w:rsidR="002F0827" w:rsidRPr="002F0827" w:rsidRDefault="002F0827" w:rsidP="002F0827">
      <w:pPr>
        <w:spacing w:line="480" w:lineRule="auto"/>
        <w:rPr>
          <w:rFonts w:ascii="Arial" w:eastAsia="MS Mincho" w:hAnsi="Arial" w:cs="Arial"/>
          <w:b/>
          <w:bCs/>
          <w:color w:val="000000"/>
        </w:rPr>
      </w:pPr>
      <w:r w:rsidRPr="002F0827">
        <w:rPr>
          <w:rFonts w:ascii="Arial" w:eastAsia="MS Mincho" w:hAnsi="Arial" w:cs="Arial"/>
          <w:b/>
          <w:bCs/>
          <w:color w:val="000000"/>
          <w:lang w:val="en-GB"/>
        </w:rPr>
        <w:t>Principle 1: Engagement</w:t>
      </w:r>
      <w:r>
        <w:rPr>
          <w:rFonts w:ascii="Arial" w:eastAsia="MS Mincho" w:hAnsi="Arial" w:cs="Arial"/>
          <w:b/>
          <w:bCs/>
          <w:color w:val="000000"/>
          <w:lang w:val="en-GB"/>
        </w:rPr>
        <w:t>.</w:t>
      </w:r>
    </w:p>
    <w:p w14:paraId="0C4E860E"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Recruiting interest</w:t>
      </w:r>
    </w:p>
    <w:p w14:paraId="3B797EFC"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Sustaining effort &amp; persistence</w:t>
      </w:r>
    </w:p>
    <w:p w14:paraId="3F09505B" w14:textId="77777777" w:rsidR="002F0827" w:rsidRPr="002F0827" w:rsidRDefault="002F0827" w:rsidP="002F0827">
      <w:pPr>
        <w:numPr>
          <w:ilvl w:val="0"/>
          <w:numId w:val="46"/>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Self-regulation</w:t>
      </w:r>
    </w:p>
    <w:p w14:paraId="635C7F7C" w14:textId="3A03EE09"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lang w:val="en-GB"/>
        </w:rPr>
        <w:t>Principle 2: Representation</w:t>
      </w:r>
      <w:r>
        <w:rPr>
          <w:rFonts w:ascii="Arial" w:eastAsia="MS Mincho" w:hAnsi="Arial" w:cs="Arial"/>
          <w:b/>
          <w:bCs/>
          <w:color w:val="000000"/>
          <w:lang w:val="en-GB"/>
        </w:rPr>
        <w:t>.</w:t>
      </w:r>
    </w:p>
    <w:p w14:paraId="6E939C60"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Perception</w:t>
      </w:r>
    </w:p>
    <w:p w14:paraId="2FE2F108"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Language &amp; symbols</w:t>
      </w:r>
    </w:p>
    <w:p w14:paraId="304597F3" w14:textId="77777777" w:rsidR="002F0827" w:rsidRPr="002F0827" w:rsidRDefault="002F0827" w:rsidP="002F0827">
      <w:pPr>
        <w:numPr>
          <w:ilvl w:val="0"/>
          <w:numId w:val="47"/>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Comprehension</w:t>
      </w:r>
    </w:p>
    <w:p w14:paraId="78E30929" w14:textId="52AC60A1"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lang w:val="en-GB"/>
        </w:rPr>
        <w:t>Principle 3: Action &amp; Expression</w:t>
      </w:r>
      <w:r>
        <w:rPr>
          <w:rFonts w:ascii="Arial" w:eastAsia="MS Mincho" w:hAnsi="Arial" w:cs="Arial"/>
          <w:b/>
          <w:bCs/>
          <w:color w:val="000000"/>
          <w:lang w:val="en-GB"/>
        </w:rPr>
        <w:t>.</w:t>
      </w:r>
    </w:p>
    <w:p w14:paraId="38E35977"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Physical action</w:t>
      </w:r>
    </w:p>
    <w:p w14:paraId="04EBEF8B"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Expression &amp; communication</w:t>
      </w:r>
    </w:p>
    <w:p w14:paraId="6A515BA5" w14:textId="77777777" w:rsidR="002F0827" w:rsidRPr="002F0827" w:rsidRDefault="002F0827" w:rsidP="002F0827">
      <w:pPr>
        <w:numPr>
          <w:ilvl w:val="0"/>
          <w:numId w:val="48"/>
        </w:numPr>
        <w:spacing w:line="480" w:lineRule="auto"/>
        <w:ind w:left="1080"/>
        <w:rPr>
          <w:rFonts w:ascii="Arial" w:eastAsia="MS Mincho" w:hAnsi="Arial" w:cs="Arial"/>
          <w:color w:val="000000"/>
          <w:lang w:val="en-GB"/>
        </w:rPr>
      </w:pPr>
      <w:r w:rsidRPr="002F0827">
        <w:rPr>
          <w:rFonts w:ascii="Arial" w:eastAsia="MS Mincho" w:hAnsi="Arial" w:cs="Arial"/>
          <w:color w:val="000000"/>
          <w:lang w:val="en-GB"/>
        </w:rPr>
        <w:t>Executive functions</w:t>
      </w:r>
    </w:p>
    <w:p w14:paraId="4E35B2F7" w14:textId="77777777"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color w:val="000000"/>
          <w:lang w:val="en-GB"/>
        </w:rPr>
        <w:t>(Cast, 2024)</w:t>
      </w:r>
    </w:p>
    <w:p w14:paraId="7D1F8864" w14:textId="03A8D727" w:rsidR="002F0827" w:rsidRPr="002F0827" w:rsidRDefault="002F0827" w:rsidP="002F0827">
      <w:pPr>
        <w:pStyle w:val="Heading3"/>
        <w:rPr>
          <w:lang w:val="en-GB"/>
        </w:rPr>
      </w:pPr>
      <w:r>
        <w:rPr>
          <w:lang w:val="en-GB"/>
        </w:rPr>
        <w:br/>
      </w:r>
      <w:bookmarkStart w:id="2" w:name="_Toc206171122"/>
      <w:r>
        <w:rPr>
          <w:lang w:val="en-GB"/>
        </w:rPr>
        <w:t>1,1</w:t>
      </w:r>
      <w:r w:rsidRPr="002F0827">
        <w:rPr>
          <w:lang w:val="en-GB"/>
        </w:rPr>
        <w:t>.</w:t>
      </w:r>
      <w:r>
        <w:rPr>
          <w:lang w:val="en-GB"/>
        </w:rPr>
        <w:t>3</w:t>
      </w:r>
      <w:r w:rsidRPr="002F0827">
        <w:rPr>
          <w:lang w:val="en-GB"/>
        </w:rPr>
        <w:t>. Sustainable Development Goal 4 (Quality Education).</w:t>
      </w:r>
      <w:bookmarkEnd w:id="2"/>
    </w:p>
    <w:p w14:paraId="3DC05C4A" w14:textId="18CEA882" w:rsidR="002F0827" w:rsidRPr="002F0827" w:rsidRDefault="002F0827" w:rsidP="002F0827">
      <w:pPr>
        <w:spacing w:line="480" w:lineRule="auto"/>
        <w:rPr>
          <w:rFonts w:ascii="Arial" w:eastAsia="MS Mincho" w:hAnsi="Arial" w:cs="Arial"/>
          <w:color w:val="000000"/>
          <w:lang w:val="en-GB"/>
        </w:rPr>
      </w:pPr>
      <w:r>
        <w:rPr>
          <w:rFonts w:ascii="Arial" w:eastAsia="MS Mincho" w:hAnsi="Arial" w:cs="Arial"/>
          <w:color w:val="000000"/>
          <w:lang w:val="en-GB"/>
        </w:rPr>
        <w:br/>
      </w:r>
      <w:r w:rsidRPr="002F0827">
        <w:rPr>
          <w:rFonts w:ascii="Arial" w:eastAsia="MS Mincho" w:hAnsi="Arial" w:cs="Arial"/>
          <w:color w:val="000000"/>
          <w:lang w:val="en-GB"/>
        </w:rPr>
        <w:t xml:space="preserve">The SDGs form part of the UN 2030 Agenda, adopted by the UN General Assembly in September 2015 (United Nations General Assembly, 2015). SDG 4 commits countries to work towards inclusive, equitable quality education and lifelong learning through 7 outcome targets (4.1 – 4.7) and 3 means of implementation targets (4a-4c). The targets and </w:t>
      </w:r>
      <w:r w:rsidRPr="002F0827">
        <w:rPr>
          <w:rFonts w:ascii="Arial" w:eastAsia="MS Mincho" w:hAnsi="Arial" w:cs="Arial"/>
          <w:color w:val="000000"/>
          <w:lang w:val="en-GB"/>
        </w:rPr>
        <w:lastRenderedPageBreak/>
        <w:t>indicators cover participation, completion, and skills outcomes, including tertiary education (UN, 2025a). (Appendix B).</w:t>
      </w:r>
    </w:p>
    <w:p w14:paraId="17A15562" w14:textId="129FFA1E" w:rsidR="002F0827" w:rsidRPr="002F0827" w:rsidRDefault="002F0827" w:rsidP="002F0827">
      <w:pPr>
        <w:spacing w:line="480" w:lineRule="auto"/>
        <w:rPr>
          <w:rFonts w:ascii="Arial" w:eastAsia="MS Mincho" w:hAnsi="Arial" w:cs="Arial"/>
          <w:color w:val="000000"/>
          <w:lang w:val="en-GB"/>
        </w:rPr>
      </w:pPr>
      <w:r>
        <w:rPr>
          <w:rFonts w:ascii="Arial" w:eastAsia="MS Mincho" w:hAnsi="Arial" w:cs="Arial"/>
          <w:b/>
          <w:bCs/>
          <w:color w:val="000000"/>
          <w:lang w:val="en-GB"/>
        </w:rPr>
        <w:t>1.1.4.</w:t>
      </w:r>
      <w:r w:rsidRPr="002F0827">
        <w:rPr>
          <w:rFonts w:ascii="Arial" w:eastAsia="MS Mincho" w:hAnsi="Arial" w:cs="Arial"/>
          <w:b/>
          <w:bCs/>
          <w:color w:val="000000"/>
          <w:lang w:val="en-GB"/>
        </w:rPr>
        <w:t xml:space="preserve"> Sustainable Development Goal 10 (Reduced Inequalities).</w:t>
      </w:r>
    </w:p>
    <w:p w14:paraId="2355438E" w14:textId="75DB09E7" w:rsidR="002F0827" w:rsidRPr="002F0827" w:rsidRDefault="002F0827" w:rsidP="002F0827">
      <w:pPr>
        <w:spacing w:line="480" w:lineRule="auto"/>
        <w:rPr>
          <w:rFonts w:ascii="Arial" w:eastAsia="MS Mincho" w:hAnsi="Arial" w:cs="Arial"/>
          <w:color w:val="000000"/>
          <w:lang w:val="en-GB"/>
        </w:rPr>
      </w:pPr>
      <w:r w:rsidRPr="002F0827">
        <w:rPr>
          <w:rFonts w:ascii="Arial" w:eastAsia="MS Mincho" w:hAnsi="Arial" w:cs="Arial"/>
          <w:color w:val="000000"/>
          <w:lang w:val="en-GB"/>
        </w:rPr>
        <w:t>SDG 10 commits countries to reducing inequalities within and among countries through 7 outcome targets (10.1-10.7) and 3 means of implementation targets (10a-10c), addressing income and the social inclusion of disadvantaged groups, including disabled people (UN, 2025b).</w:t>
      </w:r>
    </w:p>
    <w:p w14:paraId="190D65D8" w14:textId="4AF15890" w:rsidR="002F0827" w:rsidRPr="002F0827" w:rsidRDefault="002F0827" w:rsidP="002F0827">
      <w:pPr>
        <w:pStyle w:val="Heading2"/>
        <w:rPr>
          <w:lang w:val="en-GB"/>
        </w:rPr>
      </w:pPr>
      <w:bookmarkStart w:id="3" w:name="_Toc206171123"/>
      <w:r>
        <w:rPr>
          <w:lang w:val="en-GB"/>
        </w:rPr>
        <w:t>1,2</w:t>
      </w:r>
      <w:r w:rsidRPr="002F0827">
        <w:rPr>
          <w:lang w:val="en-GB"/>
        </w:rPr>
        <w:t xml:space="preserve">. </w:t>
      </w:r>
      <w:r>
        <w:rPr>
          <w:lang w:val="en-GB"/>
        </w:rPr>
        <w:t xml:space="preserve">Relationship Between SDG 4 and </w:t>
      </w:r>
      <w:r w:rsidR="009967E6">
        <w:rPr>
          <w:lang w:val="en-GB"/>
        </w:rPr>
        <w:t>S</w:t>
      </w:r>
      <w:r>
        <w:rPr>
          <w:lang w:val="en-GB"/>
        </w:rPr>
        <w:t>DG 10 in HE.</w:t>
      </w:r>
      <w:bookmarkEnd w:id="3"/>
    </w:p>
    <w:p w14:paraId="2E0F41DC" w14:textId="74D55DB5" w:rsidR="002F0827" w:rsidRPr="002F0827" w:rsidRDefault="002F0827"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Pr="002F0827">
        <w:rPr>
          <w:rFonts w:ascii="Arial" w:eastAsia="MS Mincho" w:hAnsi="Arial" w:cs="Arial"/>
          <w:color w:val="000000"/>
          <w:lang w:val="en-GB"/>
        </w:rPr>
        <w:t xml:space="preserve">Embedding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at the programme and module levels advances SDG 4 by mainstreaming accessible teaching and assessment while contributing to SDG 10 by improving participation and outcomes for underrepresented or underserved groups (QAA, 2023; United Nations, 2025a, 2025b).</w:t>
      </w:r>
    </w:p>
    <w:p w14:paraId="5721A3B8" w14:textId="01847C97" w:rsidR="00175D5D" w:rsidRPr="00E425D9" w:rsidRDefault="00175D5D" w:rsidP="00E425D9">
      <w:pPr>
        <w:pStyle w:val="Heading1"/>
      </w:pPr>
      <w:bookmarkStart w:id="4" w:name="_Toc206171124"/>
      <w:r w:rsidRPr="00E425D9">
        <w:t>2. Methodology: Semi-systematic integrative review</w:t>
      </w:r>
      <w:r w:rsidR="002F0827">
        <w:t>.</w:t>
      </w:r>
      <w:bookmarkEnd w:id="4"/>
    </w:p>
    <w:p w14:paraId="4092A2A2" w14:textId="05240EED"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 xml:space="preserve">This review adopts a </w:t>
      </w:r>
      <w:r w:rsidR="00175D5D" w:rsidRPr="00175D5D">
        <w:rPr>
          <w:rFonts w:ascii="Arial" w:eastAsia="MS Mincho" w:hAnsi="Arial" w:cs="Arial"/>
          <w:b/>
          <w:bCs/>
          <w:color w:val="000000"/>
          <w:lang w:val="en-GB"/>
        </w:rPr>
        <w:t>semi-systematic integrative</w:t>
      </w:r>
      <w:r w:rsidR="00175D5D" w:rsidRPr="00175D5D">
        <w:rPr>
          <w:rFonts w:ascii="Arial" w:eastAsia="MS Mincho" w:hAnsi="Arial" w:cs="Arial"/>
          <w:color w:val="000000"/>
          <w:lang w:val="en-GB"/>
        </w:rPr>
        <w:t xml:space="preserve"> approach to map and integrate recent evidence on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in higher education and its links to SDG 4 and SDG 10. The approach uses a transparent, bounded search and screening process</w:t>
      </w:r>
      <w:r w:rsidR="004921AB">
        <w:rPr>
          <w:rFonts w:ascii="Arial" w:eastAsia="MS Mincho" w:hAnsi="Arial" w:cs="Arial"/>
          <w:color w:val="000000"/>
          <w:lang w:val="en-GB"/>
        </w:rPr>
        <w:t>. It integrates</w:t>
      </w:r>
      <w:r w:rsidR="00175D5D" w:rsidRPr="00175D5D">
        <w:rPr>
          <w:rFonts w:ascii="Arial" w:eastAsia="MS Mincho" w:hAnsi="Arial" w:cs="Arial"/>
          <w:color w:val="000000"/>
          <w:lang w:val="en-GB"/>
        </w:rPr>
        <w:t xml:space="preserve"> quantitative, qualitative, and conceptual studies, </w:t>
      </w:r>
      <w:r w:rsidR="004921AB">
        <w:rPr>
          <w:rFonts w:ascii="Arial" w:eastAsia="MS Mincho" w:hAnsi="Arial" w:cs="Arial"/>
          <w:color w:val="000000"/>
          <w:lang w:val="en-GB"/>
        </w:rPr>
        <w:t>including</w:t>
      </w:r>
      <w:r w:rsidR="00175D5D" w:rsidRPr="00175D5D">
        <w:rPr>
          <w:rFonts w:ascii="Arial" w:eastAsia="MS Mincho" w:hAnsi="Arial" w:cs="Arial"/>
          <w:color w:val="000000"/>
          <w:lang w:val="en-GB"/>
        </w:rPr>
        <w:t xml:space="preserve"> practice-led sources that a fully systematic review might exclude. The review is practice-oriented and makes a reasoned case for adopting ‘seamless’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as a default design in HE while documenting steps to support credibility and reproducibility </w:t>
      </w:r>
      <w:r w:rsidR="00540A5C" w:rsidRPr="00540A5C">
        <w:rPr>
          <w:rFonts w:ascii="Arial" w:eastAsia="MS Mincho" w:hAnsi="Arial" w:cs="Arial"/>
          <w:color w:val="000000"/>
          <w:lang w:val="en-GB"/>
        </w:rPr>
        <w:t xml:space="preserve">(Grant &amp; Booth, 2009; Hong et al., 2019; Page et al., 2021; Snyder, 2019; Whittemore &amp; </w:t>
      </w:r>
      <w:proofErr w:type="spellStart"/>
      <w:r w:rsidR="00540A5C" w:rsidRPr="00540A5C">
        <w:rPr>
          <w:rFonts w:ascii="Arial" w:eastAsia="MS Mincho" w:hAnsi="Arial" w:cs="Arial"/>
          <w:color w:val="000000"/>
          <w:lang w:val="en-GB"/>
        </w:rPr>
        <w:t>Knafl</w:t>
      </w:r>
      <w:proofErr w:type="spellEnd"/>
      <w:r w:rsidR="00540A5C" w:rsidRPr="00540A5C">
        <w:rPr>
          <w:rFonts w:ascii="Arial" w:eastAsia="MS Mincho" w:hAnsi="Arial" w:cs="Arial"/>
          <w:color w:val="000000"/>
          <w:lang w:val="en-GB"/>
        </w:rPr>
        <w:t>, 2005)</w:t>
      </w:r>
      <w:r w:rsidR="00540A5C">
        <w:rPr>
          <w:rFonts w:ascii="Arial" w:eastAsia="MS Mincho" w:hAnsi="Arial" w:cs="Arial"/>
          <w:color w:val="000000"/>
          <w:lang w:val="en-GB"/>
        </w:rPr>
        <w:t>.</w:t>
      </w:r>
    </w:p>
    <w:p w14:paraId="3D8CD10A" w14:textId="545FFD47" w:rsidR="00A44044" w:rsidRPr="00E425D9" w:rsidRDefault="00175D5D" w:rsidP="00E425D9">
      <w:pPr>
        <w:pStyle w:val="Heading2"/>
      </w:pPr>
      <w:bookmarkStart w:id="5" w:name="_Toc206171125"/>
      <w:r w:rsidRPr="00E425D9">
        <w:lastRenderedPageBreak/>
        <w:t>2.1 Research questions</w:t>
      </w:r>
      <w:r w:rsidR="002F0827">
        <w:t>.</w:t>
      </w:r>
      <w:bookmarkEnd w:id="5"/>
    </w:p>
    <w:p w14:paraId="68FC0CD6" w14:textId="77777777" w:rsidR="00A44044" w:rsidRPr="00A44044" w:rsidRDefault="00A44044" w:rsidP="00A44044">
      <w:pPr>
        <w:rPr>
          <w:lang w:val="en-GB"/>
        </w:rPr>
      </w:pPr>
    </w:p>
    <w:p w14:paraId="4E8679CE" w14:textId="535D4E2C"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How is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currently applied in UK higher education settings?</w:t>
      </w:r>
    </w:p>
    <w:p w14:paraId="17FBC32F" w14:textId="77777777"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What evidence shows that seamless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supports SDG 4 (Quality Education) and SDG 10 (Reduced Inequalities)?</w:t>
      </w:r>
    </w:p>
    <w:p w14:paraId="307B9267" w14:textId="77777777" w:rsidR="00175D5D" w:rsidRPr="00175D5D" w:rsidRDefault="00175D5D" w:rsidP="00A92172">
      <w:pPr>
        <w:numPr>
          <w:ilvl w:val="0"/>
          <w:numId w:val="26"/>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What challenges and enabling factors are reported for whole-institution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implementation?</w:t>
      </w:r>
    </w:p>
    <w:p w14:paraId="0FAC5954" w14:textId="4A261918" w:rsidR="00175D5D" w:rsidRPr="00175D5D" w:rsidRDefault="00175D5D" w:rsidP="00A44044">
      <w:pPr>
        <w:pStyle w:val="Heading2"/>
        <w:rPr>
          <w:lang w:val="en-GB"/>
        </w:rPr>
      </w:pPr>
      <w:bookmarkStart w:id="6" w:name="_Toc206171126"/>
      <w:r w:rsidRPr="00175D5D">
        <w:rPr>
          <w:lang w:val="en-GB"/>
        </w:rPr>
        <w:t>2.2 Scope, inclusion and exclusion criteria</w:t>
      </w:r>
      <w:bookmarkEnd w:id="6"/>
      <w:r w:rsidR="00A44044">
        <w:rPr>
          <w:lang w:val="en-GB"/>
        </w:rPr>
        <w:br/>
      </w:r>
      <w:r w:rsidR="00A44044">
        <w:rPr>
          <w:lang w:val="en-GB"/>
        </w:rPr>
        <w:br/>
      </w:r>
    </w:p>
    <w:p w14:paraId="61EBB22C"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Publication window:</w:t>
      </w:r>
      <w:r w:rsidRPr="00175D5D">
        <w:rPr>
          <w:rFonts w:ascii="Arial" w:eastAsia="MS Mincho" w:hAnsi="Arial" w:cs="Arial"/>
          <w:color w:val="000000"/>
          <w:lang w:val="en-GB"/>
        </w:rPr>
        <w:t xml:space="preserve"> January 2016–June 2025, with earlier seminal works included where foundational to method or concept.</w:t>
      </w:r>
    </w:p>
    <w:p w14:paraId="2A1F26D7" w14:textId="4F74F175"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Inclusion</w:t>
      </w:r>
      <w:r w:rsidR="002F0827">
        <w:rPr>
          <w:rFonts w:ascii="Arial" w:eastAsia="MS Mincho" w:hAnsi="Arial" w:cs="Arial"/>
          <w:b/>
          <w:bCs/>
          <w:color w:val="000000"/>
          <w:lang w:val="en-GB"/>
        </w:rPr>
        <w:t>.</w:t>
      </w:r>
    </w:p>
    <w:p w14:paraId="0821CC51"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 xml:space="preserve">Peer-reviewed studies and UK-relevant policy/evaluation reports 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in higher education or with transferable HE insights linked to SDG 4/10.</w:t>
      </w:r>
    </w:p>
    <w:p w14:paraId="13A7FA79"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Empirical (quantitative or qualitative) and conceptual work connecting inclusive design to participation, attainment, progression, or outcomes.</w:t>
      </w:r>
    </w:p>
    <w:p w14:paraId="2E40AC88" w14:textId="77777777" w:rsidR="00175D5D" w:rsidRPr="00175D5D" w:rsidRDefault="00175D5D" w:rsidP="00A92172">
      <w:pPr>
        <w:numPr>
          <w:ilvl w:val="0"/>
          <w:numId w:val="27"/>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Records first identified via AI-assisted tools were included only after verification in primary databases or official sector sources.</w:t>
      </w:r>
    </w:p>
    <w:p w14:paraId="02279635" w14:textId="0534A39A"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Exclusion</w:t>
      </w:r>
      <w:r w:rsidR="002F0827">
        <w:rPr>
          <w:rFonts w:ascii="Arial" w:eastAsia="MS Mincho" w:hAnsi="Arial" w:cs="Arial"/>
          <w:b/>
          <w:bCs/>
          <w:color w:val="000000"/>
          <w:lang w:val="en-GB"/>
        </w:rPr>
        <w:t>.</w:t>
      </w:r>
    </w:p>
    <w:p w14:paraId="43BA1697" w14:textId="77777777"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Studies solely on primary/secondary education without clear transferability to HE.</w:t>
      </w:r>
    </w:p>
    <w:p w14:paraId="5501868F" w14:textId="77777777"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Publications not in English.</w:t>
      </w:r>
    </w:p>
    <w:p w14:paraId="3693F56A" w14:textId="7E21F7AA" w:rsidR="00175D5D" w:rsidRPr="00175D5D" w:rsidRDefault="00175D5D" w:rsidP="00A92172">
      <w:pPr>
        <w:numPr>
          <w:ilvl w:val="0"/>
          <w:numId w:val="28"/>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Articles focused only on assistive technologies without a pedagogical/</w:t>
      </w:r>
      <w:proofErr w:type="spellStart"/>
      <w:r w:rsidR="009967E6">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context.</w:t>
      </w:r>
    </w:p>
    <w:p w14:paraId="653AB8B3" w14:textId="604654EB" w:rsidR="00175D5D" w:rsidRPr="00175D5D" w:rsidRDefault="00175D5D" w:rsidP="00A44044">
      <w:pPr>
        <w:pStyle w:val="Heading2"/>
        <w:rPr>
          <w:lang w:val="en-GB"/>
        </w:rPr>
      </w:pPr>
      <w:bookmarkStart w:id="7" w:name="_Toc206171127"/>
      <w:r w:rsidRPr="00175D5D">
        <w:rPr>
          <w:lang w:val="en-GB"/>
        </w:rPr>
        <w:lastRenderedPageBreak/>
        <w:t>2.3 Search strategy</w:t>
      </w:r>
      <w:r w:rsidR="002F0827">
        <w:rPr>
          <w:lang w:val="en-GB"/>
        </w:rPr>
        <w:t>.</w:t>
      </w:r>
      <w:bookmarkEnd w:id="7"/>
    </w:p>
    <w:p w14:paraId="18CC9906" w14:textId="6FF54A7A"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b/>
          <w:bCs/>
          <w:color w:val="000000"/>
          <w:lang w:val="en-GB"/>
        </w:rPr>
        <w:br/>
      </w:r>
      <w:r w:rsidR="00175D5D" w:rsidRPr="00175D5D">
        <w:rPr>
          <w:rFonts w:ascii="Arial" w:eastAsia="MS Mincho" w:hAnsi="Arial" w:cs="Arial"/>
          <w:b/>
          <w:bCs/>
          <w:color w:val="000000"/>
          <w:lang w:val="en-GB"/>
        </w:rPr>
        <w:t>Search period:</w:t>
      </w:r>
      <w:r w:rsidR="00175D5D" w:rsidRPr="00175D5D">
        <w:rPr>
          <w:rFonts w:ascii="Arial" w:eastAsia="MS Mincho" w:hAnsi="Arial" w:cs="Arial"/>
          <w:color w:val="000000"/>
          <w:lang w:val="en-GB"/>
        </w:rPr>
        <w:t xml:space="preserve"> April–</w:t>
      </w:r>
      <w:r w:rsidR="002B59C6">
        <w:rPr>
          <w:rFonts w:ascii="Arial" w:eastAsia="MS Mincho" w:hAnsi="Arial" w:cs="Arial"/>
          <w:color w:val="000000"/>
          <w:lang w:val="en-GB"/>
        </w:rPr>
        <w:t>August</w:t>
      </w:r>
      <w:r w:rsidR="00175D5D" w:rsidRPr="00175D5D">
        <w:rPr>
          <w:rFonts w:ascii="Arial" w:eastAsia="MS Mincho" w:hAnsi="Arial" w:cs="Arial"/>
          <w:color w:val="000000"/>
          <w:lang w:val="en-GB"/>
        </w:rPr>
        <w:t xml:space="preserve"> 2025.</w:t>
      </w:r>
    </w:p>
    <w:p w14:paraId="7C174787" w14:textId="60275720"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Databases and sources</w:t>
      </w:r>
      <w:r w:rsidR="002F0827">
        <w:rPr>
          <w:rFonts w:ascii="Arial" w:eastAsia="MS Mincho" w:hAnsi="Arial" w:cs="Arial"/>
          <w:b/>
          <w:bCs/>
          <w:color w:val="000000"/>
          <w:lang w:val="en-GB"/>
        </w:rPr>
        <w:t>.</w:t>
      </w:r>
    </w:p>
    <w:p w14:paraId="242009C5"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ERIC, Web of Science, and British Education Index (EBSCO) for peer-reviewed literature.</w:t>
      </w:r>
    </w:p>
    <w:p w14:paraId="7C238AA0"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Google Scholar and institutional repositories for peer-reviewed and for grey literature/policy reports.</w:t>
      </w:r>
    </w:p>
    <w:p w14:paraId="7A8A27F0"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Publisher platforms including ScienceDirect (Elsevier), SpringerLink, Wiley Online Library, Taylor &amp; Francis Online.</w:t>
      </w:r>
    </w:p>
    <w:p w14:paraId="212B204B"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UK sector bodies: Advance HE, QAA, Universities UK (UUK), and Disabled Students UK (</w:t>
      </w:r>
      <w:proofErr w:type="spellStart"/>
      <w:r w:rsidRPr="00175D5D">
        <w:rPr>
          <w:rFonts w:ascii="Arial" w:eastAsia="MS Mincho" w:hAnsi="Arial" w:cs="Arial"/>
          <w:color w:val="000000"/>
          <w:lang w:val="en-GB"/>
        </w:rPr>
        <w:t>DSUK</w:t>
      </w:r>
      <w:proofErr w:type="spellEnd"/>
      <w:r w:rsidRPr="00175D5D">
        <w:rPr>
          <w:rFonts w:ascii="Arial" w:eastAsia="MS Mincho" w:hAnsi="Arial" w:cs="Arial"/>
          <w:color w:val="000000"/>
          <w:lang w:val="en-GB"/>
        </w:rPr>
        <w:t>) for guidance, frameworks, and sector analyses.</w:t>
      </w:r>
    </w:p>
    <w:p w14:paraId="0E82ABB3" w14:textId="77777777" w:rsidR="00175D5D" w:rsidRPr="00175D5D" w:rsidRDefault="00175D5D" w:rsidP="00A92172">
      <w:pPr>
        <w:numPr>
          <w:ilvl w:val="0"/>
          <w:numId w:val="29"/>
        </w:numPr>
        <w:spacing w:after="160" w:line="480" w:lineRule="auto"/>
        <w:rPr>
          <w:rFonts w:ascii="Arial" w:eastAsia="MS Mincho" w:hAnsi="Arial" w:cs="Arial"/>
          <w:color w:val="000000"/>
          <w:lang w:val="en-GB"/>
        </w:rPr>
      </w:pPr>
      <w:r w:rsidRPr="00175D5D">
        <w:rPr>
          <w:rFonts w:ascii="Arial" w:eastAsia="MS Mincho" w:hAnsi="Arial" w:cs="Arial"/>
          <w:color w:val="000000"/>
          <w:lang w:val="en-GB"/>
        </w:rPr>
        <w:t>AI-assisted discovery tools (Elicit, Consensus, SciSpace) used to identify a wider range of relevant sources, such as candidate papers and policy documents, in addition to tracing citation trails, refining keywords, and relevance. AI summaries were not treated as evidence; all included sources were checked against originals in the sources above.</w:t>
      </w:r>
    </w:p>
    <w:p w14:paraId="4601AC52" w14:textId="414070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Search terms</w:t>
      </w:r>
      <w:r w:rsidR="002F0827">
        <w:rPr>
          <w:rFonts w:ascii="Arial" w:eastAsia="MS Mincho" w:hAnsi="Arial" w:cs="Arial"/>
          <w:b/>
          <w:bCs/>
          <w:color w:val="000000"/>
          <w:lang w:val="en-GB"/>
        </w:rPr>
        <w:t>.</w:t>
      </w:r>
    </w:p>
    <w:p w14:paraId="493CABC4" w14:textId="77777777" w:rsidR="00175D5D" w:rsidRPr="00175D5D" w:rsidRDefault="00175D5D" w:rsidP="00A92172">
      <w:pPr>
        <w:numPr>
          <w:ilvl w:val="0"/>
          <w:numId w:val="30"/>
        </w:numPr>
        <w:spacing w:after="160" w:line="480" w:lineRule="auto"/>
        <w:contextualSpacing/>
        <w:rPr>
          <w:rFonts w:ascii="Arial" w:eastAsia="MS Mincho" w:hAnsi="Arial" w:cs="Arial"/>
          <w:color w:val="000000"/>
          <w:lang w:val="en-GB"/>
        </w:rPr>
      </w:pPr>
      <w:r w:rsidRPr="00175D5D">
        <w:rPr>
          <w:rFonts w:ascii="Arial" w:eastAsia="MS Mincho" w:hAnsi="Arial" w:cs="Arial"/>
          <w:color w:val="000000"/>
          <w:lang w:val="en-GB"/>
        </w:rPr>
        <w:t xml:space="preserve">Boolean operators and phrase searching, for example: </w:t>
      </w:r>
    </w:p>
    <w:p w14:paraId="37966036" w14:textId="77777777" w:rsidR="00175D5D" w:rsidRPr="00175D5D" w:rsidRDefault="00175D5D" w:rsidP="00A92172">
      <w:pPr>
        <w:spacing w:line="480" w:lineRule="auto"/>
        <w:ind w:left="720"/>
        <w:contextualSpacing/>
        <w:rPr>
          <w:rFonts w:ascii="Arial" w:eastAsia="MS Mincho" w:hAnsi="Arial" w:cs="Arial"/>
          <w:color w:val="000000"/>
          <w:lang w:val="en-GB"/>
        </w:rPr>
      </w:pPr>
      <w:r w:rsidRPr="00175D5D">
        <w:rPr>
          <w:rFonts w:ascii="Arial" w:eastAsia="MS Mincho" w:hAnsi="Arial" w:cs="Arial"/>
          <w:color w:val="000000"/>
          <w:lang w:val="en-GB"/>
        </w:rPr>
        <w:t xml:space="preserve">“Universal Design for Learning” OR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OR “inclusive pedagogy” OR “universal design for instruction”) AND (“higher education” OR HE OR university OR universities) AND (UK OR “United Kingdom” OR England OR Scotland OR Wales OR “Northern Ireland”) AND (“Sustainable Development Goal*” OR SDG* OR </w:t>
      </w:r>
      <w:r w:rsidRPr="00175D5D">
        <w:rPr>
          <w:rFonts w:ascii="Arial" w:eastAsia="MS Mincho" w:hAnsi="Arial" w:cs="Arial"/>
          <w:color w:val="000000"/>
          <w:lang w:val="en-GB"/>
        </w:rPr>
        <w:lastRenderedPageBreak/>
        <w:t xml:space="preserve">“Agenda 2030”) AND (“SDG 4” OR SDG4 OR “Quality Education”) AND (“SDG 10” OR SDG10 OR “Reduced Inequalities”) </w:t>
      </w:r>
    </w:p>
    <w:p w14:paraId="1EF5C193"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br/>
        <w:t>Additional terms included:</w:t>
      </w:r>
    </w:p>
    <w:p w14:paraId="550FE298"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Inclusive teaching, accessibility, neurodiversity, and educational inequality.</w:t>
      </w:r>
    </w:p>
    <w:p w14:paraId="5D74B1EA"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Reference lists of included studies were hand-searched to identify further sources.</w:t>
      </w:r>
    </w:p>
    <w:p w14:paraId="60DA4FE6" w14:textId="448519ED" w:rsidR="00175D5D" w:rsidRPr="00175D5D" w:rsidRDefault="00175D5D" w:rsidP="00A44044">
      <w:pPr>
        <w:pStyle w:val="Heading2"/>
        <w:rPr>
          <w:lang w:val="en-GB"/>
        </w:rPr>
      </w:pPr>
      <w:bookmarkStart w:id="8" w:name="_Toc206171128"/>
      <w:r w:rsidRPr="00175D5D">
        <w:rPr>
          <w:lang w:val="en-GB"/>
        </w:rPr>
        <w:t>2.4 Screening and selection</w:t>
      </w:r>
      <w:r w:rsidR="002F0827">
        <w:rPr>
          <w:lang w:val="en-GB"/>
        </w:rPr>
        <w:t>.</w:t>
      </w:r>
      <w:bookmarkEnd w:id="8"/>
    </w:p>
    <w:p w14:paraId="323807FE" w14:textId="7C6D6D2D" w:rsid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 xml:space="preserve">The initial search produced 238 records. After title/abstract screening, 94 were retained for full-text review. 52 sources met the inclusion criteria, and a research matrix was produced and coded for analysis. Coding categories included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focus and principles in practice; relevance to SDG 4; research methodology; relevance to both SDG 4 and SDG 10; UK-based; barriers/enablers to implementation; and evidence of institutional outcomes (e.g., retention, attainment, satisfaction).</w:t>
      </w:r>
    </w:p>
    <w:p w14:paraId="2F8B99F9" w14:textId="6531DA00" w:rsidR="002F0827" w:rsidRDefault="002F0827" w:rsidP="002F0827">
      <w:pPr>
        <w:spacing w:line="480" w:lineRule="auto"/>
        <w:rPr>
          <w:rFonts w:ascii="Arial" w:eastAsia="MS Mincho" w:hAnsi="Arial" w:cs="Arial"/>
          <w:color w:val="000000"/>
          <w:lang w:val="en-GB"/>
        </w:rPr>
      </w:pPr>
      <w:r w:rsidRPr="002F0827">
        <w:rPr>
          <w:rFonts w:ascii="Arial" w:eastAsia="MS Mincho" w:hAnsi="Arial" w:cs="Arial"/>
          <w:b/>
          <w:bCs/>
          <w:color w:val="000000"/>
        </w:rPr>
        <w:t>2.</w:t>
      </w:r>
      <w:r>
        <w:rPr>
          <w:rFonts w:ascii="Arial" w:eastAsia="MS Mincho" w:hAnsi="Arial" w:cs="Arial"/>
          <w:b/>
          <w:bCs/>
          <w:color w:val="000000"/>
        </w:rPr>
        <w:t>5.</w:t>
      </w:r>
      <w:r w:rsidRPr="002F0827">
        <w:rPr>
          <w:rFonts w:ascii="Arial" w:eastAsia="MS Mincho" w:hAnsi="Arial" w:cs="Arial"/>
          <w:b/>
          <w:bCs/>
          <w:color w:val="000000"/>
        </w:rPr>
        <w:t xml:space="preserve"> Analysis and Synthesis</w:t>
      </w:r>
      <w:r>
        <w:rPr>
          <w:rFonts w:ascii="Arial" w:eastAsia="MS Mincho" w:hAnsi="Arial" w:cs="Arial"/>
          <w:b/>
          <w:bCs/>
          <w:color w:val="000000"/>
        </w:rPr>
        <w:t>.</w:t>
      </w:r>
    </w:p>
    <w:p w14:paraId="75F30902" w14:textId="0DDE9876" w:rsidR="002F0827" w:rsidRPr="002F0827" w:rsidRDefault="002F0827" w:rsidP="002F0827">
      <w:pPr>
        <w:spacing w:line="480" w:lineRule="auto"/>
        <w:rPr>
          <w:rFonts w:ascii="Arial" w:eastAsia="MS Mincho" w:hAnsi="Arial" w:cs="Arial"/>
          <w:b/>
          <w:bCs/>
          <w:color w:val="000000"/>
        </w:rPr>
      </w:pPr>
      <w:r w:rsidRPr="002F0827">
        <w:rPr>
          <w:rFonts w:ascii="Arial" w:eastAsia="MS Mincho" w:hAnsi="Arial" w:cs="Arial"/>
          <w:color w:val="000000"/>
          <w:lang w:val="en-GB"/>
        </w:rPr>
        <w:t xml:space="preserve">A thematic analysis was applied to the researched literature to identify recurring patterns, barriers, and factors that facilitate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in HE. A coding framework was developed inductively, derived from the literature. Open coding followed through the reading of research literature, before grouping into ‘higher-order themes’ (Braun &amp; Clarke, 2022). Findings in this report are presented under thematic headings aligning with the </w:t>
      </w:r>
      <w:proofErr w:type="spellStart"/>
      <w:r w:rsidRPr="002F0827">
        <w:rPr>
          <w:rFonts w:ascii="Arial" w:eastAsia="MS Mincho" w:hAnsi="Arial" w:cs="Arial"/>
          <w:color w:val="000000"/>
          <w:lang w:val="en-GB"/>
        </w:rPr>
        <w:t>UDL</w:t>
      </w:r>
      <w:proofErr w:type="spellEnd"/>
      <w:r w:rsidRPr="002F0827">
        <w:rPr>
          <w:rFonts w:ascii="Arial" w:eastAsia="MS Mincho" w:hAnsi="Arial" w:cs="Arial"/>
          <w:color w:val="000000"/>
          <w:lang w:val="en-GB"/>
        </w:rPr>
        <w:t xml:space="preserve"> framework (CAST, 2018) and the SDG targets.</w:t>
      </w:r>
    </w:p>
    <w:p w14:paraId="7AAC49E4" w14:textId="69572C06" w:rsidR="002F0827" w:rsidRDefault="002F0827" w:rsidP="00A92172">
      <w:pPr>
        <w:spacing w:line="480" w:lineRule="auto"/>
        <w:rPr>
          <w:rFonts w:ascii="Arial" w:eastAsia="MS Mincho" w:hAnsi="Arial" w:cs="Arial"/>
          <w:color w:val="000000"/>
          <w:lang w:val="en-GB"/>
        </w:rPr>
      </w:pPr>
      <w:r w:rsidRPr="002F0827">
        <w:rPr>
          <w:rFonts w:ascii="Arial" w:eastAsia="MS Mincho" w:hAnsi="Arial" w:cs="Arial"/>
          <w:color w:val="000000"/>
          <w:lang w:val="en-GB"/>
        </w:rPr>
        <w:t>By using a semi-systematic integrative approach, this review seeks to balance the breadth of coverage with a depth of analysis, presenting a cohesive interpretation that informs both the academic and the shaping of higher education policy</w:t>
      </w:r>
      <w:r w:rsidR="00586234">
        <w:rPr>
          <w:rFonts w:ascii="Arial" w:eastAsia="MS Mincho" w:hAnsi="Arial" w:cs="Arial"/>
          <w:color w:val="000000"/>
          <w:lang w:val="en-GB"/>
        </w:rPr>
        <w:t>.</w:t>
      </w:r>
    </w:p>
    <w:p w14:paraId="042A5F6B" w14:textId="77777777" w:rsidR="00B370A7" w:rsidRPr="00175D5D" w:rsidRDefault="00B370A7" w:rsidP="00A92172">
      <w:pPr>
        <w:spacing w:line="480" w:lineRule="auto"/>
        <w:rPr>
          <w:rFonts w:ascii="Arial" w:eastAsia="MS Mincho" w:hAnsi="Arial" w:cs="Arial"/>
          <w:color w:val="000000"/>
          <w:lang w:val="en-GB"/>
        </w:rPr>
      </w:pPr>
    </w:p>
    <w:p w14:paraId="2A976228" w14:textId="7E14208E" w:rsidR="00175D5D" w:rsidRPr="001E42BE" w:rsidRDefault="00175D5D" w:rsidP="001E42BE">
      <w:pPr>
        <w:pStyle w:val="Heading2"/>
      </w:pPr>
      <w:bookmarkStart w:id="9" w:name="_Toc206171129"/>
      <w:r w:rsidRPr="001E42BE">
        <w:t>2.</w:t>
      </w:r>
      <w:r w:rsidR="002F0827">
        <w:t xml:space="preserve">6. </w:t>
      </w:r>
      <w:r w:rsidRPr="001E42BE">
        <w:t>Limitations</w:t>
      </w:r>
      <w:r w:rsidR="002F0827">
        <w:t>.</w:t>
      </w:r>
      <w:bookmarkEnd w:id="9"/>
    </w:p>
    <w:p w14:paraId="0C9D6BEE" w14:textId="41566EF8"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583E44" w:rsidRPr="00583E44">
        <w:rPr>
          <w:rFonts w:ascii="Arial" w:eastAsia="MS Mincho" w:hAnsi="Arial" w:cs="Arial"/>
          <w:color w:val="000000"/>
          <w:lang w:val="en-GB"/>
        </w:rPr>
        <w:t>This semi-systematic integrative review has several limitations</w:t>
      </w:r>
      <w:r w:rsidR="00583E44">
        <w:rPr>
          <w:rFonts w:ascii="Arial" w:eastAsia="MS Mincho" w:hAnsi="Arial" w:cs="Arial"/>
          <w:color w:val="000000"/>
          <w:lang w:val="en-GB"/>
        </w:rPr>
        <w:t>.</w:t>
      </w:r>
    </w:p>
    <w:p w14:paraId="0E42434F"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Timeframe.</w:t>
      </w:r>
      <w:r w:rsidRPr="00175D5D">
        <w:rPr>
          <w:rFonts w:ascii="Arial" w:eastAsia="MS Mincho" w:hAnsi="Arial" w:cs="Arial"/>
          <w:color w:val="000000"/>
          <w:lang w:val="en-GB"/>
        </w:rPr>
        <w:t xml:space="preserve"> A seven-year window keeps the evidence current but may under-represent foundational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development that shaped policy and practice (Whittemore &amp; </w:t>
      </w:r>
      <w:proofErr w:type="spellStart"/>
      <w:r w:rsidRPr="00175D5D">
        <w:rPr>
          <w:rFonts w:ascii="Arial" w:eastAsia="MS Mincho" w:hAnsi="Arial" w:cs="Arial"/>
          <w:color w:val="000000"/>
          <w:lang w:val="en-GB"/>
        </w:rPr>
        <w:t>Knafl</w:t>
      </w:r>
      <w:proofErr w:type="spellEnd"/>
      <w:r w:rsidRPr="00175D5D">
        <w:rPr>
          <w:rFonts w:ascii="Arial" w:eastAsia="MS Mincho" w:hAnsi="Arial" w:cs="Arial"/>
          <w:color w:val="000000"/>
          <w:lang w:val="en-GB"/>
        </w:rPr>
        <w:t>, 2005; Snyder, 2019).</w:t>
      </w:r>
    </w:p>
    <w:p w14:paraId="1F1CE9DE"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Scope and language.</w:t>
      </w:r>
      <w:r w:rsidRPr="00175D5D">
        <w:rPr>
          <w:rFonts w:ascii="Arial" w:eastAsia="MS Mincho" w:hAnsi="Arial" w:cs="Arial"/>
          <w:color w:val="000000"/>
          <w:lang w:val="en-GB"/>
        </w:rPr>
        <w:t xml:space="preserve"> The focus on UK higher education and English-language sources may omit relevant European and international work that could inform UK practice.</w:t>
      </w:r>
    </w:p>
    <w:p w14:paraId="3344BE05"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Evidence base.</w:t>
      </w:r>
      <w:r w:rsidRPr="00175D5D">
        <w:rPr>
          <w:rFonts w:ascii="Arial" w:eastAsia="MS Mincho" w:hAnsi="Arial" w:cs="Arial"/>
          <w:color w:val="000000"/>
          <w:lang w:val="en-GB"/>
        </w:rPr>
        <w:t xml:space="preserve"> UK empirical studies on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are significantly less than those in North American and Canadian literature, so some inferences utilise international findings produced in different policy and funding contexts; transferability to UK settings may be partial (</w:t>
      </w:r>
      <w:proofErr w:type="spellStart"/>
      <w:r w:rsidRPr="00175D5D">
        <w:rPr>
          <w:rFonts w:ascii="Arial" w:eastAsia="MS Mincho" w:hAnsi="Arial" w:cs="Arial"/>
          <w:color w:val="000000"/>
          <w:lang w:val="en-GB"/>
        </w:rPr>
        <w:t>Tarconish</w:t>
      </w:r>
      <w:proofErr w:type="spellEnd"/>
      <w:r w:rsidRPr="00175D5D">
        <w:rPr>
          <w:rFonts w:ascii="Arial" w:eastAsia="MS Mincho" w:hAnsi="Arial" w:cs="Arial"/>
          <w:color w:val="000000"/>
          <w:lang w:val="en-GB"/>
        </w:rPr>
        <w:t>, Scott, Banerjee, &amp; Lombardi, 2023; Seale, 2021; Qu &amp; Cross, 2024).</w:t>
      </w:r>
    </w:p>
    <w:p w14:paraId="6F3A8D85" w14:textId="4FBABCC2"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Search and selection.</w:t>
      </w:r>
      <w:r w:rsidRPr="00175D5D">
        <w:rPr>
          <w:rFonts w:ascii="Arial" w:eastAsia="MS Mincho" w:hAnsi="Arial" w:cs="Arial"/>
          <w:color w:val="000000"/>
          <w:lang w:val="en-GB"/>
        </w:rPr>
        <w:t xml:space="preserve"> Semi-systematic</w:t>
      </w:r>
      <w:r w:rsidR="00A92172">
        <w:rPr>
          <w:rFonts w:ascii="Arial" w:eastAsia="MS Mincho" w:hAnsi="Arial" w:cs="Arial"/>
          <w:color w:val="000000"/>
          <w:lang w:val="en-GB"/>
        </w:rPr>
        <w:t xml:space="preserve"> integrative</w:t>
      </w:r>
      <w:r w:rsidRPr="00175D5D">
        <w:rPr>
          <w:rFonts w:ascii="Arial" w:eastAsia="MS Mincho" w:hAnsi="Arial" w:cs="Arial"/>
          <w:color w:val="000000"/>
          <w:lang w:val="en-GB"/>
        </w:rPr>
        <w:t xml:space="preserve"> designs use iterative searching, purposive selection, and integration of peer-reviewed</w:t>
      </w:r>
      <w:r w:rsidR="00A92172">
        <w:rPr>
          <w:rFonts w:ascii="Arial" w:eastAsia="MS Mincho" w:hAnsi="Arial" w:cs="Arial"/>
          <w:color w:val="000000"/>
          <w:lang w:val="en-GB"/>
        </w:rPr>
        <w:t>, grey literature</w:t>
      </w:r>
      <w:r w:rsidRPr="00175D5D">
        <w:rPr>
          <w:rFonts w:ascii="Arial" w:eastAsia="MS Mincho" w:hAnsi="Arial" w:cs="Arial"/>
          <w:color w:val="000000"/>
          <w:lang w:val="en-GB"/>
        </w:rPr>
        <w:t xml:space="preserve"> and practice-led sources. This supports depth and sector relevance but weakens reproducibility compared with a fully focused protocol. Reporting follows key elements of search transparency, though it does not meet the full PRISMA/PRISMA-S standards, which limits auditability (Grant &amp; Booth, 2009; Page et al., 2021; </w:t>
      </w:r>
      <w:proofErr w:type="spellStart"/>
      <w:r w:rsidRPr="00175D5D">
        <w:rPr>
          <w:rFonts w:ascii="Arial" w:eastAsia="MS Mincho" w:hAnsi="Arial" w:cs="Arial"/>
          <w:color w:val="000000"/>
          <w:lang w:val="en-GB"/>
        </w:rPr>
        <w:t>Rethlefsen</w:t>
      </w:r>
      <w:proofErr w:type="spellEnd"/>
      <w:r w:rsidRPr="00175D5D">
        <w:rPr>
          <w:rFonts w:ascii="Arial" w:eastAsia="MS Mincho" w:hAnsi="Arial" w:cs="Arial"/>
          <w:color w:val="000000"/>
          <w:lang w:val="en-GB"/>
        </w:rPr>
        <w:t xml:space="preserve"> et al., 2021; Snyder, 2019).</w:t>
      </w:r>
    </w:p>
    <w:p w14:paraId="34542100"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Quality appraisal.</w:t>
      </w:r>
      <w:r w:rsidRPr="00175D5D">
        <w:rPr>
          <w:rFonts w:ascii="Arial" w:eastAsia="MS Mincho" w:hAnsi="Arial" w:cs="Arial"/>
          <w:color w:val="000000"/>
          <w:lang w:val="en-GB"/>
        </w:rPr>
        <w:t xml:space="preserve"> The secondary studies included qualitative, quantitative, and mixed methods. A formal, design-agnostic appraisal tool (e.g., </w:t>
      </w:r>
      <w:proofErr w:type="spellStart"/>
      <w:r w:rsidRPr="00175D5D">
        <w:rPr>
          <w:rFonts w:ascii="Arial" w:eastAsia="MS Mincho" w:hAnsi="Arial" w:cs="Arial"/>
          <w:color w:val="000000"/>
          <w:lang w:val="en-GB"/>
        </w:rPr>
        <w:t>MMAT</w:t>
      </w:r>
      <w:proofErr w:type="spellEnd"/>
      <w:r w:rsidRPr="00175D5D">
        <w:rPr>
          <w:rFonts w:ascii="Arial" w:eastAsia="MS Mincho" w:hAnsi="Arial" w:cs="Arial"/>
          <w:color w:val="000000"/>
          <w:lang w:val="en-GB"/>
        </w:rPr>
        <w:t xml:space="preserve"> 2018) was not applied, which constrains the strength of claims about study quality and the weight placed on individual findings (Hong et al., 2018). However, all research was subject to whether it was </w:t>
      </w:r>
      <w:r w:rsidRPr="00175D5D">
        <w:rPr>
          <w:rFonts w:ascii="Arial" w:eastAsia="MS Mincho" w:hAnsi="Arial" w:cs="Arial"/>
          <w:color w:val="000000"/>
          <w:lang w:val="en-GB"/>
        </w:rPr>
        <w:lastRenderedPageBreak/>
        <w:t xml:space="preserve">an empirical study and its relevance to the review. The use of grey literature was similarly not subjected to extensive appraisal (e.g. </w:t>
      </w:r>
      <w:proofErr w:type="spellStart"/>
      <w:r w:rsidRPr="00175D5D">
        <w:rPr>
          <w:rFonts w:ascii="Arial" w:eastAsia="MS Mincho" w:hAnsi="Arial" w:cs="Arial"/>
          <w:color w:val="000000"/>
          <w:lang w:val="en-GB"/>
        </w:rPr>
        <w:t>AACODS</w:t>
      </w:r>
      <w:proofErr w:type="spellEnd"/>
      <w:r w:rsidRPr="00175D5D">
        <w:rPr>
          <w:rFonts w:ascii="Arial" w:eastAsia="MS Mincho" w:hAnsi="Arial" w:cs="Arial"/>
          <w:color w:val="000000"/>
          <w:lang w:val="en-GB"/>
        </w:rPr>
        <w:t>).</w:t>
      </w:r>
    </w:p>
    <w:p w14:paraId="1A82D63E"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Terminology and retrieval.</w:t>
      </w:r>
      <w:r w:rsidRPr="00175D5D">
        <w:rPr>
          <w:rFonts w:ascii="Arial" w:eastAsia="MS Mincho" w:hAnsi="Arial" w:cs="Arial"/>
          <w:color w:val="000000"/>
          <w:lang w:val="en-GB"/>
        </w:rPr>
        <w:t xml:space="preserve"> Initial retrieval was complicated by inconsistent labelling: many UK initiatives implement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-aligned practices without using the term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Expanded synonym strings (e.g., “inclusive pedagogy,” “universal design for instruction”), citation chasing (snowballing), and targeted policy-portal searches reduced this risk but cannot remove it entirely (Grant &amp; Booth, 2009; Qu &amp; Cross, 2024).</w:t>
      </w:r>
    </w:p>
    <w:p w14:paraId="2861C8D0"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Grey literature.</w:t>
      </w:r>
      <w:r w:rsidRPr="00175D5D">
        <w:rPr>
          <w:rFonts w:ascii="Arial" w:eastAsia="MS Mincho" w:hAnsi="Arial" w:cs="Arial"/>
          <w:color w:val="000000"/>
          <w:lang w:val="en-GB"/>
        </w:rPr>
        <w:t xml:space="preserve"> Sector reports and institutional case studies add currency and practical insight yet often lack detailed methods and may present selective or positive results (Paez, 2017).</w:t>
      </w:r>
    </w:p>
    <w:p w14:paraId="4A61A78F" w14:textId="08E170B3"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lang w:val="en-GB"/>
        </w:rPr>
        <w:t>SDG mapping.</w:t>
      </w:r>
      <w:r w:rsidRPr="00175D5D">
        <w:rPr>
          <w:rFonts w:ascii="Arial" w:eastAsia="MS Mincho" w:hAnsi="Arial" w:cs="Arial"/>
          <w:color w:val="000000"/>
          <w:lang w:val="en-GB"/>
        </w:rPr>
        <w:t xml:space="preserve"> </w:t>
      </w:r>
      <w:r w:rsidRPr="00175D5D">
        <w:rPr>
          <w:rFonts w:ascii="Arial" w:eastAsia="MS Mincho" w:hAnsi="Arial" w:cs="Arial"/>
          <w:color w:val="000000"/>
        </w:rPr>
        <w:t xml:space="preserve">The link between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and SDG 4 (Quality Education) and SDG 10 (Reduced Inequalities) in this review is framed as ‘conceptual and strategic alignments’ with the UN’s stated targets and indicators.</w:t>
      </w:r>
      <w:r w:rsidR="00DF23B5">
        <w:rPr>
          <w:rFonts w:ascii="Arial" w:eastAsia="MS Mincho" w:hAnsi="Arial" w:cs="Arial"/>
          <w:color w:val="000000"/>
        </w:rPr>
        <w:br/>
      </w:r>
      <w:r w:rsidRPr="00175D5D">
        <w:rPr>
          <w:rFonts w:ascii="Arial" w:eastAsia="MS Mincho" w:hAnsi="Arial" w:cs="Arial"/>
          <w:color w:val="000000"/>
        </w:rPr>
        <w:br/>
        <w:t xml:space="preserve">They are not presented as direct causal evidence that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at the level of an individual module, </w:t>
      </w:r>
      <w:proofErr w:type="spellStart"/>
      <w:r w:rsidRPr="00175D5D">
        <w:rPr>
          <w:rFonts w:ascii="Arial" w:eastAsia="MS Mincho" w:hAnsi="Arial" w:cs="Arial"/>
          <w:color w:val="000000"/>
        </w:rPr>
        <w:t>programme</w:t>
      </w:r>
      <w:proofErr w:type="spellEnd"/>
      <w:r w:rsidRPr="00175D5D">
        <w:rPr>
          <w:rFonts w:ascii="Arial" w:eastAsia="MS Mincho" w:hAnsi="Arial" w:cs="Arial"/>
          <w:color w:val="000000"/>
        </w:rPr>
        <w:t>, or institution will, by itself, produce measurable changes in national or global SDG performance metrics.</w:t>
      </w:r>
    </w:p>
    <w:p w14:paraId="63443980" w14:textId="3EE09B1A" w:rsidR="001E42BE"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Focus.</w:t>
      </w:r>
      <w:r w:rsidRPr="00175D5D">
        <w:rPr>
          <w:rFonts w:ascii="Arial" w:eastAsia="MS Mincho" w:hAnsi="Arial" w:cs="Arial"/>
          <w:color w:val="000000"/>
          <w:lang w:val="en-GB"/>
        </w:rPr>
        <w:t xml:space="preserve"> The review concentrates on teaching, lecturing, and assessment. Other determinants of equitable outcomes</w:t>
      </w:r>
      <w:r w:rsidR="001E42BE">
        <w:rPr>
          <w:rFonts w:ascii="Arial" w:eastAsia="MS Mincho" w:hAnsi="Arial" w:cs="Arial"/>
          <w:color w:val="000000"/>
          <w:lang w:val="en-GB"/>
        </w:rPr>
        <w:t xml:space="preserve">, </w:t>
      </w:r>
      <w:r w:rsidRPr="00175D5D">
        <w:rPr>
          <w:rFonts w:ascii="Arial" w:eastAsia="MS Mincho" w:hAnsi="Arial" w:cs="Arial"/>
          <w:color w:val="000000"/>
          <w:lang w:val="en-GB"/>
        </w:rPr>
        <w:t xml:space="preserve">funding regimes, admissions policy, and labour-market </w:t>
      </w:r>
      <w:r w:rsidR="001E42BE" w:rsidRPr="00175D5D">
        <w:rPr>
          <w:rFonts w:ascii="Arial" w:eastAsia="MS Mincho" w:hAnsi="Arial" w:cs="Arial"/>
          <w:color w:val="000000"/>
          <w:lang w:val="en-GB"/>
        </w:rPr>
        <w:t>conditions</w:t>
      </w:r>
      <w:r w:rsidR="001E42BE">
        <w:rPr>
          <w:rFonts w:ascii="Arial" w:eastAsia="MS Mincho" w:hAnsi="Arial" w:cs="Arial"/>
          <w:color w:val="000000"/>
          <w:lang w:val="en-GB"/>
        </w:rPr>
        <w:t>,</w:t>
      </w:r>
      <w:r w:rsidR="001E42BE" w:rsidRPr="00175D5D">
        <w:rPr>
          <w:rFonts w:ascii="Arial" w:eastAsia="MS Mincho" w:hAnsi="Arial" w:cs="Arial"/>
          <w:color w:val="000000"/>
          <w:lang w:val="en-GB"/>
        </w:rPr>
        <w:t xml:space="preserve"> are</w:t>
      </w:r>
      <w:r w:rsidRPr="00175D5D">
        <w:rPr>
          <w:rFonts w:ascii="Arial" w:eastAsia="MS Mincho" w:hAnsi="Arial" w:cs="Arial"/>
          <w:color w:val="000000"/>
          <w:lang w:val="en-GB"/>
        </w:rPr>
        <w:t xml:space="preserve"> referenced only where they inform a specific or wider (e.g., funding imperatives) pedagogical case for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Findings should be read as indicative rather than </w:t>
      </w:r>
      <w:r w:rsidR="001E42BE">
        <w:rPr>
          <w:rFonts w:ascii="Arial" w:eastAsia="MS Mincho" w:hAnsi="Arial" w:cs="Arial"/>
          <w:color w:val="000000"/>
          <w:lang w:val="en-GB"/>
        </w:rPr>
        <w:t>exhaustive.</w:t>
      </w:r>
    </w:p>
    <w:p w14:paraId="79783342" w14:textId="7B30FABE" w:rsidR="001E42BE" w:rsidRPr="00175D5D" w:rsidRDefault="001E42BE" w:rsidP="00A92172">
      <w:pPr>
        <w:spacing w:line="480" w:lineRule="auto"/>
        <w:rPr>
          <w:rFonts w:ascii="Arial" w:eastAsia="MS Mincho" w:hAnsi="Arial" w:cs="Arial"/>
          <w:color w:val="000000"/>
          <w:lang w:val="en-GB"/>
        </w:rPr>
      </w:pPr>
      <w:r w:rsidRPr="001E42BE">
        <w:rPr>
          <w:rFonts w:ascii="Arial" w:eastAsia="MS Mincho" w:hAnsi="Arial" w:cs="Arial"/>
          <w:color w:val="000000"/>
          <w:lang w:val="en-GB"/>
        </w:rPr>
        <w:lastRenderedPageBreak/>
        <w:t xml:space="preserve">Finally, it should be acknowledged that the author’s professional role as a university lecturer informs this review, potentially introducing a bias towards the pedagogical benefits and practical applications of </w:t>
      </w:r>
      <w:proofErr w:type="spellStart"/>
      <w:r>
        <w:rPr>
          <w:rFonts w:ascii="Arial" w:eastAsia="MS Mincho" w:hAnsi="Arial" w:cs="Arial"/>
          <w:color w:val="000000"/>
          <w:lang w:val="en-GB"/>
        </w:rPr>
        <w:t>UDL</w:t>
      </w:r>
      <w:proofErr w:type="spellEnd"/>
      <w:r w:rsidR="00175D5D" w:rsidRPr="00175D5D">
        <w:rPr>
          <w:rFonts w:ascii="Arial" w:eastAsia="MS Mincho" w:hAnsi="Arial" w:cs="Arial"/>
          <w:color w:val="000000"/>
          <w:lang w:val="en-GB"/>
        </w:rPr>
        <w:t>.</w:t>
      </w:r>
    </w:p>
    <w:p w14:paraId="5D4C0137" w14:textId="1071F015" w:rsidR="001E42BE" w:rsidRPr="00E425D9" w:rsidRDefault="001E42BE" w:rsidP="00E425D9">
      <w:pPr>
        <w:pStyle w:val="Heading1"/>
      </w:pPr>
      <w:bookmarkStart w:id="10" w:name="_Toc206171130"/>
      <w:r w:rsidRPr="00E425D9">
        <w:t xml:space="preserve">4. Gaps in </w:t>
      </w:r>
      <w:proofErr w:type="gramStart"/>
      <w:r w:rsidRPr="00E425D9">
        <w:t>the Literature</w:t>
      </w:r>
      <w:proofErr w:type="gramEnd"/>
      <w:r w:rsidRPr="00E425D9">
        <w:t xml:space="preserve"> and Future Research</w:t>
      </w:r>
      <w:r w:rsidR="002F0827">
        <w:t>.</w:t>
      </w:r>
      <w:bookmarkEnd w:id="10"/>
    </w:p>
    <w:p w14:paraId="47D79244" w14:textId="0482ADA3" w:rsidR="001E42BE" w:rsidRPr="001E42BE" w:rsidRDefault="001E42BE" w:rsidP="001E42BE">
      <w:pPr>
        <w:spacing w:line="480" w:lineRule="auto"/>
        <w:rPr>
          <w:rFonts w:ascii="Arial" w:eastAsia="MS Mincho" w:hAnsi="Arial" w:cs="Arial"/>
          <w:color w:val="000000"/>
          <w:lang w:val="en-GB"/>
        </w:rPr>
      </w:pPr>
      <w:r>
        <w:rPr>
          <w:rFonts w:ascii="Arial" w:eastAsia="MS Mincho" w:hAnsi="Arial" w:cs="Arial"/>
          <w:color w:val="000000"/>
          <w:lang w:val="en-GB"/>
        </w:rPr>
        <w:br/>
      </w:r>
      <w:r w:rsidRPr="001E42BE">
        <w:rPr>
          <w:rFonts w:ascii="Arial" w:eastAsia="MS Mincho" w:hAnsi="Arial" w:cs="Arial"/>
          <w:color w:val="000000"/>
          <w:lang w:val="en-GB"/>
        </w:rPr>
        <w:t xml:space="preserve">While the literature confirms the growing strategic importance of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this review also identifies several key gaps where further research is needed to inform policy and practice in the UK. Addressing these would provide a </w:t>
      </w:r>
      <w:r>
        <w:rPr>
          <w:rFonts w:ascii="Arial" w:eastAsia="MS Mincho" w:hAnsi="Arial" w:cs="Arial"/>
          <w:color w:val="000000"/>
          <w:lang w:val="en-GB"/>
        </w:rPr>
        <w:t>stronger</w:t>
      </w:r>
      <w:r w:rsidRPr="001E42BE">
        <w:rPr>
          <w:rFonts w:ascii="Arial" w:eastAsia="MS Mincho" w:hAnsi="Arial" w:cs="Arial"/>
          <w:color w:val="000000"/>
          <w:lang w:val="en-GB"/>
        </w:rPr>
        <w:t xml:space="preserve"> evidence base for the strategic recommendations that follow.</w:t>
      </w:r>
    </w:p>
    <w:p w14:paraId="34131B23" w14:textId="4BAD4989"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 xml:space="preserve">The Link Between </w:t>
      </w:r>
      <w:proofErr w:type="spellStart"/>
      <w:r w:rsidRPr="001E42BE">
        <w:rPr>
          <w:rFonts w:ascii="Arial" w:eastAsia="MS Mincho" w:hAnsi="Arial" w:cs="Arial"/>
          <w:b/>
          <w:bCs/>
          <w:color w:val="000000"/>
          <w:lang w:val="en-GB"/>
        </w:rPr>
        <w:t>UDL</w:t>
      </w:r>
      <w:proofErr w:type="spellEnd"/>
      <w:r w:rsidRPr="001E42BE">
        <w:rPr>
          <w:rFonts w:ascii="Arial" w:eastAsia="MS Mincho" w:hAnsi="Arial" w:cs="Arial"/>
          <w:b/>
          <w:bCs/>
          <w:color w:val="000000"/>
          <w:lang w:val="en-GB"/>
        </w:rPr>
        <w:t xml:space="preserve"> and Summative Attainment</w:t>
      </w:r>
      <w:r w:rsidRPr="001E42BE">
        <w:rPr>
          <w:rFonts w:ascii="Arial" w:eastAsia="MS Mincho" w:hAnsi="Arial" w:cs="Arial"/>
          <w:color w:val="000000"/>
          <w:lang w:val="en-GB"/>
        </w:rPr>
        <w:t xml:space="preserve"> A significant gap exists in understanding the direct correlation between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implementation and summative academic performance. While the literature shows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improves the learning experience, its impact on final grades remains inconsistent, and further research is required to understand how it interacts with deeper pedagogical issues like curriculum relevance or prior educational disadvantage (Boysen, 2024; Seale, 2021) </w:t>
      </w:r>
    </w:p>
    <w:p w14:paraId="5C04DEC9" w14:textId="504C083E"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Lack of UK-Specific Empirical Studies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The evidence base for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is still dominated by North American research. There is a clear need for more empirical studies based in UK higher education institutions to confirm the transferability of findings, as inferences currently rely on international studies from different policy and funding contexts (Qu &amp; Cross, 2024; Seale, 2021; </w:t>
      </w:r>
      <w:proofErr w:type="spellStart"/>
      <w:r w:rsidRPr="001E42BE">
        <w:rPr>
          <w:rFonts w:ascii="Arial" w:eastAsia="MS Mincho" w:hAnsi="Arial" w:cs="Arial"/>
          <w:color w:val="000000"/>
          <w:lang w:val="en-GB"/>
        </w:rPr>
        <w:t>Tarconish</w:t>
      </w:r>
      <w:proofErr w:type="spellEnd"/>
      <w:r w:rsidRPr="001E42BE">
        <w:rPr>
          <w:rFonts w:ascii="Arial" w:eastAsia="MS Mincho" w:hAnsi="Arial" w:cs="Arial"/>
          <w:color w:val="000000"/>
          <w:lang w:val="en-GB"/>
        </w:rPr>
        <w:t xml:space="preserve"> et al., 2023).</w:t>
      </w:r>
    </w:p>
    <w:p w14:paraId="41E3B364" w14:textId="56D1F90B" w:rsidR="001E42BE" w:rsidRPr="001E42BE" w:rsidRDefault="001E42BE" w:rsidP="001E42BE">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Measuring the Impact on SDG Metrics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The link between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and the Sustainable Development Goals is primarily framed as a conceptual and strategic alignment. A key gap exists in empirical research that provides clear methodologies for measuring how a specific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initiative directly impacts institutional or national </w:t>
      </w:r>
      <w:r w:rsidRPr="001E42BE">
        <w:rPr>
          <w:rFonts w:ascii="Arial" w:eastAsia="MS Mincho" w:hAnsi="Arial" w:cs="Arial"/>
          <w:color w:val="000000"/>
          <w:lang w:val="en-GB"/>
        </w:rPr>
        <w:lastRenderedPageBreak/>
        <w:t>progress on the official targets and indicators for SDG 4 and SDG 10 (UNESCO Technical Cooperation Group, 2023; United Nations, 2015</w:t>
      </w:r>
      <w:proofErr w:type="gramStart"/>
      <w:r w:rsidRPr="001E42BE">
        <w:rPr>
          <w:rFonts w:ascii="Arial" w:eastAsia="MS Mincho" w:hAnsi="Arial" w:cs="Arial"/>
          <w:color w:val="000000"/>
          <w:lang w:val="en-GB"/>
        </w:rPr>
        <w:t>) .</w:t>
      </w:r>
      <w:proofErr w:type="gramEnd"/>
    </w:p>
    <w:p w14:paraId="0BB7E492" w14:textId="32C6CCB9" w:rsidR="001E42BE" w:rsidRPr="001E42BE" w:rsidRDefault="001E42BE" w:rsidP="00A92172">
      <w:pPr>
        <w:numPr>
          <w:ilvl w:val="0"/>
          <w:numId w:val="50"/>
        </w:numPr>
        <w:spacing w:line="480" w:lineRule="auto"/>
        <w:rPr>
          <w:rFonts w:ascii="Arial" w:eastAsia="MS Mincho" w:hAnsi="Arial" w:cs="Arial"/>
          <w:color w:val="000000"/>
          <w:lang w:val="en-GB"/>
        </w:rPr>
      </w:pPr>
      <w:r w:rsidRPr="001E42BE">
        <w:rPr>
          <w:rFonts w:ascii="Arial" w:eastAsia="MS Mincho" w:hAnsi="Arial" w:cs="Arial"/>
          <w:b/>
          <w:bCs/>
          <w:color w:val="000000"/>
          <w:lang w:val="en-GB"/>
        </w:rPr>
        <w:t>Longitudinal Studies on Graduate Outcomes</w:t>
      </w:r>
      <w:r w:rsidR="00E425D9">
        <w:rPr>
          <w:rFonts w:ascii="Arial" w:eastAsia="MS Mincho" w:hAnsi="Arial" w:cs="Arial"/>
          <w:b/>
          <w:bCs/>
          <w:color w:val="000000"/>
          <w:lang w:val="en-GB"/>
        </w:rPr>
        <w:t>:</w:t>
      </w:r>
      <w:r w:rsidRPr="001E42BE">
        <w:rPr>
          <w:rFonts w:ascii="Arial" w:eastAsia="MS Mincho" w:hAnsi="Arial" w:cs="Arial"/>
          <w:color w:val="000000"/>
          <w:lang w:val="en-GB"/>
        </w:rPr>
        <w:t xml:space="preserve"> While </w:t>
      </w:r>
      <w:r w:rsidR="00E425D9">
        <w:rPr>
          <w:rFonts w:ascii="Arial" w:eastAsia="MS Mincho" w:hAnsi="Arial" w:cs="Arial"/>
          <w:color w:val="000000"/>
          <w:lang w:val="en-GB"/>
        </w:rPr>
        <w:t>the</w:t>
      </w:r>
      <w:r w:rsidRPr="001E42BE">
        <w:rPr>
          <w:rFonts w:ascii="Arial" w:eastAsia="MS Mincho" w:hAnsi="Arial" w:cs="Arial"/>
          <w:color w:val="000000"/>
          <w:lang w:val="en-GB"/>
        </w:rPr>
        <w:t xml:space="preserve"> review links </w:t>
      </w:r>
      <w:proofErr w:type="spellStart"/>
      <w:r w:rsidRPr="001E42BE">
        <w:rPr>
          <w:rFonts w:ascii="Arial" w:eastAsia="MS Mincho" w:hAnsi="Arial" w:cs="Arial"/>
          <w:color w:val="000000"/>
          <w:lang w:val="en-GB"/>
        </w:rPr>
        <w:t>UDL</w:t>
      </w:r>
      <w:proofErr w:type="spellEnd"/>
      <w:r w:rsidRPr="001E42BE">
        <w:rPr>
          <w:rFonts w:ascii="Arial" w:eastAsia="MS Mincho" w:hAnsi="Arial" w:cs="Arial"/>
          <w:color w:val="000000"/>
          <w:lang w:val="en-GB"/>
        </w:rPr>
        <w:t xml:space="preserve"> to the development of transferable skills for employability, which aligns with SDG 4.4, there is a lack of long-term research in this area. Longitudinal studies are needed to track graduates from </w:t>
      </w:r>
      <w:proofErr w:type="spellStart"/>
      <w:r w:rsidR="00F91366">
        <w:rPr>
          <w:rFonts w:ascii="Arial" w:eastAsia="MS Mincho" w:hAnsi="Arial" w:cs="Arial"/>
          <w:color w:val="000000"/>
          <w:lang w:val="en-GB"/>
        </w:rPr>
        <w:t>UDL</w:t>
      </w:r>
      <w:proofErr w:type="spellEnd"/>
      <w:r w:rsidR="00F91366">
        <w:rPr>
          <w:rFonts w:ascii="Arial" w:eastAsia="MS Mincho" w:hAnsi="Arial" w:cs="Arial"/>
          <w:color w:val="000000"/>
          <w:lang w:val="en-GB"/>
        </w:rPr>
        <w:t>-applied</w:t>
      </w:r>
      <w:r w:rsidRPr="001E42BE">
        <w:rPr>
          <w:rFonts w:ascii="Arial" w:eastAsia="MS Mincho" w:hAnsi="Arial" w:cs="Arial"/>
          <w:color w:val="000000"/>
          <w:lang w:val="en-GB"/>
        </w:rPr>
        <w:t xml:space="preserve"> environments to determine if the benefits of agency and flexibility translate into measurably better long-term employment and career progression (Government Digital Service, 2018; </w:t>
      </w:r>
      <w:proofErr w:type="spellStart"/>
      <w:r w:rsidRPr="001E42BE">
        <w:rPr>
          <w:rFonts w:ascii="Arial" w:eastAsia="MS Mincho" w:hAnsi="Arial" w:cs="Arial"/>
          <w:color w:val="000000"/>
          <w:lang w:val="en-GB"/>
        </w:rPr>
        <w:t>Griful-Freixenet</w:t>
      </w:r>
      <w:proofErr w:type="spellEnd"/>
      <w:r w:rsidRPr="001E42BE">
        <w:rPr>
          <w:rFonts w:ascii="Arial" w:eastAsia="MS Mincho" w:hAnsi="Arial" w:cs="Arial"/>
          <w:color w:val="000000"/>
          <w:lang w:val="en-GB"/>
        </w:rPr>
        <w:t xml:space="preserve"> et al., 2020).</w:t>
      </w:r>
    </w:p>
    <w:p w14:paraId="75EDAA70" w14:textId="67B11B51" w:rsidR="00175D5D" w:rsidRPr="00175D5D" w:rsidRDefault="00E425D9" w:rsidP="00A44044">
      <w:pPr>
        <w:pStyle w:val="Heading1"/>
      </w:pPr>
      <w:bookmarkStart w:id="11" w:name="_Toc206171131"/>
      <w:r>
        <w:t>5</w:t>
      </w:r>
      <w:r w:rsidR="00175D5D" w:rsidRPr="00175D5D">
        <w:t xml:space="preserve">. Context: Higher Education Pressures and the Case for Seamless </w:t>
      </w:r>
      <w:proofErr w:type="spellStart"/>
      <w:r w:rsidR="00175D5D" w:rsidRPr="00175D5D">
        <w:t>UDL</w:t>
      </w:r>
      <w:proofErr w:type="spellEnd"/>
      <w:r w:rsidR="002F0827">
        <w:t>.</w:t>
      </w:r>
      <w:bookmarkEnd w:id="11"/>
    </w:p>
    <w:p w14:paraId="39B08665" w14:textId="267F41D1"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In recent years, the combination of demographic and economic pressures within UK higher education has strengthened the case for sector-wide, seamless adoption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particularly so as the sector accommodates a growing proportion of neurodivergent students and learners from less </w:t>
      </w:r>
      <w:r w:rsidR="00F91366" w:rsidRPr="00175D5D">
        <w:rPr>
          <w:rFonts w:ascii="Arial" w:eastAsia="MS Mincho" w:hAnsi="Arial" w:cs="Arial"/>
          <w:color w:val="000000"/>
        </w:rPr>
        <w:t>traditional</w:t>
      </w:r>
      <w:r w:rsidR="00175D5D" w:rsidRPr="00175D5D">
        <w:rPr>
          <w:rFonts w:ascii="Arial" w:eastAsia="MS Mincho" w:hAnsi="Arial" w:cs="Arial"/>
          <w:color w:val="000000"/>
        </w:rPr>
        <w:t xml:space="preserve"> academic backgrounds (Galvin, 2024; Hubble &amp; Bolton, 2023; Richardson, 2022).</w:t>
      </w:r>
    </w:p>
    <w:p w14:paraId="4420A656"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 xml:space="preserve">This corresponds to recent studies demonstrating that embedding multiple means of engagement, representation, and expression, as used in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improves participation and attainment across such diverse cohorts (Bray, 2024; Hakel et al., 2024; </w:t>
      </w:r>
      <w:proofErr w:type="spellStart"/>
      <w:r w:rsidRPr="00175D5D">
        <w:rPr>
          <w:rFonts w:ascii="Arial" w:eastAsia="MS Mincho" w:hAnsi="Arial" w:cs="Arial"/>
          <w:color w:val="000000"/>
          <w:lang w:val="en-GB"/>
        </w:rPr>
        <w:t>Horlin</w:t>
      </w:r>
      <w:proofErr w:type="spellEnd"/>
      <w:r w:rsidRPr="00175D5D">
        <w:rPr>
          <w:rFonts w:ascii="Arial" w:eastAsia="MS Mincho" w:hAnsi="Arial" w:cs="Arial"/>
          <w:color w:val="000000"/>
          <w:lang w:val="en-GB"/>
        </w:rPr>
        <w:t xml:space="preserve"> et al., 2024).</w:t>
      </w:r>
    </w:p>
    <w:p w14:paraId="3399FC52" w14:textId="612EA79F" w:rsidR="00175D5D" w:rsidRPr="00175D5D" w:rsidRDefault="00DF23B5" w:rsidP="00A92172">
      <w:pPr>
        <w:spacing w:line="480" w:lineRule="auto"/>
        <w:rPr>
          <w:rFonts w:ascii="Arial" w:eastAsia="MS Mincho" w:hAnsi="Arial" w:cs="Arial"/>
          <w:color w:val="000000"/>
          <w:lang w:val="en-GB"/>
        </w:rPr>
      </w:pPr>
      <w:r>
        <w:rPr>
          <w:rFonts w:ascii="Arial" w:eastAsia="MS Mincho" w:hAnsi="Arial" w:cs="Arial"/>
          <w:color w:val="000000"/>
        </w:rPr>
        <w:t xml:space="preserve">Simultaneously, research on the UN Sustainable Development Goals (SDGs) </w:t>
      </w:r>
      <w:proofErr w:type="spellStart"/>
      <w:r>
        <w:rPr>
          <w:rFonts w:ascii="Arial" w:eastAsia="MS Mincho" w:hAnsi="Arial" w:cs="Arial"/>
          <w:color w:val="000000"/>
        </w:rPr>
        <w:t>recognises</w:t>
      </w:r>
      <w:proofErr w:type="spellEnd"/>
      <w:r>
        <w:rPr>
          <w:rFonts w:ascii="Arial" w:eastAsia="MS Mincho" w:hAnsi="Arial" w:cs="Arial"/>
          <w:color w:val="000000"/>
        </w:rPr>
        <w:t xml:space="preserve"> universal, inclusive methods such as </w:t>
      </w:r>
      <w:proofErr w:type="spellStart"/>
      <w:r>
        <w:rPr>
          <w:rFonts w:ascii="Arial" w:eastAsia="MS Mincho" w:hAnsi="Arial" w:cs="Arial"/>
          <w:color w:val="000000"/>
        </w:rPr>
        <w:t>UDL</w:t>
      </w:r>
      <w:proofErr w:type="spellEnd"/>
      <w:r>
        <w:rPr>
          <w:rFonts w:ascii="Arial" w:eastAsia="MS Mincho" w:hAnsi="Arial" w:cs="Arial"/>
          <w:color w:val="000000"/>
        </w:rPr>
        <w:t xml:space="preserve"> as directly contributing to SDG 4 (Quality Education) by establishing fair learning opportunities, and to SDG 10 (Reduced Inequalities) by actively removing structural barriers that restrict participation (Disabled Students UK, 2023; Veytia Bucheli et al., 2024; Qu, 2024).</w:t>
      </w:r>
    </w:p>
    <w:p w14:paraId="3571AFC7" w14:textId="611E6FBA" w:rsidR="00175D5D" w:rsidRPr="00175D5D" w:rsidRDefault="00E425D9" w:rsidP="00A44044">
      <w:pPr>
        <w:pStyle w:val="Heading2"/>
        <w:rPr>
          <w:lang w:val="en-GB"/>
        </w:rPr>
      </w:pPr>
      <w:bookmarkStart w:id="12" w:name="_Toc206171132"/>
      <w:r>
        <w:lastRenderedPageBreak/>
        <w:t>5</w:t>
      </w:r>
      <w:r w:rsidR="00175D5D" w:rsidRPr="00175D5D">
        <w:t>.1</w:t>
      </w:r>
      <w:r>
        <w:t xml:space="preserve">. </w:t>
      </w:r>
      <w:r w:rsidR="00175D5D" w:rsidRPr="00175D5D">
        <w:t>Declining Applicant Numbers and Changing Student Profiles</w:t>
      </w:r>
      <w:r w:rsidR="002F0827">
        <w:t>.</w:t>
      </w:r>
      <w:bookmarkEnd w:id="12"/>
    </w:p>
    <w:p w14:paraId="657144E6" w14:textId="1CAC67C3"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Recent </w:t>
      </w:r>
      <w:proofErr w:type="spellStart"/>
      <w:r w:rsidR="00175D5D" w:rsidRPr="00175D5D">
        <w:rPr>
          <w:rFonts w:ascii="Arial" w:eastAsia="MS Mincho" w:hAnsi="Arial" w:cs="Arial"/>
          <w:color w:val="000000"/>
        </w:rPr>
        <w:t>UCAS</w:t>
      </w:r>
      <w:proofErr w:type="spellEnd"/>
      <w:r w:rsidR="00175D5D" w:rsidRPr="00175D5D">
        <w:rPr>
          <w:rFonts w:ascii="Arial" w:eastAsia="MS Mincho" w:hAnsi="Arial" w:cs="Arial"/>
          <w:color w:val="000000"/>
        </w:rPr>
        <w:t xml:space="preserve"> data </w:t>
      </w:r>
      <w:r w:rsidR="004921AB">
        <w:rPr>
          <w:rFonts w:ascii="Arial" w:eastAsia="MS Mincho" w:hAnsi="Arial" w:cs="Arial"/>
          <w:color w:val="000000"/>
        </w:rPr>
        <w:t xml:space="preserve">detail that total applications to UK universities remain moderately high. However, specific subject areas are experiencing reduced numbers, with international student numbers, especially from China and the EU, </w:t>
      </w:r>
      <w:r w:rsidR="00175D5D" w:rsidRPr="00175D5D">
        <w:rPr>
          <w:rFonts w:ascii="Arial" w:eastAsia="MS Mincho" w:hAnsi="Arial" w:cs="Arial"/>
          <w:color w:val="000000"/>
        </w:rPr>
        <w:t>influenced by post-Brexit visa restrictions and affordability challenges (</w:t>
      </w:r>
      <w:proofErr w:type="spellStart"/>
      <w:r w:rsidR="00175D5D" w:rsidRPr="00175D5D">
        <w:rPr>
          <w:rFonts w:ascii="Arial" w:eastAsia="MS Mincho" w:hAnsi="Arial" w:cs="Arial"/>
          <w:color w:val="000000"/>
        </w:rPr>
        <w:t>Amuedo</w:t>
      </w:r>
      <w:proofErr w:type="spellEnd"/>
      <w:r w:rsidR="00175D5D" w:rsidRPr="00175D5D">
        <w:rPr>
          <w:rFonts w:ascii="Arial" w:eastAsia="MS Mincho" w:hAnsi="Arial" w:cs="Arial"/>
          <w:color w:val="000000"/>
        </w:rPr>
        <w:t xml:space="preserve">-Dorantes &amp; Romiti, 2024; Universities UK &amp; HEPI, 2023). </w:t>
      </w:r>
      <w:r w:rsidR="004921AB">
        <w:rPr>
          <w:rFonts w:ascii="Arial" w:eastAsia="MS Mincho" w:hAnsi="Arial" w:cs="Arial"/>
          <w:color w:val="000000"/>
        </w:rPr>
        <w:t>Specifically, the</w:t>
      </w:r>
      <w:r w:rsidR="00175D5D" w:rsidRPr="00175D5D">
        <w:rPr>
          <w:rFonts w:ascii="Arial" w:eastAsia="MS Mincho" w:hAnsi="Arial" w:cs="Arial"/>
          <w:color w:val="000000"/>
        </w:rPr>
        <w:t xml:space="preserve"> sharpest decline is among EU students, with</w:t>
      </w:r>
      <w:r w:rsidR="009967E6">
        <w:rPr>
          <w:rFonts w:ascii="Arial" w:eastAsia="MS Mincho" w:hAnsi="Arial" w:cs="Arial"/>
          <w:color w:val="000000"/>
        </w:rPr>
        <w:t xml:space="preserve"> full-time</w:t>
      </w:r>
      <w:r w:rsidR="00175D5D" w:rsidRPr="00175D5D">
        <w:rPr>
          <w:rFonts w:ascii="Arial" w:eastAsia="MS Mincho" w:hAnsi="Arial" w:cs="Arial"/>
          <w:color w:val="000000"/>
        </w:rPr>
        <w:t xml:space="preserve"> enrolments dropping by approximately </w:t>
      </w:r>
      <w:r w:rsidR="009967E6">
        <w:rPr>
          <w:rFonts w:ascii="Arial" w:eastAsia="MS Mincho" w:hAnsi="Arial" w:cs="Arial"/>
          <w:color w:val="000000"/>
        </w:rPr>
        <w:t>68</w:t>
      </w:r>
      <w:r w:rsidR="00175D5D" w:rsidRPr="00175D5D">
        <w:rPr>
          <w:rFonts w:ascii="Arial" w:eastAsia="MS Mincho" w:hAnsi="Arial" w:cs="Arial"/>
          <w:color w:val="000000"/>
        </w:rPr>
        <w:t>% between 2020/21 and 2023/24 (</w:t>
      </w:r>
      <w:proofErr w:type="spellStart"/>
      <w:r w:rsidR="00175D5D" w:rsidRPr="00175D5D">
        <w:rPr>
          <w:rFonts w:ascii="Arial" w:eastAsia="MS Mincho" w:hAnsi="Arial" w:cs="Arial"/>
          <w:color w:val="000000"/>
        </w:rPr>
        <w:t>Amuedo</w:t>
      </w:r>
      <w:proofErr w:type="spellEnd"/>
      <w:r w:rsidR="00175D5D" w:rsidRPr="00175D5D">
        <w:rPr>
          <w:rFonts w:ascii="Arial" w:eastAsia="MS Mincho" w:hAnsi="Arial" w:cs="Arial"/>
          <w:color w:val="000000"/>
        </w:rPr>
        <w:t>-Dorantes &amp; Romiti, 2024</w:t>
      </w:r>
      <w:r w:rsidR="009967E6">
        <w:rPr>
          <w:rFonts w:ascii="Arial" w:eastAsia="MS Mincho" w:hAnsi="Arial" w:cs="Arial"/>
          <w:color w:val="000000"/>
        </w:rPr>
        <w:t>; Bolton, 2025</w:t>
      </w:r>
      <w:r w:rsidR="00175D5D" w:rsidRPr="00175D5D">
        <w:rPr>
          <w:rFonts w:ascii="Arial" w:eastAsia="MS Mincho" w:hAnsi="Arial" w:cs="Arial"/>
          <w:color w:val="000000"/>
        </w:rPr>
        <w:t>).</w:t>
      </w:r>
    </w:p>
    <w:p w14:paraId="456D2311"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decline in high-fee-paying international students has significantly reduced HE institutional revenue. The impact is compounded by rising operational costs and the continued domestic tuition fee freeze, creating heightened pressure on higher education providers to increase domestic recruitment, including from applicants with lower entry qualifications. Financial modelling suggests that a drop of 60,000 international students could equate to a revenue loss of approximately £1.14 billion (HEPI, 2024; Watson, 2024).</w:t>
      </w:r>
    </w:p>
    <w:p w14:paraId="06E71227" w14:textId="041DC8BC"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change inevitably affects teaching with</w:t>
      </w:r>
      <w:r w:rsidR="00673F9C">
        <w:rPr>
          <w:rFonts w:ascii="Arial" w:eastAsia="MS Mincho" w:hAnsi="Arial" w:cs="Arial"/>
          <w:color w:val="000000"/>
        </w:rPr>
        <w:t xml:space="preserve"> more recent UK</w:t>
      </w:r>
      <w:r w:rsidRPr="00175D5D">
        <w:rPr>
          <w:rFonts w:ascii="Arial" w:eastAsia="MS Mincho" w:hAnsi="Arial" w:cs="Arial"/>
          <w:color w:val="000000"/>
        </w:rPr>
        <w:t xml:space="preserve"> incoming cohorts presenting with a wider variance in academic readiness, digital skills, and self-directed learning ability (Graham et al., 2021). </w:t>
      </w:r>
    </w:p>
    <w:p w14:paraId="69B026E0" w14:textId="613248C4" w:rsidR="00175D5D" w:rsidRPr="00175D5D" w:rsidRDefault="00E425D9" w:rsidP="00A44044">
      <w:pPr>
        <w:pStyle w:val="Heading2"/>
      </w:pPr>
      <w:bookmarkStart w:id="13" w:name="_Toc206171133"/>
      <w:r>
        <w:t>5</w:t>
      </w:r>
      <w:r w:rsidR="00175D5D" w:rsidRPr="00175D5D">
        <w:t>.2</w:t>
      </w:r>
      <w:r>
        <w:t>.</w:t>
      </w:r>
      <w:r w:rsidR="00175D5D" w:rsidRPr="00175D5D">
        <w:t xml:space="preserve"> Increasing Prevalence of Neurodivergent Students</w:t>
      </w:r>
      <w:r w:rsidR="002F0827">
        <w:t>.</w:t>
      </w:r>
      <w:bookmarkEnd w:id="13"/>
    </w:p>
    <w:p w14:paraId="25D04EDF" w14:textId="31342AE5"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Recent UK research confirms this upward trend, with significant rises in the proportion of students self-reporting neurodivergent conditions in higher education over the past decade (Hubble &amp; Bolton, 2023; Richardson, 2022). While part of this growth reflects improved awareness, diagnosis, and institutional disclosure processes, studies indicate that many </w:t>
      </w:r>
      <w:r w:rsidR="00175D5D" w:rsidRPr="00175D5D">
        <w:rPr>
          <w:rFonts w:ascii="Arial" w:eastAsia="MS Mincho" w:hAnsi="Arial" w:cs="Arial"/>
          <w:color w:val="000000"/>
        </w:rPr>
        <w:lastRenderedPageBreak/>
        <w:t>students remain unidentified yet experience substantial learning barriers (</w:t>
      </w:r>
      <w:proofErr w:type="spellStart"/>
      <w:r w:rsidR="00175D5D" w:rsidRPr="00175D5D">
        <w:rPr>
          <w:rFonts w:ascii="Arial" w:eastAsia="MS Mincho" w:hAnsi="Arial" w:cs="Arial"/>
          <w:color w:val="000000"/>
        </w:rPr>
        <w:t>Clouder</w:t>
      </w:r>
      <w:proofErr w:type="spellEnd"/>
      <w:r w:rsidR="00175D5D" w:rsidRPr="00175D5D">
        <w:rPr>
          <w:rFonts w:ascii="Arial" w:eastAsia="MS Mincho" w:hAnsi="Arial" w:cs="Arial"/>
          <w:color w:val="000000"/>
        </w:rPr>
        <w:t xml:space="preserve"> et al., 2020; Cooper, 2023).</w:t>
      </w:r>
    </w:p>
    <w:p w14:paraId="436E7F4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Significantly, when teaching models rely primarily on </w:t>
      </w:r>
      <w:proofErr w:type="spellStart"/>
      <w:r w:rsidRPr="00175D5D">
        <w:rPr>
          <w:rFonts w:ascii="Arial" w:eastAsia="MS Mincho" w:hAnsi="Arial" w:cs="Arial"/>
          <w:color w:val="000000"/>
        </w:rPr>
        <w:t>individualised</w:t>
      </w:r>
      <w:proofErr w:type="spellEnd"/>
      <w:r w:rsidRPr="00175D5D">
        <w:rPr>
          <w:rFonts w:ascii="Arial" w:eastAsia="MS Mincho" w:hAnsi="Arial" w:cs="Arial"/>
          <w:color w:val="000000"/>
        </w:rPr>
        <w:t xml:space="preserve"> adjustments, these students, who may not have a formal diagnosis, are at increased risk of exclusion from effective learning opportunities (Eccles et al., 2018;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2020; Seale, 2021).</w:t>
      </w:r>
    </w:p>
    <w:p w14:paraId="01159E77" w14:textId="525A0D0D"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Recent UK studies show that applying </w:t>
      </w:r>
      <w:proofErr w:type="spellStart"/>
      <w:r w:rsidR="004921AB" w:rsidRPr="004921AB">
        <w:rPr>
          <w:rFonts w:ascii="Arial" w:eastAsia="MS Mincho" w:hAnsi="Arial" w:cs="Arial"/>
          <w:color w:val="000000"/>
        </w:rPr>
        <w:t>UDL</w:t>
      </w:r>
      <w:proofErr w:type="spellEnd"/>
      <w:r w:rsidR="004921AB" w:rsidRPr="004921AB">
        <w:rPr>
          <w:rFonts w:ascii="Arial" w:eastAsia="MS Mincho" w:hAnsi="Arial" w:cs="Arial"/>
          <w:color w:val="000000"/>
        </w:rPr>
        <w:t xml:space="preserve"> </w:t>
      </w:r>
      <w:r w:rsidRPr="00175D5D">
        <w:rPr>
          <w:rFonts w:ascii="Arial" w:eastAsia="MS Mincho" w:hAnsi="Arial" w:cs="Arial"/>
          <w:color w:val="000000"/>
        </w:rPr>
        <w:t>principles, such as multiple means of engagement, representation, and expression, enhances access, participation, and achievement for both diagnosed and undiagnosed neurodivergent students. It also reduces reliance on reactive, case-by-case accommodations (Galvin, 2024; Seery et al., 2023; Woodley et al., 2024).</w:t>
      </w:r>
    </w:p>
    <w:p w14:paraId="279E8BD0" w14:textId="666BD680" w:rsidR="00F91366" w:rsidRPr="002F0827" w:rsidRDefault="00F91366" w:rsidP="002F0827">
      <w:pPr>
        <w:spacing w:line="480" w:lineRule="auto"/>
        <w:rPr>
          <w:rFonts w:ascii="Arial" w:hAnsi="Arial" w:cs="Arial"/>
          <w:b/>
          <w:bCs/>
          <w:lang w:val="en-GB"/>
        </w:rPr>
      </w:pPr>
      <w:r w:rsidRPr="00F91366">
        <w:rPr>
          <w:rFonts w:ascii="Arial" w:hAnsi="Arial" w:cs="Arial"/>
          <w:lang w:val="en-GB"/>
        </w:rPr>
        <w:t xml:space="preserve">A seamless, institution-wide adoption of </w:t>
      </w:r>
      <w:proofErr w:type="spellStart"/>
      <w:r w:rsidRPr="00F91366">
        <w:rPr>
          <w:rFonts w:ascii="Arial" w:hAnsi="Arial" w:cs="Arial"/>
          <w:lang w:val="en-GB"/>
        </w:rPr>
        <w:t>UDL</w:t>
      </w:r>
      <w:proofErr w:type="spellEnd"/>
      <w:r w:rsidRPr="00F91366">
        <w:rPr>
          <w:rFonts w:ascii="Arial" w:hAnsi="Arial" w:cs="Arial"/>
          <w:lang w:val="en-GB"/>
        </w:rPr>
        <w:t xml:space="preserve"> offers a sustainable, proactive approach that contributes to both SDG 4 and SDG 10 by removing structural barriers and ensuring equitable opportunities for </w:t>
      </w:r>
      <w:r>
        <w:rPr>
          <w:rFonts w:ascii="Arial" w:hAnsi="Arial" w:cs="Arial"/>
          <w:lang w:val="en-GB"/>
        </w:rPr>
        <w:t>an increasingly</w:t>
      </w:r>
      <w:r w:rsidRPr="00F91366">
        <w:rPr>
          <w:rFonts w:ascii="Arial" w:hAnsi="Arial" w:cs="Arial"/>
          <w:lang w:val="en-GB"/>
        </w:rPr>
        <w:t xml:space="preserve"> divers</w:t>
      </w:r>
      <w:r>
        <w:rPr>
          <w:rFonts w:ascii="Arial" w:hAnsi="Arial" w:cs="Arial"/>
          <w:lang w:val="en-GB"/>
        </w:rPr>
        <w:t xml:space="preserve">e </w:t>
      </w:r>
      <w:r w:rsidRPr="00F91366">
        <w:rPr>
          <w:rFonts w:ascii="Arial" w:hAnsi="Arial" w:cs="Arial"/>
          <w:lang w:val="en-GB"/>
        </w:rPr>
        <w:t>student body.</w:t>
      </w:r>
    </w:p>
    <w:p w14:paraId="2C4B473E" w14:textId="2CDACE8A" w:rsidR="00175D5D" w:rsidRPr="00175D5D" w:rsidRDefault="00E425D9" w:rsidP="00A44044">
      <w:pPr>
        <w:pStyle w:val="Heading2"/>
      </w:pPr>
      <w:bookmarkStart w:id="14" w:name="_Toc206171134"/>
      <w:r>
        <w:t>5</w:t>
      </w:r>
      <w:r w:rsidR="00175D5D" w:rsidRPr="00175D5D">
        <w:t>.3</w:t>
      </w:r>
      <w:r>
        <w:t>.</w:t>
      </w:r>
      <w:r w:rsidR="00175D5D" w:rsidRPr="00175D5D">
        <w:t xml:space="preserve"> Financial Constraints and Efficiency Imperatives</w:t>
      </w:r>
      <w:r w:rsidR="002F0827">
        <w:t>.</w:t>
      </w:r>
      <w:bookmarkEnd w:id="14"/>
    </w:p>
    <w:p w14:paraId="5EF8E459" w14:textId="395E4FA9" w:rsidR="00175D5D" w:rsidRPr="00175D5D" w:rsidRDefault="00A44044"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175D5D" w:rsidRPr="00175D5D">
        <w:rPr>
          <w:rFonts w:ascii="Arial" w:eastAsia="MS Mincho" w:hAnsi="Arial" w:cs="Arial"/>
          <w:color w:val="000000"/>
          <w:lang w:val="en-GB"/>
        </w:rPr>
        <w:t>Financial pressures in the UK higher education sector, exacerbated by the prolonged freeze on the domestic tuition fee cap, escalating operational costs, and decline in international student enrolments, are increasing the strain on institutional finances and creating an urgent need for significant, sustainable income solutions. At the same time, accommodating the wider, diverse student population, delivering highly individualised interventions for specific student subgroups, while potentially beneficial, can be both financially costly and administratively burdensome, diverting resources away from core educational functions and challenging long-term scalability (</w:t>
      </w:r>
      <w:proofErr w:type="spellStart"/>
      <w:r w:rsidR="00175D5D" w:rsidRPr="00175D5D">
        <w:rPr>
          <w:rFonts w:ascii="Arial" w:eastAsia="MS Mincho" w:hAnsi="Arial" w:cs="Arial"/>
          <w:color w:val="000000"/>
          <w:lang w:val="en-GB"/>
        </w:rPr>
        <w:t>Woelert</w:t>
      </w:r>
      <w:proofErr w:type="spellEnd"/>
      <w:r w:rsidR="00175D5D" w:rsidRPr="00175D5D">
        <w:rPr>
          <w:rFonts w:ascii="Arial" w:eastAsia="MS Mincho" w:hAnsi="Arial" w:cs="Arial"/>
          <w:color w:val="000000"/>
          <w:lang w:val="en-GB"/>
        </w:rPr>
        <w:t>, 2023; Watson, 2024).</w:t>
      </w:r>
    </w:p>
    <w:p w14:paraId="0D5D0779" w14:textId="1E09D499"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lastRenderedPageBreak/>
        <w:t xml:space="preserve">The literature in this review </w:t>
      </w:r>
      <w:proofErr w:type="gramStart"/>
      <w:r w:rsidRPr="00175D5D">
        <w:rPr>
          <w:rFonts w:ascii="Arial" w:eastAsia="MS Mincho" w:hAnsi="Arial" w:cs="Arial"/>
          <w:color w:val="000000"/>
        </w:rPr>
        <w:t>indicates,</w:t>
      </w:r>
      <w:proofErr w:type="gramEnd"/>
      <w:r w:rsidRPr="00175D5D">
        <w:rPr>
          <w:rFonts w:ascii="Arial" w:eastAsia="MS Mincho" w:hAnsi="Arial" w:cs="Arial"/>
          <w:color w:val="000000"/>
        </w:rPr>
        <w:t xml:space="preserve"> a strategically embedded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model offers a scalable, cost-effective response to these challenges. By incorporating inclusive teaching materials, varied modes of engagement, and flexible assessment options across all modules,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supports the full diversity of the student body without the repeated need for bespoke adaptations (Bray et al., 2024; CAST, 2018; Redstone &amp; Luo, 2024). This proactive design approach, rather than the more often used reactive approach to supporting struggling students, ensures that students, including those who are neurodivergent, have lower prior attainment, or do not disclose support needs, can access learning equitably from the outset, aligning with SDG 4 on inclusive and equitable quality education and SDG 10 on reducing inequalities</w:t>
      </w:r>
      <w:r w:rsidR="00314EB4">
        <w:rPr>
          <w:rFonts w:ascii="Arial" w:eastAsia="MS Mincho" w:hAnsi="Arial" w:cs="Arial"/>
          <w:color w:val="000000"/>
        </w:rPr>
        <w:t xml:space="preserve"> </w:t>
      </w:r>
      <w:r w:rsidR="00314EB4" w:rsidRPr="00314EB4">
        <w:rPr>
          <w:rFonts w:ascii="Arial" w:eastAsia="MS Mincho" w:hAnsi="Arial" w:cs="Arial"/>
          <w:color w:val="000000"/>
        </w:rPr>
        <w:t>(Eccles et al., 2018; Rao et al., 2021; Seale, 2021; Woodley et al., 2024)</w:t>
      </w:r>
      <w:r w:rsidR="00314EB4">
        <w:rPr>
          <w:rFonts w:ascii="Arial" w:eastAsia="MS Mincho" w:hAnsi="Arial" w:cs="Arial"/>
          <w:color w:val="000000"/>
        </w:rPr>
        <w:t>.</w:t>
      </w:r>
    </w:p>
    <w:p w14:paraId="44F457F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Moreover, embedding a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framework curriculum-</w:t>
      </w:r>
      <w:proofErr w:type="gramStart"/>
      <w:r w:rsidRPr="00175D5D">
        <w:rPr>
          <w:rFonts w:ascii="Arial" w:eastAsia="MS Mincho" w:hAnsi="Arial" w:cs="Arial"/>
          <w:color w:val="000000"/>
        </w:rPr>
        <w:t>wide,</w:t>
      </w:r>
      <w:proofErr w:type="gramEnd"/>
      <w:r w:rsidRPr="00175D5D">
        <w:rPr>
          <w:rFonts w:ascii="Arial" w:eastAsia="MS Mincho" w:hAnsi="Arial" w:cs="Arial"/>
          <w:color w:val="000000"/>
        </w:rPr>
        <w:t xml:space="preserve"> creates learning environments that are accessible by default and responsive to diverse learner needs, </w:t>
      </w:r>
      <w:proofErr w:type="spellStart"/>
      <w:r w:rsidRPr="00175D5D">
        <w:rPr>
          <w:rFonts w:ascii="Arial" w:eastAsia="MS Mincho" w:hAnsi="Arial" w:cs="Arial"/>
          <w:color w:val="000000"/>
        </w:rPr>
        <w:t>minimising</w:t>
      </w:r>
      <w:proofErr w:type="spellEnd"/>
      <w:r w:rsidRPr="00175D5D">
        <w:rPr>
          <w:rFonts w:ascii="Arial" w:eastAsia="MS Mincho" w:hAnsi="Arial" w:cs="Arial"/>
          <w:color w:val="000000"/>
        </w:rPr>
        <w:t xml:space="preserve"> reliance on resource-intensive, reactive accommodations. Such a system-wide approach streamlines delivery, reduces administrative burden, and strengthens institutional resilience through a consistent, embedded structure of accessibility and flexibility (Espada-Chavarría et al., 2023; </w:t>
      </w:r>
      <w:proofErr w:type="spellStart"/>
      <w:r w:rsidRPr="00175D5D">
        <w:rPr>
          <w:rFonts w:ascii="Arial" w:eastAsia="MS Mincho" w:hAnsi="Arial" w:cs="Arial"/>
          <w:color w:val="000000"/>
        </w:rPr>
        <w:t>Jisc</w:t>
      </w:r>
      <w:proofErr w:type="spellEnd"/>
      <w:r w:rsidRPr="00175D5D">
        <w:rPr>
          <w:rFonts w:ascii="Arial" w:eastAsia="MS Mincho" w:hAnsi="Arial" w:cs="Arial"/>
          <w:color w:val="000000"/>
        </w:rPr>
        <w:t>, 2024; Qu &amp; Cross, 2024).</w:t>
      </w:r>
    </w:p>
    <w:p w14:paraId="6CDF829C" w14:textId="3255F8B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The real-term erosion of tuition fee value (Economics Observatory, 2024) and a</w:t>
      </w:r>
      <w:r w:rsidR="009967E6">
        <w:rPr>
          <w:rFonts w:ascii="Arial" w:eastAsia="MS Mincho" w:hAnsi="Arial" w:cs="Arial"/>
          <w:color w:val="000000"/>
        </w:rPr>
        <w:t>n almost</w:t>
      </w:r>
      <w:r w:rsidRPr="00175D5D">
        <w:rPr>
          <w:rFonts w:ascii="Arial" w:eastAsia="MS Mincho" w:hAnsi="Arial" w:cs="Arial"/>
          <w:color w:val="000000"/>
        </w:rPr>
        <w:t xml:space="preserve"> halving of institutional operating </w:t>
      </w:r>
      <w:proofErr w:type="gramStart"/>
      <w:r w:rsidRPr="00175D5D">
        <w:rPr>
          <w:rFonts w:ascii="Arial" w:eastAsia="MS Mincho" w:hAnsi="Arial" w:cs="Arial"/>
          <w:color w:val="000000"/>
        </w:rPr>
        <w:t>surpluses</w:t>
      </w:r>
      <w:r w:rsidR="009967E6">
        <w:rPr>
          <w:rFonts w:ascii="Arial" w:eastAsia="MS Mincho" w:hAnsi="Arial" w:cs="Arial"/>
          <w:color w:val="000000"/>
        </w:rPr>
        <w:t xml:space="preserve"> </w:t>
      </w:r>
      <w:r w:rsidRPr="00175D5D">
        <w:rPr>
          <w:rFonts w:ascii="Arial" w:eastAsia="MS Mincho" w:hAnsi="Arial" w:cs="Arial"/>
          <w:color w:val="000000"/>
        </w:rPr>
        <w:t xml:space="preserve"> (</w:t>
      </w:r>
      <w:proofErr w:type="gramEnd"/>
      <w:r w:rsidRPr="00175D5D">
        <w:rPr>
          <w:rFonts w:ascii="Arial" w:eastAsia="MS Mincho" w:hAnsi="Arial" w:cs="Arial"/>
          <w:color w:val="000000"/>
        </w:rPr>
        <w:t xml:space="preserve">Ogden &amp; Waltmann, 2024), </w:t>
      </w:r>
      <w:r w:rsidR="009967E6">
        <w:rPr>
          <w:rFonts w:ascii="Arial" w:eastAsia="MS Mincho" w:hAnsi="Arial" w:cs="Arial"/>
          <w:color w:val="000000"/>
        </w:rPr>
        <w:t xml:space="preserve">with sector surplus reducing from 6.1% to 3.7% in 2022/2023 </w:t>
      </w:r>
      <w:r w:rsidR="009967E6" w:rsidRPr="009967E6">
        <w:rPr>
          <w:rFonts w:ascii="Arial" w:eastAsia="MS Mincho" w:hAnsi="Arial" w:cs="Arial"/>
          <w:color w:val="000000"/>
        </w:rPr>
        <w:t xml:space="preserve">(Ogden &amp; Waltmann, </w:t>
      </w:r>
      <w:r w:rsidR="009967E6">
        <w:rPr>
          <w:rFonts w:ascii="Arial" w:eastAsia="MS Mincho" w:hAnsi="Arial" w:cs="Arial"/>
          <w:color w:val="000000"/>
        </w:rPr>
        <w:t xml:space="preserve">2024). This has been </w:t>
      </w:r>
      <w:r w:rsidRPr="00175D5D">
        <w:rPr>
          <w:rFonts w:ascii="Arial" w:eastAsia="MS Mincho" w:hAnsi="Arial" w:cs="Arial"/>
          <w:color w:val="000000"/>
        </w:rPr>
        <w:t xml:space="preserve">compounded </w:t>
      </w:r>
      <w:r w:rsidR="009967E6">
        <w:rPr>
          <w:rFonts w:ascii="Arial" w:eastAsia="MS Mincho" w:hAnsi="Arial" w:cs="Arial"/>
          <w:color w:val="000000"/>
        </w:rPr>
        <w:t xml:space="preserve">additionally </w:t>
      </w:r>
      <w:r w:rsidRPr="00175D5D">
        <w:rPr>
          <w:rFonts w:ascii="Arial" w:eastAsia="MS Mincho" w:hAnsi="Arial" w:cs="Arial"/>
          <w:color w:val="000000"/>
        </w:rPr>
        <w:t xml:space="preserve">by increasing student debt and an overreliance on international fee income (Disabled Students UK, 2023; HEPI, 2024), makes the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model not just pedagogically beneficial but economically strategic. </w:t>
      </w:r>
      <w:proofErr w:type="spellStart"/>
      <w:r w:rsidRPr="00175D5D">
        <w:rPr>
          <w:rFonts w:ascii="Arial" w:eastAsia="MS Mincho" w:hAnsi="Arial" w:cs="Arial"/>
          <w:color w:val="000000"/>
        </w:rPr>
        <w:t>UDL’s</w:t>
      </w:r>
      <w:proofErr w:type="spellEnd"/>
      <w:r w:rsidRPr="00175D5D">
        <w:rPr>
          <w:rFonts w:ascii="Arial" w:eastAsia="MS Mincho" w:hAnsi="Arial" w:cs="Arial"/>
          <w:color w:val="000000"/>
        </w:rPr>
        <w:t xml:space="preserve"> universality can reduce costly, ad-hoc accommodations while promoting inclusion at scale (CAST, 2018; Espada-Chavarría et al., 2023; Hills et al., 2022; Plantin &amp; Galvin, 2024).</w:t>
      </w:r>
    </w:p>
    <w:p w14:paraId="55A27961" w14:textId="0A2AF3E2" w:rsidR="00175D5D" w:rsidRPr="00175D5D" w:rsidRDefault="00E425D9" w:rsidP="00A44044">
      <w:pPr>
        <w:pStyle w:val="Heading2"/>
      </w:pPr>
      <w:bookmarkStart w:id="15" w:name="_Toc206171135"/>
      <w:r>
        <w:lastRenderedPageBreak/>
        <w:t>5</w:t>
      </w:r>
      <w:r w:rsidR="00175D5D" w:rsidRPr="00175D5D">
        <w:t>.4</w:t>
      </w:r>
      <w:r>
        <w:t>.</w:t>
      </w:r>
      <w:r w:rsidR="00175D5D" w:rsidRPr="00175D5D">
        <w:t xml:space="preserve"> Moving from Retrospective Accommodation to Anticipation</w:t>
      </w:r>
      <w:r w:rsidR="002F0827">
        <w:t>.</w:t>
      </w:r>
      <w:bookmarkEnd w:id="15"/>
    </w:p>
    <w:p w14:paraId="55176EDB" w14:textId="7222D045"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Considering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as a mainstream pedagogical ‘seamless’ strategy rather than a specialist service aligns with contemporary equity frameworks and with the ‘anticipatory’ duty under the Equality Act 2010. The Equality Act 2010 places an ‘anticipatory duty’ on higher education institutions, meaning they must identify and address likely barriers to participation before they occur, rather than waiting for individual complaints or adjustment requests. This proactive responsibility applies across all core teaching and assessment activities, requiring lecturers to consider diverse sensory, cognitive, and linguistic needs as standard in curriculum design (Equality Act 2010; Department for Education, 2017; Woodley et al., 2024).</w:t>
      </w:r>
    </w:p>
    <w:p w14:paraId="7F04A19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proactive approach directly supports SDG 4 (inclusive and equitable quality education) by ensuring that all learners, including those with undiagnosed or unreported disabilities, can participate fully. It also contributes to SDG 10 (reduced inequalities) by addressing structural barriers that disproportionately affect </w:t>
      </w:r>
      <w:proofErr w:type="spellStart"/>
      <w:r w:rsidRPr="00175D5D">
        <w:rPr>
          <w:rFonts w:ascii="Arial" w:eastAsia="MS Mincho" w:hAnsi="Arial" w:cs="Arial"/>
          <w:color w:val="000000"/>
        </w:rPr>
        <w:t>marginalised</w:t>
      </w:r>
      <w:proofErr w:type="spellEnd"/>
      <w:r w:rsidRPr="00175D5D">
        <w:rPr>
          <w:rFonts w:ascii="Arial" w:eastAsia="MS Mincho" w:hAnsi="Arial" w:cs="Arial"/>
          <w:color w:val="000000"/>
        </w:rPr>
        <w:t xml:space="preserve"> groups </w:t>
      </w:r>
      <w:r w:rsidRPr="00175D5D">
        <w:rPr>
          <w:rFonts w:ascii="Arial" w:eastAsia="MS Mincho" w:hAnsi="Arial" w:cs="Arial"/>
          <w:i/>
          <w:iCs/>
          <w:color w:val="000000"/>
        </w:rPr>
        <w:t>before</w:t>
      </w:r>
      <w:r w:rsidRPr="00175D5D">
        <w:rPr>
          <w:rFonts w:ascii="Arial" w:eastAsia="MS Mincho" w:hAnsi="Arial" w:cs="Arial"/>
          <w:color w:val="000000"/>
        </w:rPr>
        <w:t xml:space="preserve"> they impact learning. When the curriculum offers multiple means of engagement, representation, and expression for everyone, it supports varied learning preferences, builds resilience, and increases student satisfaction and student outcomes (CAST, 2018; Smith et al., 2022).</w:t>
      </w:r>
    </w:p>
    <w:p w14:paraId="6FB93756" w14:textId="2110362C" w:rsidR="00175D5D" w:rsidRPr="00175D5D" w:rsidRDefault="00E425D9" w:rsidP="00A44044">
      <w:pPr>
        <w:pStyle w:val="Heading1"/>
      </w:pPr>
      <w:bookmarkStart w:id="16" w:name="_Toc206171136"/>
      <w:r>
        <w:t>6</w:t>
      </w:r>
      <w:r w:rsidR="00175D5D" w:rsidRPr="00175D5D">
        <w:t xml:space="preserve">. Linking Seamless </w:t>
      </w:r>
      <w:proofErr w:type="spellStart"/>
      <w:r w:rsidR="00175D5D" w:rsidRPr="00175D5D">
        <w:t>UDL</w:t>
      </w:r>
      <w:proofErr w:type="spellEnd"/>
      <w:r w:rsidR="00175D5D" w:rsidRPr="00175D5D">
        <w:t xml:space="preserve"> to SDG 4 and SDG 10</w:t>
      </w:r>
      <w:r w:rsidR="002F0827">
        <w:t>.</w:t>
      </w:r>
      <w:bookmarkEnd w:id="16"/>
    </w:p>
    <w:p w14:paraId="2F8CD1B5" w14:textId="3C9CEB0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The United Nations Sustainable Development Goals (SDGs) provide a global framework for reducing inequality and improving quality of life. Two of these goals, SDG 4: Quality Education and SDG 10: Reduced Inequalities, are directly aligned with the principles and outcomes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when applied in higher education.</w:t>
      </w:r>
    </w:p>
    <w:p w14:paraId="4855E325" w14:textId="05FB063D" w:rsidR="00175D5D" w:rsidRPr="002F0827" w:rsidRDefault="00E425D9" w:rsidP="002F0827">
      <w:pPr>
        <w:pStyle w:val="Heading2"/>
      </w:pPr>
      <w:bookmarkStart w:id="17" w:name="_Toc206171137"/>
      <w:r w:rsidRPr="002F0827">
        <w:lastRenderedPageBreak/>
        <w:t>6</w:t>
      </w:r>
      <w:r w:rsidR="00175D5D" w:rsidRPr="002F0827">
        <w:t>.1</w:t>
      </w:r>
      <w:r w:rsidRPr="002F0827">
        <w:t>.</w:t>
      </w:r>
      <w:r w:rsidR="00175D5D" w:rsidRPr="002F0827">
        <w:t xml:space="preserve"> SDG 4: Quality Education</w:t>
      </w:r>
      <w:r w:rsidR="002F0827" w:rsidRPr="002F0827">
        <w:t>.</w:t>
      </w:r>
      <w:bookmarkEnd w:id="17"/>
    </w:p>
    <w:p w14:paraId="21F7ECD7" w14:textId="6B1DDA70"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SDG 4 aims to “ensure inclusive and equitable quality education and promote lifelong learning opportunities for all” (United Nations, 2015). Within this, Target 4.3 explicitly calls for equal access to affordable and quality technical, vocational and tertiary education, including university (United Nations, 2015). UNESCO (2025) further </w:t>
      </w:r>
      <w:proofErr w:type="spellStart"/>
      <w:r w:rsidR="00175D5D" w:rsidRPr="00175D5D">
        <w:rPr>
          <w:rFonts w:ascii="Arial" w:eastAsia="MS Mincho" w:hAnsi="Arial" w:cs="Arial"/>
          <w:color w:val="000000"/>
        </w:rPr>
        <w:t>emphasises</w:t>
      </w:r>
      <w:proofErr w:type="spellEnd"/>
      <w:r w:rsidR="00175D5D" w:rsidRPr="00175D5D">
        <w:rPr>
          <w:rFonts w:ascii="Arial" w:eastAsia="MS Mincho" w:hAnsi="Arial" w:cs="Arial"/>
          <w:color w:val="000000"/>
        </w:rPr>
        <w:t xml:space="preserve"> the point, stating that higher education is an essential and integral part of the SDG 4, Education 2030 agenda, with universities acting as key drivers of workforce development, civic participation, and the production of knowledge for sustainable societies.</w:t>
      </w:r>
    </w:p>
    <w:p w14:paraId="3F45CB3F" w14:textId="77777777" w:rsidR="00175D5D" w:rsidRPr="00175D5D" w:rsidRDefault="00175D5D" w:rsidP="00A92172">
      <w:pPr>
        <w:spacing w:line="480" w:lineRule="auto"/>
        <w:rPr>
          <w:rFonts w:ascii="Arial" w:eastAsia="MS Mincho" w:hAnsi="Arial" w:cs="Arial"/>
          <w:color w:val="000000"/>
          <w:lang w:val="en-GB"/>
        </w:rPr>
      </w:pP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supports higher education in relation to SDG 4 by:</w:t>
      </w:r>
    </w:p>
    <w:p w14:paraId="7393133D"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Improving access to learning</w:t>
      </w:r>
      <w:r w:rsidRPr="00175D5D">
        <w:rPr>
          <w:rFonts w:ascii="Arial" w:eastAsia="MS Mincho" w:hAnsi="Arial" w:cs="Arial"/>
          <w:color w:val="000000"/>
          <w:lang w:val="en-GB"/>
        </w:rPr>
        <w:t xml:space="preserve"> through multiple representation formats such as captioned videos, visual diagrams, text-to-speech tools, and multilingual resources, which expand participation for students with sensory, cognitive, and language-related barriers. This directly supports </w:t>
      </w:r>
      <w:r w:rsidRPr="00175D5D">
        <w:rPr>
          <w:rFonts w:ascii="Arial" w:eastAsia="MS Mincho" w:hAnsi="Arial" w:cs="Arial"/>
          <w:b/>
          <w:bCs/>
          <w:color w:val="000000"/>
          <w:lang w:val="en-GB"/>
        </w:rPr>
        <w:t>Target 4.5</w:t>
      </w:r>
      <w:r w:rsidRPr="00175D5D">
        <w:rPr>
          <w:rFonts w:ascii="Arial" w:eastAsia="MS Mincho" w:hAnsi="Arial" w:cs="Arial"/>
          <w:color w:val="000000"/>
          <w:lang w:val="en-GB"/>
        </w:rPr>
        <w:t xml:space="preserve"> (</w:t>
      </w:r>
      <w:r w:rsidRPr="00DA45A3">
        <w:rPr>
          <w:rFonts w:ascii="Arial" w:eastAsia="MS Mincho" w:hAnsi="Arial" w:cs="Arial"/>
          <w:color w:val="000000"/>
          <w:lang w:val="en-GB"/>
        </w:rPr>
        <w:t>eliminate gender disparities in education and ensure equal access for all to all levels of education and vocational training)</w:t>
      </w:r>
      <w:r w:rsidRPr="00175D5D">
        <w:rPr>
          <w:rFonts w:ascii="Arial" w:eastAsia="MS Mincho" w:hAnsi="Arial" w:cs="Arial"/>
          <w:color w:val="000000"/>
          <w:lang w:val="en-GB"/>
        </w:rPr>
        <w:t xml:space="preserve">, as it removes systemic accessibility barriers that disproportionately affect marginalised groups </w:t>
      </w:r>
      <w:r w:rsidRPr="00175D5D">
        <w:rPr>
          <w:rFonts w:ascii="Arial" w:eastAsia="MS Mincho" w:hAnsi="Arial" w:cs="Arial"/>
          <w:color w:val="000000"/>
        </w:rPr>
        <w:t>(Seale et al., 2020; Rao et al., 2021).</w:t>
      </w:r>
    </w:p>
    <w:p w14:paraId="6C5605D1"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Enhancing learning quality</w:t>
      </w:r>
      <w:r w:rsidRPr="00175D5D">
        <w:rPr>
          <w:rFonts w:ascii="Arial" w:eastAsia="MS Mincho" w:hAnsi="Arial" w:cs="Arial"/>
          <w:color w:val="000000"/>
          <w:lang w:val="en-GB"/>
        </w:rPr>
        <w:t xml:space="preserve"> by enabling students to choose the method of engagement that best fits their strengths. This flexibility aligns with </w:t>
      </w:r>
      <w:r w:rsidRPr="00175D5D">
        <w:rPr>
          <w:rFonts w:ascii="Arial" w:eastAsia="MS Mincho" w:hAnsi="Arial" w:cs="Arial"/>
          <w:b/>
          <w:bCs/>
          <w:color w:val="000000"/>
          <w:lang w:val="en-GB"/>
        </w:rPr>
        <w:t>Target 4.7</w:t>
      </w:r>
      <w:r w:rsidRPr="00175D5D">
        <w:rPr>
          <w:rFonts w:ascii="Arial" w:eastAsia="MS Mincho" w:hAnsi="Arial" w:cs="Arial"/>
          <w:color w:val="000000"/>
          <w:lang w:val="en-GB"/>
        </w:rPr>
        <w:t xml:space="preserve"> </w:t>
      </w:r>
      <w:r w:rsidRPr="00DA45A3">
        <w:rPr>
          <w:rFonts w:ascii="Arial" w:eastAsia="MS Mincho" w:hAnsi="Arial" w:cs="Arial"/>
          <w:color w:val="000000"/>
          <w:lang w:val="en-GB"/>
        </w:rPr>
        <w:t>(ensure all learners acquire the knowledge and skills needed to promote sustainable development)</w:t>
      </w:r>
      <w:r w:rsidRPr="00175D5D">
        <w:rPr>
          <w:rFonts w:ascii="Arial" w:eastAsia="MS Mincho" w:hAnsi="Arial" w:cs="Arial"/>
          <w:color w:val="000000"/>
          <w:lang w:val="en-GB"/>
        </w:rPr>
        <w:t xml:space="preserve">, as it facilitates deeper understanding and adaptive learning strategies </w:t>
      </w:r>
      <w:r w:rsidRPr="00175D5D">
        <w:rPr>
          <w:rFonts w:ascii="Arial" w:eastAsia="MS Mincho" w:hAnsi="Arial" w:cs="Arial"/>
          <w:color w:val="000000"/>
        </w:rPr>
        <w:t>(Al-</w:t>
      </w:r>
      <w:proofErr w:type="spellStart"/>
      <w:r w:rsidRPr="00175D5D">
        <w:rPr>
          <w:rFonts w:ascii="Arial" w:eastAsia="MS Mincho" w:hAnsi="Arial" w:cs="Arial"/>
          <w:color w:val="000000"/>
        </w:rPr>
        <w:t>Azawei</w:t>
      </w:r>
      <w:proofErr w:type="spellEnd"/>
      <w:r w:rsidRPr="00175D5D">
        <w:rPr>
          <w:rFonts w:ascii="Arial" w:eastAsia="MS Mincho" w:hAnsi="Arial" w:cs="Arial"/>
          <w:color w:val="000000"/>
        </w:rPr>
        <w:t xml:space="preserve"> et al., 2016; Al-</w:t>
      </w:r>
      <w:proofErr w:type="spellStart"/>
      <w:r w:rsidRPr="00175D5D">
        <w:rPr>
          <w:rFonts w:ascii="Arial" w:eastAsia="MS Mincho" w:hAnsi="Arial" w:cs="Arial"/>
          <w:color w:val="000000"/>
        </w:rPr>
        <w:t>Azawei</w:t>
      </w:r>
      <w:proofErr w:type="spellEnd"/>
      <w:r w:rsidRPr="00175D5D">
        <w:rPr>
          <w:rFonts w:ascii="Arial" w:eastAsia="MS Mincho" w:hAnsi="Arial" w:cs="Arial"/>
          <w:color w:val="000000"/>
        </w:rPr>
        <w:t xml:space="preserve"> &amp; Al-Moghrabi, 2023).</w:t>
      </w:r>
    </w:p>
    <w:p w14:paraId="3B2A0A1A" w14:textId="77777777" w:rsidR="00175D5D" w:rsidRPr="00175D5D" w:rsidRDefault="00175D5D" w:rsidP="00A92172">
      <w:pPr>
        <w:numPr>
          <w:ilvl w:val="0"/>
          <w:numId w:val="13"/>
        </w:numPr>
        <w:spacing w:after="160" w:line="480" w:lineRule="auto"/>
        <w:rPr>
          <w:rFonts w:ascii="Arial" w:eastAsia="MS Mincho" w:hAnsi="Arial" w:cs="Arial"/>
          <w:color w:val="000000"/>
          <w:lang w:val="en-GB"/>
        </w:rPr>
      </w:pPr>
      <w:r w:rsidRPr="00175D5D">
        <w:rPr>
          <w:rFonts w:ascii="Arial" w:eastAsia="MS Mincho" w:hAnsi="Arial" w:cs="Arial"/>
          <w:b/>
          <w:bCs/>
          <w:color w:val="000000"/>
          <w:lang w:val="en-GB"/>
        </w:rPr>
        <w:t>Promoting lifelong learning skills</w:t>
      </w:r>
      <w:r w:rsidRPr="00175D5D">
        <w:rPr>
          <w:rFonts w:ascii="Arial" w:eastAsia="MS Mincho" w:hAnsi="Arial" w:cs="Arial"/>
          <w:color w:val="000000"/>
          <w:lang w:val="en-GB"/>
        </w:rPr>
        <w:t xml:space="preserve"> by encouraging students to self-assess, set personal learning goals, and select strategies that work for them, skills transferable to workplace and community contexts. This links to </w:t>
      </w:r>
      <w:r w:rsidRPr="00175D5D">
        <w:rPr>
          <w:rFonts w:ascii="Arial" w:eastAsia="MS Mincho" w:hAnsi="Arial" w:cs="Arial"/>
          <w:b/>
          <w:bCs/>
          <w:color w:val="000000"/>
          <w:lang w:val="en-GB"/>
        </w:rPr>
        <w:t>Target 4.3</w:t>
      </w:r>
      <w:r w:rsidRPr="00175D5D">
        <w:rPr>
          <w:rFonts w:ascii="Arial" w:eastAsia="MS Mincho" w:hAnsi="Arial" w:cs="Arial"/>
          <w:color w:val="000000"/>
          <w:lang w:val="en-GB"/>
        </w:rPr>
        <w:t xml:space="preserve"> (</w:t>
      </w:r>
      <w:r w:rsidRPr="00B370A7">
        <w:rPr>
          <w:rFonts w:ascii="Arial" w:eastAsia="MS Mincho" w:hAnsi="Arial" w:cs="Arial"/>
          <w:color w:val="000000"/>
          <w:lang w:val="en-GB"/>
        </w:rPr>
        <w:t xml:space="preserve">ensure equal access </w:t>
      </w:r>
      <w:r w:rsidRPr="00B370A7">
        <w:rPr>
          <w:rFonts w:ascii="Arial" w:eastAsia="MS Mincho" w:hAnsi="Arial" w:cs="Arial"/>
          <w:color w:val="000000"/>
          <w:lang w:val="en-GB"/>
        </w:rPr>
        <w:lastRenderedPageBreak/>
        <w:t>for all women and men to affordable and quality technical, vocational, and tertiary education, including university</w:t>
      </w:r>
      <w:r w:rsidRPr="00175D5D">
        <w:rPr>
          <w:rFonts w:ascii="Arial" w:eastAsia="MS Mincho" w:hAnsi="Arial" w:cs="Arial"/>
          <w:color w:val="000000"/>
          <w:lang w:val="en-GB"/>
        </w:rPr>
        <w:t>), supporting both academic progression and career readiness (</w:t>
      </w:r>
      <w:proofErr w:type="spellStart"/>
      <w:r w:rsidRPr="00175D5D">
        <w:rPr>
          <w:rFonts w:ascii="Arial" w:eastAsia="MS Mincho" w:hAnsi="Arial" w:cs="Arial"/>
          <w:color w:val="000000"/>
          <w:lang w:val="en-GB"/>
        </w:rPr>
        <w:t>Griful-Freixenet</w:t>
      </w:r>
      <w:proofErr w:type="spellEnd"/>
      <w:r w:rsidRPr="00175D5D">
        <w:rPr>
          <w:rFonts w:ascii="Arial" w:eastAsia="MS Mincho" w:hAnsi="Arial" w:cs="Arial"/>
          <w:color w:val="000000"/>
          <w:lang w:val="en-GB"/>
        </w:rPr>
        <w:t xml:space="preserve"> et al., 2020).</w:t>
      </w:r>
    </w:p>
    <w:p w14:paraId="56D265EE" w14:textId="77777777" w:rsidR="00175D5D" w:rsidRPr="00586234" w:rsidRDefault="00175D5D" w:rsidP="00586234">
      <w:pPr>
        <w:pStyle w:val="ListParagraph"/>
        <w:numPr>
          <w:ilvl w:val="0"/>
          <w:numId w:val="13"/>
        </w:numPr>
        <w:spacing w:line="480" w:lineRule="auto"/>
        <w:rPr>
          <w:rFonts w:ascii="Arial" w:eastAsia="MS Mincho" w:hAnsi="Arial" w:cs="Arial"/>
          <w:b/>
          <w:bCs/>
          <w:color w:val="000000"/>
        </w:rPr>
      </w:pPr>
      <w:r w:rsidRPr="00586234">
        <w:rPr>
          <w:rFonts w:ascii="Arial" w:eastAsia="MS Mincho" w:hAnsi="Arial" w:cs="Arial"/>
          <w:b/>
          <w:bCs/>
          <w:color w:val="000000"/>
        </w:rPr>
        <w:t xml:space="preserve">Reducing attrition through early inclusivity design: </w:t>
      </w:r>
      <w:r w:rsidRPr="00586234">
        <w:rPr>
          <w:rFonts w:ascii="Arial" w:eastAsia="MS Mincho" w:hAnsi="Arial" w:cs="Arial"/>
          <w:color w:val="000000"/>
        </w:rPr>
        <w:t xml:space="preserve">Evidence from UK higher education indicates that embedding </w:t>
      </w:r>
      <w:proofErr w:type="spellStart"/>
      <w:r w:rsidRPr="00586234">
        <w:rPr>
          <w:rFonts w:ascii="Arial" w:eastAsia="MS Mincho" w:hAnsi="Arial" w:cs="Arial"/>
          <w:color w:val="000000"/>
        </w:rPr>
        <w:t>UDL</w:t>
      </w:r>
      <w:proofErr w:type="spellEnd"/>
      <w:r w:rsidRPr="00586234">
        <w:rPr>
          <w:rFonts w:ascii="Arial" w:eastAsia="MS Mincho" w:hAnsi="Arial" w:cs="Arial"/>
          <w:color w:val="000000"/>
        </w:rPr>
        <w:t xml:space="preserve"> principles across entire </w:t>
      </w:r>
      <w:proofErr w:type="spellStart"/>
      <w:r w:rsidRPr="00586234">
        <w:rPr>
          <w:rFonts w:ascii="Arial" w:eastAsia="MS Mincho" w:hAnsi="Arial" w:cs="Arial"/>
          <w:color w:val="000000"/>
        </w:rPr>
        <w:t>programmes</w:t>
      </w:r>
      <w:proofErr w:type="spellEnd"/>
      <w:r w:rsidRPr="00586234">
        <w:rPr>
          <w:rFonts w:ascii="Arial" w:eastAsia="MS Mincho" w:hAnsi="Arial" w:cs="Arial"/>
          <w:color w:val="000000"/>
        </w:rPr>
        <w:t xml:space="preserve"> correlates with higher completion rates and fewer withdrawals due to perceptions of the course being “unsuitable” (Hockings et al., 2022). This addresses Target 4.1 (ensure that all learners complete free, equitable, and quality primary and secondary education) when extended in HE contexts to completion of tertiary </w:t>
      </w:r>
      <w:proofErr w:type="gramStart"/>
      <w:r w:rsidRPr="00586234">
        <w:rPr>
          <w:rFonts w:ascii="Arial" w:eastAsia="MS Mincho" w:hAnsi="Arial" w:cs="Arial"/>
          <w:color w:val="000000"/>
        </w:rPr>
        <w:t>studies, and</w:t>
      </w:r>
      <w:proofErr w:type="gramEnd"/>
      <w:r w:rsidRPr="00586234">
        <w:rPr>
          <w:rFonts w:ascii="Arial" w:eastAsia="MS Mincho" w:hAnsi="Arial" w:cs="Arial"/>
          <w:color w:val="000000"/>
        </w:rPr>
        <w:t xml:space="preserve"> shows that early inclusivity reduces dropout risk (Seale et al., 2020).</w:t>
      </w:r>
    </w:p>
    <w:p w14:paraId="609D372C" w14:textId="37AE5840" w:rsidR="00175D5D" w:rsidRPr="00175D5D" w:rsidRDefault="00E425D9" w:rsidP="00A44044">
      <w:pPr>
        <w:pStyle w:val="Heading2"/>
      </w:pPr>
      <w:bookmarkStart w:id="18" w:name="_Toc206171138"/>
      <w:r>
        <w:t>6</w:t>
      </w:r>
      <w:r w:rsidR="00175D5D" w:rsidRPr="00175D5D">
        <w:t>.2</w:t>
      </w:r>
      <w:r>
        <w:t>.</w:t>
      </w:r>
      <w:r w:rsidR="00175D5D" w:rsidRPr="00175D5D">
        <w:t xml:space="preserve"> SDG 10: Reduced Inequalities</w:t>
      </w:r>
      <w:r w:rsidR="002F0827">
        <w:t>.</w:t>
      </w:r>
      <w:bookmarkEnd w:id="18"/>
    </w:p>
    <w:p w14:paraId="0A5A796A" w14:textId="3302A17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SDG 10 focuses on reducing inequality within and among countries. In the context of HE, inequality can be considered as attainment gaps between different demographic groups, such as students from lower socioeconomic backgrounds, mature learners, and those with disabilities or neurodivergent profiles (Advance HE, 2024).</w:t>
      </w:r>
    </w:p>
    <w:p w14:paraId="4BF09699" w14:textId="77777777" w:rsidR="00175D5D" w:rsidRPr="00175D5D" w:rsidRDefault="00175D5D" w:rsidP="00A92172">
      <w:pPr>
        <w:spacing w:line="480" w:lineRule="auto"/>
        <w:rPr>
          <w:rFonts w:ascii="Arial" w:eastAsia="MS Mincho" w:hAnsi="Arial" w:cs="Arial"/>
          <w:b/>
          <w:bCs/>
          <w:color w:val="000000"/>
        </w:rPr>
      </w:pPr>
      <w:r w:rsidRPr="00175D5D">
        <w:rPr>
          <w:rFonts w:ascii="Arial" w:eastAsia="MS Mincho" w:hAnsi="Arial" w:cs="Arial"/>
          <w:b/>
          <w:bCs/>
          <w:color w:val="000000"/>
        </w:rPr>
        <w:t xml:space="preserve">A seamless </w:t>
      </w:r>
      <w:proofErr w:type="spellStart"/>
      <w:r w:rsidRPr="00175D5D">
        <w:rPr>
          <w:rFonts w:ascii="Arial" w:eastAsia="MS Mincho" w:hAnsi="Arial" w:cs="Arial"/>
          <w:b/>
          <w:bCs/>
          <w:color w:val="000000"/>
        </w:rPr>
        <w:t>UDL</w:t>
      </w:r>
      <w:proofErr w:type="spellEnd"/>
      <w:r w:rsidRPr="00175D5D">
        <w:rPr>
          <w:rFonts w:ascii="Arial" w:eastAsia="MS Mincho" w:hAnsi="Arial" w:cs="Arial"/>
          <w:b/>
          <w:bCs/>
          <w:color w:val="000000"/>
        </w:rPr>
        <w:t xml:space="preserve"> approach can reduce these gaps by:</w:t>
      </w:r>
    </w:p>
    <w:p w14:paraId="67CE432C" w14:textId="28528E56" w:rsidR="00175D5D" w:rsidRPr="00175D5D" w:rsidRDefault="00175D5D" w:rsidP="00A92172">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t>Removing dependency on formal diagnosis for access to adapted learning, which benefits students who face barriers to assessment or disclosure.</w:t>
      </w:r>
      <w:r w:rsidR="00DF23B5">
        <w:rPr>
          <w:rFonts w:ascii="Arial" w:eastAsia="MS Mincho" w:hAnsi="Arial" w:cs="Arial"/>
          <w:color w:val="000000"/>
        </w:rPr>
        <w:br/>
      </w:r>
    </w:p>
    <w:p w14:paraId="6EF3D5C9" w14:textId="77777777" w:rsidR="00175D5D" w:rsidRPr="00175D5D" w:rsidRDefault="00175D5D" w:rsidP="00A92172">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t>Reducing stigma, since everyone receives the same flexible learning environment rather than adjustments being “flagged” as disability accommodations.</w:t>
      </w:r>
      <w:r w:rsidRPr="00175D5D">
        <w:rPr>
          <w:rFonts w:ascii="Arial" w:eastAsia="MS Mincho" w:hAnsi="Arial" w:cs="Arial"/>
          <w:color w:val="000000"/>
        </w:rPr>
        <w:br/>
      </w:r>
    </w:p>
    <w:p w14:paraId="5A335AA8" w14:textId="77777777" w:rsidR="00586234" w:rsidRDefault="00175D5D" w:rsidP="00586234">
      <w:pPr>
        <w:numPr>
          <w:ilvl w:val="0"/>
          <w:numId w:val="14"/>
        </w:numPr>
        <w:spacing w:after="160" w:line="480" w:lineRule="auto"/>
        <w:contextualSpacing/>
        <w:rPr>
          <w:rFonts w:ascii="Arial" w:eastAsia="MS Mincho" w:hAnsi="Arial" w:cs="Arial"/>
          <w:color w:val="000000"/>
        </w:rPr>
      </w:pPr>
      <w:r w:rsidRPr="00175D5D">
        <w:rPr>
          <w:rFonts w:ascii="Arial" w:eastAsia="MS Mincho" w:hAnsi="Arial" w:cs="Arial"/>
          <w:color w:val="000000"/>
        </w:rPr>
        <w:lastRenderedPageBreak/>
        <w:t>Enabling fairer assessment through multiple means of action and expression, such as giving students a choice between a written report, recorded presentation, or applied project, each assessed against the same learning outcomes.</w:t>
      </w:r>
    </w:p>
    <w:p w14:paraId="688390B3" w14:textId="7751A717" w:rsidR="00175D5D" w:rsidRPr="00586234" w:rsidRDefault="00586234" w:rsidP="00586234">
      <w:pPr>
        <w:spacing w:after="160" w:line="480" w:lineRule="auto"/>
        <w:contextualSpacing/>
        <w:rPr>
          <w:rFonts w:ascii="Arial" w:eastAsia="MS Mincho" w:hAnsi="Arial" w:cs="Arial"/>
          <w:color w:val="000000"/>
        </w:rPr>
      </w:pPr>
      <w:r>
        <w:rPr>
          <w:rFonts w:ascii="Arial" w:eastAsia="MS Mincho" w:hAnsi="Arial" w:cs="Arial"/>
          <w:color w:val="000000"/>
        </w:rPr>
        <w:br/>
      </w:r>
      <w:r w:rsidR="00175D5D" w:rsidRPr="00586234">
        <w:rPr>
          <w:rFonts w:ascii="Arial" w:eastAsia="MS Mincho" w:hAnsi="Arial" w:cs="Arial"/>
          <w:color w:val="000000"/>
        </w:rPr>
        <w:t xml:space="preserve">Research by </w:t>
      </w:r>
      <w:proofErr w:type="spellStart"/>
      <w:r w:rsidR="00175D5D" w:rsidRPr="00586234">
        <w:rPr>
          <w:rFonts w:ascii="Arial" w:eastAsia="MS Mincho" w:hAnsi="Arial" w:cs="Arial"/>
          <w:color w:val="000000"/>
        </w:rPr>
        <w:t>Moriña</w:t>
      </w:r>
      <w:proofErr w:type="spellEnd"/>
      <w:r w:rsidR="00175D5D" w:rsidRPr="00586234">
        <w:rPr>
          <w:rFonts w:ascii="Arial" w:eastAsia="MS Mincho" w:hAnsi="Arial" w:cs="Arial"/>
          <w:color w:val="000000"/>
        </w:rPr>
        <w:t xml:space="preserve"> (2020) and Thomas &amp; May (2020) indicates that when such options are consistently applied, students from underrepresented groups close the grade gap without reducing academic standards, consequently reducing the inequality gaps between different student groups.</w:t>
      </w:r>
    </w:p>
    <w:p w14:paraId="1A5312AC" w14:textId="367C729B" w:rsidR="00175D5D" w:rsidRPr="00175D5D" w:rsidRDefault="00E425D9" w:rsidP="00A44044">
      <w:pPr>
        <w:pStyle w:val="Heading2"/>
      </w:pPr>
      <w:bookmarkStart w:id="19" w:name="_Toc206171139"/>
      <w:r>
        <w:t>6</w:t>
      </w:r>
      <w:r w:rsidR="00175D5D" w:rsidRPr="00175D5D">
        <w:t>.3</w:t>
      </w:r>
      <w:r>
        <w:t>.</w:t>
      </w:r>
      <w:r w:rsidR="00175D5D" w:rsidRPr="00175D5D">
        <w:t xml:space="preserve"> The Interdependence of SDG 4 and SDG 10</w:t>
      </w:r>
      <w:r w:rsidR="002F0827">
        <w:t>.</w:t>
      </w:r>
      <w:bookmarkEnd w:id="19"/>
    </w:p>
    <w:p w14:paraId="00001CB1" w14:textId="06F8BBFB"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SDG 4 supports SDG 10 when higher education is genuinely accessible and of high quality, not just </w:t>
      </w:r>
      <w:r w:rsidR="004921AB">
        <w:rPr>
          <w:rFonts w:ascii="Arial" w:eastAsia="MS Mincho" w:hAnsi="Arial" w:cs="Arial"/>
          <w:color w:val="000000"/>
        </w:rPr>
        <w:t>within</w:t>
      </w:r>
      <w:r w:rsidR="00175D5D" w:rsidRPr="00175D5D">
        <w:rPr>
          <w:rFonts w:ascii="Arial" w:eastAsia="MS Mincho" w:hAnsi="Arial" w:cs="Arial"/>
          <w:color w:val="000000"/>
        </w:rPr>
        <w:t xml:space="preserve"> the HE environment, but also with improved outcomes, reducing gaps in graduate employment and progression to postgraduate study (Divan et al., 2022; Mateos-González &amp; Wakeling, 2022). If inequities in participation, accessibility to learning, and subsequent poor outcomes persist, claims to provide a quality education simply cannot be the case, as increasing numbers of students are not able to or cannot engage sufficiently to succeed on comparable terms (Sabri, 2023).</w:t>
      </w:r>
    </w:p>
    <w:p w14:paraId="1F595B5D"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Using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as the default design rather than a post-hoc adjustment can therefore serve as a basis for reducing such inequalities by enhancing learning, accessibility, and participation across whole cohorts, advancing both quality and equity without the trade-offs that often occur when inclusion is approached reactively; often the approach within many HE environments (</w:t>
      </w:r>
      <w:proofErr w:type="spellStart"/>
      <w:r w:rsidRPr="00175D5D">
        <w:rPr>
          <w:rFonts w:ascii="Arial" w:eastAsia="MS Mincho" w:hAnsi="Arial" w:cs="Arial"/>
          <w:color w:val="000000"/>
        </w:rPr>
        <w:t>Almeqdad</w:t>
      </w:r>
      <w:proofErr w:type="spellEnd"/>
      <w:r w:rsidRPr="00175D5D">
        <w:rPr>
          <w:rFonts w:ascii="Arial" w:eastAsia="MS Mincho" w:hAnsi="Arial" w:cs="Arial"/>
          <w:color w:val="000000"/>
        </w:rPr>
        <w:t xml:space="preserve"> et al., 2023; Qu &amp; Cross, 2023; Seale, 2021).</w:t>
      </w:r>
    </w:p>
    <w:p w14:paraId="4212C6F1" w14:textId="2E04528A" w:rsidR="00175D5D" w:rsidRPr="00175D5D" w:rsidRDefault="00E425D9" w:rsidP="00A44044">
      <w:pPr>
        <w:pStyle w:val="Heading1"/>
      </w:pPr>
      <w:bookmarkStart w:id="20" w:name="_Toc206171140"/>
      <w:r>
        <w:t>7</w:t>
      </w:r>
      <w:r w:rsidR="00175D5D" w:rsidRPr="00175D5D">
        <w:t xml:space="preserve">. </w:t>
      </w:r>
      <w:proofErr w:type="spellStart"/>
      <w:r w:rsidR="00175D5D" w:rsidRPr="00175D5D">
        <w:t>UDL</w:t>
      </w:r>
      <w:proofErr w:type="spellEnd"/>
      <w:r w:rsidR="00175D5D" w:rsidRPr="00175D5D">
        <w:t xml:space="preserve"> as a Whole-Institution Strategy </w:t>
      </w:r>
      <w:r w:rsidR="005818C3">
        <w:t>r</w:t>
      </w:r>
      <w:r w:rsidR="00175D5D" w:rsidRPr="00175D5D">
        <w:t xml:space="preserve">ather </w:t>
      </w:r>
      <w:r w:rsidR="005818C3">
        <w:t>t</w:t>
      </w:r>
      <w:r w:rsidR="00175D5D" w:rsidRPr="00175D5D">
        <w:t>han an Adjustment</w:t>
      </w:r>
      <w:r w:rsidR="002F0827">
        <w:t>.</w:t>
      </w:r>
      <w:bookmarkEnd w:id="20"/>
    </w:p>
    <w:p w14:paraId="6566F01A" w14:textId="0F5041B0"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Across the literature reviewed, there is a clear trend toward reframing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from a specialist </w:t>
      </w:r>
      <w:r w:rsidR="00175D5D" w:rsidRPr="00175D5D">
        <w:rPr>
          <w:rFonts w:ascii="Arial" w:eastAsia="MS Mincho" w:hAnsi="Arial" w:cs="Arial"/>
          <w:color w:val="000000"/>
        </w:rPr>
        <w:lastRenderedPageBreak/>
        <w:t>support measure to a baseline expectation for curriculum design. This shift responds to multiple sector challenges, including declining enrolments, greater acceptance of students with diverse learning profiles, reduced international student intake, and constrained institutional budgets (Advance HE, 2024; UUK, 2022).</w:t>
      </w:r>
    </w:p>
    <w:p w14:paraId="39160C82" w14:textId="665CF5AE"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Recent UK studies </w:t>
      </w:r>
      <w:r w:rsidR="00673F9C">
        <w:rPr>
          <w:rFonts w:ascii="Arial" w:eastAsia="MS Mincho" w:hAnsi="Arial" w:cs="Arial"/>
          <w:color w:val="000000"/>
        </w:rPr>
        <w:t>suggest</w:t>
      </w:r>
      <w:r w:rsidRPr="00175D5D">
        <w:rPr>
          <w:rFonts w:ascii="Arial" w:eastAsia="MS Mincho" w:hAnsi="Arial" w:cs="Arial"/>
          <w:color w:val="000000"/>
        </w:rPr>
        <w:t xml:space="preserve"> that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seamlessly, for all students rather than as a reactive accommodation for neurodivergent learners, also reduces the administrative and social barriers that come with the “adjustments” model (Capp, 2020; Hockings et al., 2022).</w:t>
      </w:r>
    </w:p>
    <w:p w14:paraId="1DEAA2C2"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This universal approach has three practical benefits highlighted in the literature:</w:t>
      </w:r>
    </w:p>
    <w:p w14:paraId="4D72A38C" w14:textId="77777777"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Reduces stigma</w:t>
      </w:r>
      <w:r w:rsidRPr="00175D5D">
        <w:rPr>
          <w:rFonts w:ascii="Arial" w:eastAsia="MS Mincho" w:hAnsi="Arial" w:cs="Arial"/>
          <w:color w:val="000000"/>
        </w:rPr>
        <w:t>: Neurodivergent students are not singled out for “special” treatment; all students receive the same flexibility and choice in engagement, representation, and assessment.</w:t>
      </w:r>
      <w:r w:rsidRPr="00175D5D">
        <w:rPr>
          <w:rFonts w:ascii="Arial" w:eastAsia="MS Mincho" w:hAnsi="Arial" w:cs="Arial"/>
          <w:color w:val="000000"/>
        </w:rPr>
        <w:br/>
      </w:r>
    </w:p>
    <w:p w14:paraId="41F91F1B" w14:textId="22F4EA00"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Improves teaching efficiency</w:t>
      </w:r>
      <w:r w:rsidRPr="00175D5D">
        <w:rPr>
          <w:rFonts w:ascii="Arial" w:eastAsia="MS Mincho" w:hAnsi="Arial" w:cs="Arial"/>
          <w:color w:val="000000"/>
        </w:rPr>
        <w:t>: Lecturers design once for all, rather than modifying materials repeatedly for different groups (</w:t>
      </w:r>
      <w:r w:rsidR="00673F9C" w:rsidRPr="00175D5D">
        <w:rPr>
          <w:rFonts w:ascii="Arial" w:eastAsia="MS Mincho" w:hAnsi="Arial" w:cs="Arial"/>
          <w:color w:val="000000"/>
        </w:rPr>
        <w:t>CAST, 2018)</w:t>
      </w:r>
      <w:r w:rsidR="00673F9C">
        <w:rPr>
          <w:rFonts w:ascii="Arial" w:eastAsia="MS Mincho" w:hAnsi="Arial" w:cs="Arial"/>
          <w:color w:val="000000"/>
        </w:rPr>
        <w:t xml:space="preserve">; </w:t>
      </w:r>
      <w:r w:rsidR="00673F9C" w:rsidRPr="00175D5D">
        <w:rPr>
          <w:rFonts w:ascii="Arial" w:eastAsia="MS Mincho" w:hAnsi="Arial" w:cs="Arial"/>
          <w:color w:val="000000"/>
        </w:rPr>
        <w:br/>
      </w:r>
      <w:r w:rsidRPr="00175D5D">
        <w:rPr>
          <w:rFonts w:ascii="Arial" w:eastAsia="MS Mincho" w:hAnsi="Arial" w:cs="Arial"/>
          <w:color w:val="000000"/>
        </w:rPr>
        <w:t>Meyer et al., 2014</w:t>
      </w:r>
      <w:r w:rsidR="00673F9C">
        <w:rPr>
          <w:rFonts w:ascii="Arial" w:eastAsia="MS Mincho" w:hAnsi="Arial" w:cs="Arial"/>
          <w:color w:val="000000"/>
        </w:rPr>
        <w:t>).</w:t>
      </w:r>
      <w:r w:rsidR="00673F9C">
        <w:rPr>
          <w:rFonts w:ascii="Arial" w:eastAsia="MS Mincho" w:hAnsi="Arial" w:cs="Arial"/>
          <w:color w:val="000000"/>
        </w:rPr>
        <w:br/>
      </w:r>
    </w:p>
    <w:p w14:paraId="0D2B2235" w14:textId="77777777" w:rsidR="00175D5D" w:rsidRPr="00175D5D" w:rsidRDefault="00175D5D" w:rsidP="00A92172">
      <w:pPr>
        <w:numPr>
          <w:ilvl w:val="0"/>
          <w:numId w:val="16"/>
        </w:numPr>
        <w:spacing w:after="160" w:line="480" w:lineRule="auto"/>
        <w:contextualSpacing/>
        <w:rPr>
          <w:rFonts w:ascii="Arial" w:eastAsia="MS Mincho" w:hAnsi="Arial" w:cs="Arial"/>
          <w:color w:val="000000"/>
        </w:rPr>
      </w:pPr>
      <w:r w:rsidRPr="00175D5D">
        <w:rPr>
          <w:rFonts w:ascii="Arial" w:eastAsia="MS Mincho" w:hAnsi="Arial" w:cs="Arial"/>
          <w:b/>
          <w:bCs/>
          <w:color w:val="000000"/>
        </w:rPr>
        <w:t>Supports recruitment and retention</w:t>
      </w:r>
      <w:r w:rsidRPr="00175D5D">
        <w:rPr>
          <w:rFonts w:ascii="Arial" w:eastAsia="MS Mincho" w:hAnsi="Arial" w:cs="Arial"/>
          <w:color w:val="000000"/>
        </w:rPr>
        <w:t xml:space="preserve">: In a competitive HE </w:t>
      </w:r>
      <w:proofErr w:type="gramStart"/>
      <w:r w:rsidRPr="00175D5D">
        <w:rPr>
          <w:rFonts w:ascii="Arial" w:eastAsia="MS Mincho" w:hAnsi="Arial" w:cs="Arial"/>
          <w:color w:val="000000"/>
        </w:rPr>
        <w:t>market</w:t>
      </w:r>
      <w:proofErr w:type="gramEnd"/>
      <w:r w:rsidRPr="00175D5D">
        <w:rPr>
          <w:rFonts w:ascii="Arial" w:eastAsia="MS Mincho" w:hAnsi="Arial" w:cs="Arial"/>
          <w:color w:val="000000"/>
        </w:rPr>
        <w:t>, visibly inclusive teaching practices can attract applicants from under-represented backgrounds (Disabled Students UK, 2023).</w:t>
      </w:r>
    </w:p>
    <w:p w14:paraId="4ACC0519" w14:textId="241FD7B1" w:rsidR="00175D5D" w:rsidRPr="00175D5D" w:rsidRDefault="00175D5D" w:rsidP="00A44044">
      <w:pPr>
        <w:pStyle w:val="Heading2"/>
      </w:pPr>
      <w:r>
        <w:br/>
      </w:r>
      <w:bookmarkStart w:id="21" w:name="_Toc206171141"/>
      <w:r w:rsidR="00E425D9">
        <w:t>7</w:t>
      </w:r>
      <w:r w:rsidRPr="00175D5D">
        <w:t>.1 Impact on Learning Outcomes and Student Engagement</w:t>
      </w:r>
      <w:r w:rsidR="005818C3">
        <w:t>.</w:t>
      </w:r>
      <w:bookmarkEnd w:id="21"/>
    </w:p>
    <w:p w14:paraId="0FEC729E" w14:textId="14F4A494"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Hockings et al. (2022) reported that in modules redesigned using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principles at a mid-sized UK university, student satisfaction scores increased by 14%, while retention improved </w:t>
      </w:r>
      <w:r w:rsidR="00175D5D" w:rsidRPr="00175D5D">
        <w:rPr>
          <w:rFonts w:ascii="Arial" w:eastAsia="MS Mincho" w:hAnsi="Arial" w:cs="Arial"/>
          <w:color w:val="000000"/>
        </w:rPr>
        <w:lastRenderedPageBreak/>
        <w:t>by 8% over two years. These gains were particularly strong among students from widening participation backgrounds and those declaring disabilities.</w:t>
      </w:r>
    </w:p>
    <w:p w14:paraId="7CF5C567"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However, Seale (2021) cautions that while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appears to improve the experience of learning, the direct correlation to ‘summative’ academic performance remains inconsistent. Further research is therefore required to fully understand how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often improves access to learning but does not automatically address deeper pedagogical issues like curriculum relevance or prior educational disadvantage (Boysen, 2024). </w:t>
      </w:r>
    </w:p>
    <w:p w14:paraId="7BA2EE7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Engagement benefits are, however, more widely positively recognised in the literature. Case studies from the Open University and University of Glasgow demonstrate that incorporating multiple means of engagement, such as asynchronous discussion forums, optional live Q&amp;As, and varied assessment formats, increases participation from students who might otherwise remain silent in traditional lectures (Government Digital Service, 2018).</w:t>
      </w:r>
    </w:p>
    <w:p w14:paraId="34A404C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One recurring finding in the research is that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shifts the locus, or control, of learning towards students. Students are given more autonomy in demonstrating their understanding, strengthening their sense of agency (Capp, 2020). However, it is important to consider that too much flexibility without sufficient guidance can overwhelm students who are used to more prescriptive learning structures (Burgstahler, 2015; Seale, 2021).</w:t>
      </w:r>
    </w:p>
    <w:p w14:paraId="403A8C8B" w14:textId="74A278BD" w:rsidR="00175D5D" w:rsidRPr="00175D5D" w:rsidRDefault="00E425D9" w:rsidP="00A44044">
      <w:pPr>
        <w:pStyle w:val="Heading1"/>
      </w:pPr>
      <w:bookmarkStart w:id="22" w:name="_Toc206171142"/>
      <w:r>
        <w:t>8</w:t>
      </w:r>
      <w:r w:rsidR="00175D5D" w:rsidRPr="00175D5D">
        <w:t>. Barriers to Implementation in UK Higher Education</w:t>
      </w:r>
      <w:r w:rsidR="005818C3">
        <w:t>.</w:t>
      </w:r>
      <w:bookmarkEnd w:id="22"/>
    </w:p>
    <w:p w14:paraId="212E834B" w14:textId="3F0BFDA2"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However, the literature also indicates that in HE settings, there are challenges. Academic staff report perceiving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as an “add-on” rather than an integral part of academic quality (Seale, 2021). Others highlight the lack of training and digital infrastructure as barriers to scaling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institution-wide (Hockings et al., 2022).</w:t>
      </w:r>
    </w:p>
    <w:p w14:paraId="106FA313"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lastRenderedPageBreak/>
        <w:t xml:space="preserve">Despite </w:t>
      </w:r>
      <w:proofErr w:type="spellStart"/>
      <w:r w:rsidRPr="00175D5D">
        <w:rPr>
          <w:rFonts w:ascii="Arial" w:eastAsia="MS Mincho" w:hAnsi="Arial" w:cs="Arial"/>
          <w:color w:val="000000"/>
        </w:rPr>
        <w:t>UDL's</w:t>
      </w:r>
      <w:proofErr w:type="spellEnd"/>
      <w:r w:rsidRPr="00175D5D">
        <w:rPr>
          <w:rFonts w:ascii="Arial" w:eastAsia="MS Mincho" w:hAnsi="Arial" w:cs="Arial"/>
          <w:color w:val="000000"/>
        </w:rPr>
        <w:t xml:space="preserve"> conceptual appeal and its alignment with SDGS 4 and 10, large-scale and consistent adoption across UK higher education remains uneven. A recurring theme in the literature is the tension between ‘institutional aspiration’ and ‘operational reality’ (Hockings, 2010, Hockings et.al., 2022).</w:t>
      </w:r>
    </w:p>
    <w:p w14:paraId="25CFC6AD"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Resource and workload pressures are frequently cited as primary barriers. Implementing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requires time to redesign modules, source accessible materials, and develop alternative assessments. In an environment where academic workloads are already stretched with many institutions facing budget constraints, the additional time commitment associated with the embedding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can make it feel unattainable without dedicated institutional support (Morgan, 2020).</w:t>
      </w:r>
    </w:p>
    <w:p w14:paraId="2F05AC39"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Staff knowledge and confidence also play a significant role. While many HE lecturers agree with the idea of inclusive teaching, many have not received any formal training in accessible pedagogy, particularly in designing inclusively from the outset rather than making reactive adjustments (Lamb et al., 2021). </w:t>
      </w:r>
    </w:p>
    <w:p w14:paraId="07ACC43A"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Institutional priorities can further hinder implementation. In some universities, the focus on league table performance and research output is perceived to overshadow teaching development (Grayson, 2024; Hills et al., 2022; Stentiford &amp; </w:t>
      </w:r>
      <w:proofErr w:type="spellStart"/>
      <w:r w:rsidRPr="00175D5D">
        <w:rPr>
          <w:rFonts w:ascii="Arial" w:eastAsia="MS Mincho" w:hAnsi="Arial" w:cs="Arial"/>
          <w:color w:val="000000"/>
        </w:rPr>
        <w:t>Koutsouris</w:t>
      </w:r>
      <w:proofErr w:type="spellEnd"/>
      <w:r w:rsidRPr="00175D5D">
        <w:rPr>
          <w:rFonts w:ascii="Arial" w:eastAsia="MS Mincho" w:hAnsi="Arial" w:cs="Arial"/>
          <w:color w:val="000000"/>
        </w:rPr>
        <w:t xml:space="preserve">, 2022). Without explicit inclusion targets tied to strategic plans and accountability measures,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may remain a ‘niche’ interest rather than a mainstream expectation (Seale, 2021).</w:t>
      </w:r>
    </w:p>
    <w:p w14:paraId="09F09D6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Finally, cultural resistance cannot be ignored. Some academics remain </w:t>
      </w:r>
      <w:proofErr w:type="spellStart"/>
      <w:r w:rsidRPr="00175D5D">
        <w:rPr>
          <w:rFonts w:ascii="Arial" w:eastAsia="MS Mincho" w:hAnsi="Arial" w:cs="Arial"/>
          <w:color w:val="000000"/>
        </w:rPr>
        <w:t>sceptical</w:t>
      </w:r>
      <w:proofErr w:type="spellEnd"/>
      <w:r w:rsidRPr="00175D5D">
        <w:rPr>
          <w:rFonts w:ascii="Arial" w:eastAsia="MS Mincho" w:hAnsi="Arial" w:cs="Arial"/>
          <w:color w:val="000000"/>
        </w:rPr>
        <w:t xml:space="preserve"> of the pedagogical value of certain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practices, viewing them as a dilution of academic standards or as unnecessary when catering to what they perceive to be a minority of students (</w:t>
      </w:r>
      <w:proofErr w:type="spellStart"/>
      <w:r w:rsidRPr="00175D5D">
        <w:rPr>
          <w:rFonts w:ascii="Arial" w:eastAsia="MS Mincho" w:hAnsi="Arial" w:cs="Arial"/>
          <w:color w:val="000000"/>
        </w:rPr>
        <w:t>Dignath</w:t>
      </w:r>
      <w:proofErr w:type="spellEnd"/>
      <w:r w:rsidRPr="00175D5D">
        <w:rPr>
          <w:rFonts w:ascii="Arial" w:eastAsia="MS Mincho" w:hAnsi="Arial" w:cs="Arial"/>
          <w:color w:val="000000"/>
        </w:rPr>
        <w:t xml:space="preserve"> et al., 2022). This </w:t>
      </w:r>
      <w:proofErr w:type="spellStart"/>
      <w:r w:rsidRPr="00175D5D">
        <w:rPr>
          <w:rFonts w:ascii="Arial" w:eastAsia="MS Mincho" w:hAnsi="Arial" w:cs="Arial"/>
          <w:color w:val="000000"/>
        </w:rPr>
        <w:t>scepticism</w:t>
      </w:r>
      <w:proofErr w:type="spellEnd"/>
      <w:r w:rsidRPr="00175D5D">
        <w:rPr>
          <w:rFonts w:ascii="Arial" w:eastAsia="MS Mincho" w:hAnsi="Arial" w:cs="Arial"/>
          <w:color w:val="000000"/>
        </w:rPr>
        <w:t xml:space="preserve"> often reflects a lack of exposure to data </w:t>
      </w:r>
      <w:r w:rsidRPr="00175D5D">
        <w:rPr>
          <w:rFonts w:ascii="Arial" w:eastAsia="MS Mincho" w:hAnsi="Arial" w:cs="Arial"/>
          <w:color w:val="000000"/>
        </w:rPr>
        <w:lastRenderedPageBreak/>
        <w:t xml:space="preserve">showing benefits for the wider student population, impacting on subsequent institutional leadership </w:t>
      </w:r>
      <w:proofErr w:type="spellStart"/>
      <w:r w:rsidRPr="00175D5D">
        <w:rPr>
          <w:rFonts w:ascii="Arial" w:eastAsia="MS Mincho" w:hAnsi="Arial" w:cs="Arial"/>
          <w:color w:val="000000"/>
        </w:rPr>
        <w:t>prioritisation</w:t>
      </w:r>
      <w:proofErr w:type="spellEnd"/>
      <w:r w:rsidRPr="00175D5D">
        <w:rPr>
          <w:rFonts w:ascii="Arial" w:eastAsia="MS Mincho" w:hAnsi="Arial" w:cs="Arial"/>
          <w:color w:val="000000"/>
        </w:rPr>
        <w:t xml:space="preserve"> (Macfarlane, Bolden, &amp; </w:t>
      </w:r>
      <w:proofErr w:type="spellStart"/>
      <w:r w:rsidRPr="00175D5D">
        <w:rPr>
          <w:rFonts w:ascii="Arial" w:eastAsia="MS Mincho" w:hAnsi="Arial" w:cs="Arial"/>
          <w:color w:val="000000"/>
        </w:rPr>
        <w:t>Watermeyer</w:t>
      </w:r>
      <w:proofErr w:type="spellEnd"/>
      <w:r w:rsidRPr="00175D5D">
        <w:rPr>
          <w:rFonts w:ascii="Arial" w:eastAsia="MS Mincho" w:hAnsi="Arial" w:cs="Arial"/>
          <w:color w:val="000000"/>
        </w:rPr>
        <w:t>, 2024).</w:t>
      </w:r>
    </w:p>
    <w:p w14:paraId="6ED3DC1F"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The literature suggests that overcoming these barriers requires a combination of leadership commitment, targeted professional development, recognition of inclusive practice in workload models, and the integration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principles into quality assurance processes (Hockings et. </w:t>
      </w:r>
      <w:proofErr w:type="gramStart"/>
      <w:r w:rsidRPr="00175D5D">
        <w:rPr>
          <w:rFonts w:ascii="Arial" w:eastAsia="MS Mincho" w:hAnsi="Arial" w:cs="Arial"/>
          <w:color w:val="000000"/>
        </w:rPr>
        <w:t>al</w:t>
      </w:r>
      <w:proofErr w:type="gramEnd"/>
      <w:r w:rsidRPr="00175D5D">
        <w:rPr>
          <w:rFonts w:ascii="Arial" w:eastAsia="MS Mincho" w:hAnsi="Arial" w:cs="Arial"/>
          <w:color w:val="000000"/>
        </w:rPr>
        <w:t>, 2022; Prowse &amp; Hodgson, 2020).</w:t>
      </w:r>
    </w:p>
    <w:p w14:paraId="50B091B0" w14:textId="17FEE9E4" w:rsidR="00175D5D" w:rsidRPr="00175D5D" w:rsidRDefault="00E425D9" w:rsidP="00A44044">
      <w:pPr>
        <w:pStyle w:val="Heading1"/>
      </w:pPr>
      <w:bookmarkStart w:id="23" w:name="_Toc206171143"/>
      <w:r>
        <w:t>9</w:t>
      </w:r>
      <w:r w:rsidR="00175D5D" w:rsidRPr="00175D5D">
        <w:t>. Examples of Best Practice in UK Higher Education</w:t>
      </w:r>
      <w:r w:rsidR="005818C3">
        <w:t>.</w:t>
      </w:r>
      <w:bookmarkEnd w:id="23"/>
    </w:p>
    <w:p w14:paraId="20D1F3AB" w14:textId="4A0E0EEF" w:rsidR="00175D5D" w:rsidRPr="00175D5D" w:rsidRDefault="00A44044"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 xml:space="preserve">Several UK universities have begun embedding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into their teaching and learning strategies, offering empirical evidence into how inclusive design can be used and scaled effectively.</w:t>
      </w:r>
    </w:p>
    <w:p w14:paraId="324B5308" w14:textId="295F93CA" w:rsidR="00A44044" w:rsidRPr="005818C3" w:rsidRDefault="00E425D9" w:rsidP="005818C3">
      <w:pPr>
        <w:pStyle w:val="Heading2"/>
        <w:rPr>
          <w:rFonts w:eastAsia="MS Mincho" w:cs="Arial"/>
          <w:b w:val="0"/>
          <w:bCs w:val="0"/>
          <w:color w:val="000000"/>
        </w:rPr>
      </w:pPr>
      <w:bookmarkStart w:id="24" w:name="_Toc206171144"/>
      <w:r w:rsidRPr="005818C3">
        <w:rPr>
          <w:rStyle w:val="Heading2Char"/>
          <w:b/>
          <w:bCs/>
        </w:rPr>
        <w:t>9</w:t>
      </w:r>
      <w:r w:rsidR="00175D5D" w:rsidRPr="005818C3">
        <w:rPr>
          <w:rStyle w:val="Heading2Char"/>
          <w:b/>
          <w:bCs/>
        </w:rPr>
        <w:t>.1. University of Leeds: Inclusive Learning Design Project</w:t>
      </w:r>
      <w:r w:rsidR="005818C3" w:rsidRPr="005818C3">
        <w:rPr>
          <w:rStyle w:val="Heading2Char"/>
          <w:b/>
          <w:bCs/>
        </w:rPr>
        <w:t>.</w:t>
      </w:r>
      <w:bookmarkEnd w:id="24"/>
    </w:p>
    <w:p w14:paraId="317D9BB9" w14:textId="51DBBD47" w:rsidR="00175D5D" w:rsidRPr="00175D5D" w:rsidRDefault="005818C3" w:rsidP="00A92172">
      <w:pPr>
        <w:spacing w:line="480" w:lineRule="auto"/>
        <w:rPr>
          <w:rFonts w:ascii="Arial" w:eastAsia="MS Mincho" w:hAnsi="Arial" w:cs="Arial"/>
          <w:color w:val="000000"/>
        </w:rPr>
      </w:pPr>
      <w:r>
        <w:rPr>
          <w:rFonts w:ascii="Arial" w:eastAsia="MS Mincho" w:hAnsi="Arial" w:cs="Arial"/>
          <w:color w:val="000000"/>
        </w:rPr>
        <w:br/>
      </w:r>
      <w:r w:rsidR="00175D5D" w:rsidRPr="00175D5D">
        <w:rPr>
          <w:rFonts w:ascii="Arial" w:eastAsia="MS Mincho" w:hAnsi="Arial" w:cs="Arial"/>
          <w:color w:val="000000"/>
        </w:rPr>
        <w:t>Leeds undertook a university-wide review of teaching practice against its Inclusive Baseline Standards in 2019–21, coordinated by School Academic Leads for Inclusive Practice (</w:t>
      </w:r>
      <w:proofErr w:type="spellStart"/>
      <w:r w:rsidR="00175D5D" w:rsidRPr="00175D5D">
        <w:rPr>
          <w:rFonts w:ascii="Arial" w:eastAsia="MS Mincho" w:hAnsi="Arial" w:cs="Arial"/>
          <w:color w:val="000000"/>
        </w:rPr>
        <w:t>SALIPs</w:t>
      </w:r>
      <w:proofErr w:type="spellEnd"/>
      <w:r w:rsidR="00175D5D" w:rsidRPr="00175D5D">
        <w:rPr>
          <w:rFonts w:ascii="Arial" w:eastAsia="MS Mincho" w:hAnsi="Arial" w:cs="Arial"/>
          <w:color w:val="000000"/>
        </w:rPr>
        <w:t xml:space="preserve">) and drawing on 137 school case studies and linked to the design principles of </w:t>
      </w:r>
      <w:proofErr w:type="spellStart"/>
      <w:r w:rsidR="00175D5D" w:rsidRPr="00175D5D">
        <w:rPr>
          <w:rFonts w:ascii="Arial" w:eastAsia="MS Mincho" w:hAnsi="Arial" w:cs="Arial"/>
          <w:color w:val="000000"/>
        </w:rPr>
        <w:t>UDL</w:t>
      </w:r>
      <w:proofErr w:type="spellEnd"/>
      <w:r w:rsidR="00175D5D" w:rsidRPr="00175D5D">
        <w:rPr>
          <w:rFonts w:ascii="Arial" w:eastAsia="MS Mincho" w:hAnsi="Arial" w:cs="Arial"/>
          <w:color w:val="000000"/>
        </w:rPr>
        <w:t xml:space="preserve"> (Brady, 2022; University of Leeds, 2022).</w:t>
      </w:r>
    </w:p>
    <w:p w14:paraId="3ACBCF51"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Academic developers and </w:t>
      </w:r>
      <w:proofErr w:type="spellStart"/>
      <w:r w:rsidRPr="00175D5D">
        <w:rPr>
          <w:rFonts w:ascii="Arial" w:eastAsia="MS Mincho" w:hAnsi="Arial" w:cs="Arial"/>
          <w:color w:val="000000"/>
        </w:rPr>
        <w:t>SALIPs</w:t>
      </w:r>
      <w:proofErr w:type="spellEnd"/>
      <w:r w:rsidRPr="00175D5D">
        <w:rPr>
          <w:rFonts w:ascii="Arial" w:eastAsia="MS Mincho" w:hAnsi="Arial" w:cs="Arial"/>
          <w:color w:val="000000"/>
        </w:rPr>
        <w:t xml:space="preserve"> worked with </w:t>
      </w:r>
      <w:proofErr w:type="spellStart"/>
      <w:r w:rsidRPr="00175D5D">
        <w:rPr>
          <w:rFonts w:ascii="Arial" w:eastAsia="MS Mincho" w:hAnsi="Arial" w:cs="Arial"/>
          <w:color w:val="000000"/>
        </w:rPr>
        <w:t>programme</w:t>
      </w:r>
      <w:proofErr w:type="spellEnd"/>
      <w:r w:rsidRPr="00175D5D">
        <w:rPr>
          <w:rFonts w:ascii="Arial" w:eastAsia="MS Mincho" w:hAnsi="Arial" w:cs="Arial"/>
          <w:color w:val="000000"/>
        </w:rPr>
        <w:t xml:space="preserve"> teams to </w:t>
      </w:r>
      <w:proofErr w:type="spellStart"/>
      <w:r w:rsidRPr="00175D5D">
        <w:rPr>
          <w:rFonts w:ascii="Arial" w:eastAsia="MS Mincho" w:hAnsi="Arial" w:cs="Arial"/>
          <w:color w:val="000000"/>
        </w:rPr>
        <w:t>prioritise</w:t>
      </w:r>
      <w:proofErr w:type="spellEnd"/>
      <w:r w:rsidRPr="00175D5D">
        <w:rPr>
          <w:rFonts w:ascii="Arial" w:eastAsia="MS Mincho" w:hAnsi="Arial" w:cs="Arial"/>
          <w:color w:val="000000"/>
        </w:rPr>
        <w:t xml:space="preserve"> “quick wins” aligned with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all students, releasing materials in advance (48 hours before sessions), expanding recorded and pre-recorded content with captions, and improving digital accessibility such as </w:t>
      </w:r>
      <w:proofErr w:type="spellStart"/>
      <w:r w:rsidRPr="00175D5D">
        <w:rPr>
          <w:rFonts w:ascii="Arial" w:eastAsia="MS Mincho" w:hAnsi="Arial" w:cs="Arial"/>
          <w:color w:val="000000"/>
        </w:rPr>
        <w:t>colour</w:t>
      </w:r>
      <w:proofErr w:type="spellEnd"/>
      <w:r w:rsidRPr="00175D5D">
        <w:rPr>
          <w:rFonts w:ascii="Arial" w:eastAsia="MS Mincho" w:hAnsi="Arial" w:cs="Arial"/>
          <w:color w:val="000000"/>
        </w:rPr>
        <w:t xml:space="preserve">-contrast and </w:t>
      </w:r>
      <w:proofErr w:type="spellStart"/>
      <w:r w:rsidRPr="00175D5D">
        <w:rPr>
          <w:rFonts w:ascii="Arial" w:eastAsia="MS Mincho" w:hAnsi="Arial" w:cs="Arial"/>
          <w:color w:val="000000"/>
        </w:rPr>
        <w:t>colour</w:t>
      </w:r>
      <w:proofErr w:type="spellEnd"/>
      <w:r w:rsidRPr="00175D5D">
        <w:rPr>
          <w:rFonts w:ascii="Arial" w:eastAsia="MS Mincho" w:hAnsi="Arial" w:cs="Arial"/>
          <w:color w:val="000000"/>
        </w:rPr>
        <w:t>-blind-friendly graphics and support for complex images (Brady, 2022).</w:t>
      </w:r>
    </w:p>
    <w:p w14:paraId="37DD185D" w14:textId="2334C0EC" w:rsidR="00175D5D" w:rsidRPr="005818C3" w:rsidRDefault="00E425D9" w:rsidP="005818C3">
      <w:pPr>
        <w:pStyle w:val="Heading2"/>
      </w:pPr>
      <w:bookmarkStart w:id="25" w:name="_Toc206171145"/>
      <w:r w:rsidRPr="005818C3">
        <w:lastRenderedPageBreak/>
        <w:t>9</w:t>
      </w:r>
      <w:r w:rsidR="00175D5D" w:rsidRPr="005818C3">
        <w:t>.2. Open University: Digital Accessibility Leadership</w:t>
      </w:r>
      <w:r w:rsidR="005818C3">
        <w:t>.</w:t>
      </w:r>
      <w:bookmarkEnd w:id="25"/>
    </w:p>
    <w:p w14:paraId="37FC7BA1" w14:textId="45B296F3" w:rsidR="00175D5D" w:rsidRPr="00175D5D" w:rsidRDefault="001B6086" w:rsidP="00A92172">
      <w:pPr>
        <w:spacing w:line="480" w:lineRule="auto"/>
        <w:rPr>
          <w:rFonts w:ascii="Arial" w:eastAsia="MS Mincho" w:hAnsi="Arial" w:cs="Arial"/>
          <w:b/>
          <w:bCs/>
          <w:color w:val="000000"/>
        </w:rPr>
      </w:pPr>
      <w:r>
        <w:rPr>
          <w:rFonts w:ascii="Arial" w:eastAsia="MS Mincho" w:hAnsi="Arial" w:cs="Arial"/>
          <w:color w:val="000000"/>
          <w:lang w:val="en-GB"/>
        </w:rPr>
        <w:br/>
      </w:r>
      <w:proofErr w:type="gramStart"/>
      <w:r w:rsidR="00175D5D" w:rsidRPr="00175D5D">
        <w:rPr>
          <w:rFonts w:ascii="Arial" w:eastAsia="MS Mincho" w:hAnsi="Arial" w:cs="Arial"/>
          <w:color w:val="000000"/>
          <w:lang w:val="en-GB"/>
        </w:rPr>
        <w:t>The Open University (OU),</w:t>
      </w:r>
      <w:proofErr w:type="gramEnd"/>
      <w:r w:rsidR="00175D5D" w:rsidRPr="00175D5D">
        <w:rPr>
          <w:rFonts w:ascii="Arial" w:eastAsia="MS Mincho" w:hAnsi="Arial" w:cs="Arial"/>
          <w:color w:val="000000"/>
          <w:lang w:val="en-GB"/>
        </w:rPr>
        <w:t xml:space="preserve"> has been providing distance learning since 1969. Over the last seven years, following the UK public-sector accessibility regulations (2018) requiring UK public-sector websites and apps, including university VLEs, to meet new standards and publish accessibility statements, it has embedded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based accessibility-by-design across its VLE.</w:t>
      </w:r>
    </w:p>
    <w:p w14:paraId="6C1FB324"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Alternative text for images, provide multiple content formats (HTML, Word, PDF, </w:t>
      </w:r>
      <w:proofErr w:type="spellStart"/>
      <w:r w:rsidRPr="00175D5D">
        <w:rPr>
          <w:rFonts w:ascii="Arial" w:eastAsia="MS Mincho" w:hAnsi="Arial" w:cs="Arial"/>
          <w:color w:val="000000"/>
        </w:rPr>
        <w:t>ePub</w:t>
      </w:r>
      <w:proofErr w:type="spellEnd"/>
      <w:r w:rsidRPr="00175D5D">
        <w:rPr>
          <w:rFonts w:ascii="Arial" w:eastAsia="MS Mincho" w:hAnsi="Arial" w:cs="Arial"/>
          <w:color w:val="000000"/>
        </w:rPr>
        <w:t xml:space="preserve">/Kindle), supported by OU structured-content tools. These built-in authoring templates prompt accessibility (e.g., headings, alt text) and output course materials in multiple formats (HTML, Word, PDF, </w:t>
      </w:r>
      <w:proofErr w:type="spellStart"/>
      <w:r w:rsidRPr="00175D5D">
        <w:rPr>
          <w:rFonts w:ascii="Arial" w:eastAsia="MS Mincho" w:hAnsi="Arial" w:cs="Arial"/>
          <w:color w:val="000000"/>
        </w:rPr>
        <w:t>ePub</w:t>
      </w:r>
      <w:proofErr w:type="spellEnd"/>
      <w:r w:rsidRPr="00175D5D">
        <w:rPr>
          <w:rFonts w:ascii="Arial" w:eastAsia="MS Mincho" w:hAnsi="Arial" w:cs="Arial"/>
          <w:color w:val="000000"/>
        </w:rPr>
        <w:t xml:space="preserve">) that ensures inclusive strategies are at the design stage of student support and embedded as part of academic quality, rather than a post-hoc accommodation (Douce, 2007; GOV.UK, 2018; </w:t>
      </w:r>
      <w:proofErr w:type="spellStart"/>
      <w:r w:rsidRPr="00175D5D">
        <w:rPr>
          <w:rFonts w:ascii="Arial" w:eastAsia="MS Mincho" w:hAnsi="Arial" w:cs="Arial"/>
          <w:color w:val="000000"/>
        </w:rPr>
        <w:t>Iniesto</w:t>
      </w:r>
      <w:proofErr w:type="spellEnd"/>
      <w:r w:rsidRPr="00175D5D">
        <w:rPr>
          <w:rFonts w:ascii="Arial" w:eastAsia="MS Mincho" w:hAnsi="Arial" w:cs="Arial"/>
          <w:color w:val="000000"/>
        </w:rPr>
        <w:t xml:space="preserve"> et al., 2022).</w:t>
      </w:r>
    </w:p>
    <w:p w14:paraId="1355D7FF" w14:textId="28BB32BB" w:rsidR="001B6086" w:rsidRPr="005818C3" w:rsidRDefault="00175D5D" w:rsidP="00A92172">
      <w:pPr>
        <w:spacing w:line="480" w:lineRule="auto"/>
        <w:rPr>
          <w:rStyle w:val="Heading2Char"/>
        </w:rPr>
      </w:pPr>
      <w:r w:rsidRPr="00175D5D">
        <w:rPr>
          <w:rFonts w:ascii="Arial" w:eastAsia="MS Mincho" w:hAnsi="Arial" w:cs="Arial"/>
          <w:color w:val="000000"/>
        </w:rPr>
        <w:t xml:space="preserve">The university states it uses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as a fundamental approach given its large cohort of disabled and mature learners, regularly referring to it as a key enabler of pedagogical value and successful outcomes (</w:t>
      </w:r>
      <w:proofErr w:type="spellStart"/>
      <w:r w:rsidRPr="00175D5D">
        <w:rPr>
          <w:rFonts w:ascii="Arial" w:eastAsia="MS Mincho" w:hAnsi="Arial" w:cs="Arial"/>
          <w:color w:val="000000"/>
        </w:rPr>
        <w:t>Iniesto</w:t>
      </w:r>
      <w:proofErr w:type="spellEnd"/>
      <w:r w:rsidRPr="00175D5D">
        <w:rPr>
          <w:rFonts w:ascii="Arial" w:eastAsia="MS Mincho" w:hAnsi="Arial" w:cs="Arial"/>
          <w:color w:val="000000"/>
        </w:rPr>
        <w:t xml:space="preserve"> et al., 2022; </w:t>
      </w:r>
      <w:proofErr w:type="spellStart"/>
      <w:r w:rsidRPr="00175D5D">
        <w:rPr>
          <w:rFonts w:ascii="Arial" w:eastAsia="MS Mincho" w:hAnsi="Arial" w:cs="Arial"/>
          <w:color w:val="000000"/>
        </w:rPr>
        <w:t>OpenTEL</w:t>
      </w:r>
      <w:proofErr w:type="spellEnd"/>
      <w:r w:rsidRPr="00175D5D">
        <w:rPr>
          <w:rFonts w:ascii="Arial" w:eastAsia="MS Mincho" w:hAnsi="Arial" w:cs="Arial"/>
          <w:color w:val="000000"/>
        </w:rPr>
        <w:t>, 2019; Seale et al., 2021; The Open University, 2022).</w:t>
      </w:r>
      <w:r>
        <w:rPr>
          <w:rFonts w:ascii="Arial" w:eastAsia="MS Mincho" w:hAnsi="Arial" w:cs="Arial"/>
          <w:color w:val="000000"/>
        </w:rPr>
        <w:br/>
      </w:r>
      <w:r w:rsidRPr="00175D5D">
        <w:rPr>
          <w:rFonts w:ascii="Arial" w:eastAsia="MS Mincho" w:hAnsi="Arial" w:cs="Arial"/>
          <w:color w:val="000000"/>
          <w:lang w:val="en-GB"/>
        </w:rPr>
        <w:br/>
      </w:r>
      <w:r w:rsidR="00E425D9" w:rsidRPr="005818C3">
        <w:rPr>
          <w:rStyle w:val="Heading2Char"/>
        </w:rPr>
        <w:t>9</w:t>
      </w:r>
      <w:r w:rsidRPr="005818C3">
        <w:rPr>
          <w:rStyle w:val="Heading2Char"/>
        </w:rPr>
        <w:t>.3. University of the Arts London (UAL): Inclusive Assessment Framework</w:t>
      </w:r>
      <w:r w:rsidR="005818C3" w:rsidRPr="005818C3">
        <w:rPr>
          <w:rStyle w:val="Heading2Char"/>
        </w:rPr>
        <w:t>.</w:t>
      </w:r>
    </w:p>
    <w:p w14:paraId="7D937779" w14:textId="59119A35" w:rsidR="004921AB"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UAL has embedded inclusive assessment guidance that permits multiple modes of submission aligned to the same learning outcomes, for example, staff are encouraged to let students evidence learning via a</w:t>
      </w:r>
      <w:r w:rsidRPr="00175D5D">
        <w:rPr>
          <w:rFonts w:ascii="Arial" w:eastAsia="MS Mincho" w:hAnsi="Arial" w:cs="Arial"/>
          <w:b/>
          <w:bCs/>
          <w:color w:val="000000"/>
          <w:lang w:val="en-GB"/>
        </w:rPr>
        <w:t xml:space="preserve"> </w:t>
      </w:r>
      <w:r w:rsidRPr="00175D5D">
        <w:rPr>
          <w:rFonts w:ascii="Arial" w:eastAsia="MS Mincho" w:hAnsi="Arial" w:cs="Arial"/>
          <w:color w:val="000000"/>
          <w:lang w:val="en-GB"/>
        </w:rPr>
        <w:t>poster, short text, or podcast, separate from and within written assessments to widen access (Stephens &amp; Staddon, 2019).</w:t>
      </w:r>
    </w:p>
    <w:p w14:paraId="0267B395" w14:textId="26DB8AB0"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lang w:val="en-GB"/>
        </w:rPr>
        <w:lastRenderedPageBreak/>
        <w:t xml:space="preserve">This approach sits with the universities ongoing ‘Belonging through Assessment’ approach, a </w:t>
      </w:r>
      <w:r w:rsidR="004921AB" w:rsidRPr="00175D5D">
        <w:rPr>
          <w:rFonts w:ascii="Arial" w:eastAsia="MS Mincho" w:hAnsi="Arial" w:cs="Arial"/>
          <w:color w:val="000000"/>
          <w:lang w:val="en-GB"/>
        </w:rPr>
        <w:t>collaboration</w:t>
      </w:r>
      <w:r w:rsidRPr="00175D5D">
        <w:rPr>
          <w:rFonts w:ascii="Arial" w:eastAsia="MS Mincho" w:hAnsi="Arial" w:cs="Arial"/>
          <w:color w:val="000000"/>
          <w:lang w:val="en-GB"/>
        </w:rPr>
        <w:t xml:space="preserve"> of 3 universities, University of the Arts London (UAL), Leeds Arts University (LAU) and Glasgow School of Art (GSA), where assessment reforms during 2019/20–2020/21 saw the introduction of ‘pass/fail’ at Level 4; a strategy that subsequently was assessed as lowering student stress and anxiety, and produce a greater willingness to experiment, supporting participation without lowering standards (QAA Collaborative Enhancement Project, 2023; </w:t>
      </w:r>
      <w:r w:rsidRPr="00175D5D">
        <w:rPr>
          <w:rFonts w:ascii="Arial" w:eastAsia="MS Mincho" w:hAnsi="Arial" w:cs="Arial"/>
          <w:color w:val="000000"/>
        </w:rPr>
        <w:t>University of the Arts London, 2025)</w:t>
      </w:r>
      <w:r w:rsidRPr="00175D5D">
        <w:rPr>
          <w:rFonts w:ascii="Arial" w:eastAsia="MS Mincho" w:hAnsi="Arial" w:cs="Arial"/>
          <w:color w:val="000000"/>
          <w:lang w:val="en-GB"/>
        </w:rPr>
        <w:t xml:space="preserve">. </w:t>
      </w:r>
    </w:p>
    <w:p w14:paraId="5F6114A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Collectively, these examples demonstrate that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can be implemented in varied institutional contexts, from large research-intensive universities to specialist and distance learning </w:t>
      </w:r>
      <w:proofErr w:type="gramStart"/>
      <w:r w:rsidRPr="00175D5D">
        <w:rPr>
          <w:rFonts w:ascii="Arial" w:eastAsia="MS Mincho" w:hAnsi="Arial" w:cs="Arial"/>
          <w:color w:val="000000"/>
        </w:rPr>
        <w:t>providers, and</w:t>
      </w:r>
      <w:proofErr w:type="gramEnd"/>
      <w:r w:rsidRPr="00175D5D">
        <w:rPr>
          <w:rFonts w:ascii="Arial" w:eastAsia="MS Mincho" w:hAnsi="Arial" w:cs="Arial"/>
          <w:color w:val="000000"/>
        </w:rPr>
        <w:t xml:space="preserve"> can serve both equity and quality imperatives.</w:t>
      </w:r>
    </w:p>
    <w:p w14:paraId="2A62F782" w14:textId="2AF2F501" w:rsidR="00175D5D" w:rsidRPr="00175D5D" w:rsidRDefault="00175D5D" w:rsidP="00A44044">
      <w:pPr>
        <w:pStyle w:val="Heading1"/>
      </w:pPr>
      <w:bookmarkStart w:id="26" w:name="_Toc206171146"/>
      <w:r w:rsidRPr="00175D5D">
        <w:t>1</w:t>
      </w:r>
      <w:r w:rsidR="00E425D9">
        <w:t>0</w:t>
      </w:r>
      <w:r w:rsidRPr="00175D5D">
        <w:t>. Recommendations for Policy and Practice Derived from the Review of Literature</w:t>
      </w:r>
      <w:r w:rsidR="005818C3">
        <w:t>.</w:t>
      </w:r>
      <w:bookmarkEnd w:id="26"/>
    </w:p>
    <w:p w14:paraId="31BE0BB9" w14:textId="4D6125DD" w:rsidR="00175D5D" w:rsidRPr="00175D5D" w:rsidRDefault="001B6086" w:rsidP="00A92172">
      <w:pPr>
        <w:spacing w:line="480" w:lineRule="auto"/>
        <w:rPr>
          <w:rFonts w:ascii="Arial" w:eastAsia="MS Mincho" w:hAnsi="Arial" w:cs="Arial"/>
          <w:color w:val="000000"/>
          <w:lang w:val="en-GB"/>
        </w:rPr>
      </w:pPr>
      <w:r>
        <w:rPr>
          <w:rFonts w:ascii="Arial" w:eastAsia="MS Mincho" w:hAnsi="Arial" w:cs="Arial"/>
          <w:b/>
          <w:bCs/>
          <w:color w:val="000000"/>
          <w:lang w:val="en-GB"/>
        </w:rPr>
        <w:br/>
      </w:r>
      <w:r w:rsidR="00175D5D" w:rsidRPr="00175D5D">
        <w:rPr>
          <w:rFonts w:ascii="Arial" w:eastAsia="MS Mincho" w:hAnsi="Arial" w:cs="Arial"/>
          <w:b/>
          <w:bCs/>
          <w:color w:val="000000"/>
          <w:lang w:val="en-GB"/>
        </w:rPr>
        <w:t xml:space="preserve">Make </w:t>
      </w:r>
      <w:proofErr w:type="spellStart"/>
      <w:r w:rsidR="00175D5D" w:rsidRPr="00175D5D">
        <w:rPr>
          <w:rFonts w:ascii="Arial" w:eastAsia="MS Mincho" w:hAnsi="Arial" w:cs="Arial"/>
          <w:b/>
          <w:bCs/>
          <w:color w:val="000000"/>
          <w:lang w:val="en-GB"/>
        </w:rPr>
        <w:t>UDL</w:t>
      </w:r>
      <w:proofErr w:type="spellEnd"/>
      <w:r w:rsidR="00175D5D" w:rsidRPr="00175D5D">
        <w:rPr>
          <w:rFonts w:ascii="Arial" w:eastAsia="MS Mincho" w:hAnsi="Arial" w:cs="Arial"/>
          <w:b/>
          <w:bCs/>
          <w:color w:val="000000"/>
          <w:lang w:val="en-GB"/>
        </w:rPr>
        <w:t xml:space="preserve"> a core curriculum design principle.</w:t>
      </w:r>
      <w:r w:rsidR="00175D5D" w:rsidRPr="00175D5D">
        <w:rPr>
          <w:rFonts w:ascii="Arial" w:eastAsia="MS Mincho" w:hAnsi="Arial" w:cs="Arial"/>
          <w:color w:val="000000"/>
          <w:lang w:val="en-GB"/>
        </w:rPr>
        <w:t xml:space="preserve"> Require programme and module validations to evidence alignment to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principles and inclusive assessment attributes so accessibility is planned at design stage (Advance HE, 2024; QAA, 2023; QAA, 2022; Qu &amp; Cross, 2024; </w:t>
      </w:r>
      <w:proofErr w:type="spellStart"/>
      <w:r w:rsidR="00175D5D" w:rsidRPr="00175D5D">
        <w:rPr>
          <w:rFonts w:ascii="Arial" w:eastAsia="MS Mincho" w:hAnsi="Arial" w:cs="Arial"/>
          <w:color w:val="000000"/>
          <w:lang w:val="en-GB"/>
        </w:rPr>
        <w:t>Tarconish</w:t>
      </w:r>
      <w:proofErr w:type="spellEnd"/>
      <w:r w:rsidR="004921AB">
        <w:rPr>
          <w:rFonts w:ascii="Arial" w:eastAsia="MS Mincho" w:hAnsi="Arial" w:cs="Arial"/>
          <w:color w:val="000000"/>
          <w:lang w:val="en-GB"/>
        </w:rPr>
        <w:t xml:space="preserve"> et al.</w:t>
      </w:r>
      <w:r w:rsidR="00175D5D" w:rsidRPr="00175D5D">
        <w:rPr>
          <w:rFonts w:ascii="Arial" w:eastAsia="MS Mincho" w:hAnsi="Arial" w:cs="Arial"/>
          <w:color w:val="000000"/>
          <w:lang w:val="en-GB"/>
        </w:rPr>
        <w:t>,</w:t>
      </w:r>
      <w:r w:rsidR="004921AB">
        <w:rPr>
          <w:rFonts w:ascii="Arial" w:eastAsia="MS Mincho" w:hAnsi="Arial" w:cs="Arial"/>
          <w:color w:val="000000"/>
          <w:lang w:val="en-GB"/>
        </w:rPr>
        <w:t xml:space="preserve"> </w:t>
      </w:r>
      <w:r w:rsidR="00175D5D" w:rsidRPr="00175D5D">
        <w:rPr>
          <w:rFonts w:ascii="Arial" w:eastAsia="MS Mincho" w:hAnsi="Arial" w:cs="Arial"/>
          <w:color w:val="000000"/>
          <w:lang w:val="en-GB"/>
        </w:rPr>
        <w:t xml:space="preserve">2023). </w:t>
      </w:r>
    </w:p>
    <w:p w14:paraId="62D47559"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rPr>
        <w:t xml:space="preserve">Invest in professional development (PD). </w:t>
      </w:r>
      <w:r w:rsidRPr="00175D5D">
        <w:rPr>
          <w:rFonts w:ascii="Arial" w:eastAsia="MS Mincho" w:hAnsi="Arial" w:cs="Arial"/>
          <w:color w:val="000000"/>
        </w:rPr>
        <w:t xml:space="preserve">Provide mandatory, discipline-relevant PD on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for academic and professional services staff. Evidence shows faculty training improves implementation and persistence of practice (Hills et al., 2022; </w:t>
      </w:r>
      <w:proofErr w:type="spellStart"/>
      <w:r w:rsidRPr="00175D5D">
        <w:rPr>
          <w:rFonts w:ascii="Arial" w:eastAsia="MS Mincho" w:hAnsi="Arial" w:cs="Arial"/>
          <w:color w:val="000000"/>
        </w:rPr>
        <w:t>Keengwe</w:t>
      </w:r>
      <w:proofErr w:type="spellEnd"/>
      <w:r w:rsidRPr="00175D5D">
        <w:rPr>
          <w:rFonts w:ascii="Arial" w:eastAsia="MS Mincho" w:hAnsi="Arial" w:cs="Arial"/>
          <w:color w:val="000000"/>
        </w:rPr>
        <w:t xml:space="preserve"> et al., 2023).</w:t>
      </w:r>
    </w:p>
    <w:p w14:paraId="0BA6B991" w14:textId="30350F20"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Engage technology effectively.</w:t>
      </w:r>
      <w:r w:rsidRPr="00175D5D">
        <w:rPr>
          <w:rFonts w:ascii="Arial" w:eastAsia="MS Mincho" w:hAnsi="Arial" w:cs="Arial"/>
          <w:color w:val="000000"/>
          <w:lang w:val="en-GB"/>
        </w:rPr>
        <w:t xml:space="preserve"> Use accessible VLEs and institution-wide tools (captions/transcripts, alt-text workflows, multimodal resources) to support diverse learners without increasing ad-hoc workload. Treat digital accessibility as an institutional </w:t>
      </w:r>
      <w:r w:rsidRPr="00175D5D">
        <w:rPr>
          <w:rFonts w:ascii="Arial" w:eastAsia="MS Mincho" w:hAnsi="Arial" w:cs="Arial"/>
          <w:color w:val="000000"/>
          <w:lang w:val="en-GB"/>
        </w:rPr>
        <w:lastRenderedPageBreak/>
        <w:t>responsibility, not an individual workaround (Jisc, 2024; UK Government, 2018</w:t>
      </w:r>
      <w:r w:rsidR="00540A5C">
        <w:rPr>
          <w:rFonts w:ascii="Arial" w:eastAsia="MS Mincho" w:hAnsi="Arial" w:cs="Arial"/>
          <w:color w:val="000000"/>
          <w:lang w:val="en-GB"/>
        </w:rPr>
        <w:t xml:space="preserve">; </w:t>
      </w:r>
      <w:r w:rsidR="00540A5C" w:rsidRPr="00175D5D">
        <w:rPr>
          <w:rFonts w:ascii="Arial" w:eastAsia="MS Mincho" w:hAnsi="Arial" w:cs="Arial"/>
          <w:color w:val="000000"/>
          <w:lang w:val="en-GB"/>
        </w:rPr>
        <w:t>Zorec et al., 2024</w:t>
      </w:r>
      <w:r w:rsidRPr="00175D5D">
        <w:rPr>
          <w:rFonts w:ascii="Arial" w:eastAsia="MS Mincho" w:hAnsi="Arial" w:cs="Arial"/>
          <w:color w:val="000000"/>
          <w:lang w:val="en-GB"/>
        </w:rPr>
        <w:t xml:space="preserve">). </w:t>
      </w:r>
    </w:p>
    <w:p w14:paraId="1629A82D"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b/>
          <w:bCs/>
          <w:color w:val="000000"/>
          <w:lang w:val="en-GB"/>
        </w:rPr>
        <w:t>Measure impact using SDG-aligned indicators.</w:t>
      </w:r>
      <w:r w:rsidRPr="00175D5D">
        <w:rPr>
          <w:rFonts w:ascii="Arial" w:eastAsia="MS Mincho" w:hAnsi="Arial" w:cs="Arial"/>
          <w:color w:val="000000"/>
          <w:lang w:val="en-GB"/>
        </w:rPr>
        <w:t xml:space="preserve"> Track continuation, progression, and graduate outcomes by demographic group and where necessary, relate findings to SDG 4/10 ambitions and regulatory expectations on student outcomes (Fia, Ghasemzadeh, &amp; Paletta, 2023; Office for Students, 2024, 2023).</w:t>
      </w:r>
    </w:p>
    <w:p w14:paraId="5725782D" w14:textId="77777777" w:rsidR="00175D5D" w:rsidRPr="00175D5D" w:rsidRDefault="00175D5D" w:rsidP="00A92172">
      <w:pPr>
        <w:spacing w:line="480" w:lineRule="auto"/>
        <w:rPr>
          <w:rFonts w:ascii="Arial" w:eastAsia="MS Mincho" w:hAnsi="Arial" w:cs="Arial"/>
          <w:b/>
          <w:bCs/>
          <w:color w:val="000000"/>
        </w:rPr>
      </w:pPr>
      <w:proofErr w:type="spellStart"/>
      <w:r w:rsidRPr="00175D5D">
        <w:rPr>
          <w:rFonts w:ascii="Arial" w:eastAsia="MS Mincho" w:hAnsi="Arial" w:cs="Arial"/>
          <w:b/>
          <w:bCs/>
          <w:color w:val="000000"/>
        </w:rPr>
        <w:t>Normalise</w:t>
      </w:r>
      <w:proofErr w:type="spellEnd"/>
      <w:r w:rsidRPr="00175D5D">
        <w:rPr>
          <w:rFonts w:ascii="Arial" w:eastAsia="MS Mincho" w:hAnsi="Arial" w:cs="Arial"/>
          <w:b/>
          <w:bCs/>
          <w:color w:val="000000"/>
        </w:rPr>
        <w:t xml:space="preserve"> inclusive practice through leadership. </w:t>
      </w:r>
      <w:r w:rsidRPr="00175D5D">
        <w:rPr>
          <w:rFonts w:ascii="Arial" w:eastAsia="MS Mincho" w:hAnsi="Arial" w:cs="Arial"/>
          <w:color w:val="000000"/>
        </w:rPr>
        <w:t xml:space="preserve">Ask senior leaders to model inclusive teaching, embed it in the university's identity and reward structures, and provide resource time for course teams. Studies link leadership stance and incentives to a much higher adoption of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w:t>
      </w:r>
      <w:proofErr w:type="spellStart"/>
      <w:r w:rsidRPr="00175D5D">
        <w:rPr>
          <w:rFonts w:ascii="Arial" w:eastAsia="MS Mincho" w:hAnsi="Arial" w:cs="Arial"/>
          <w:color w:val="000000"/>
        </w:rPr>
        <w:t>Dell’Anna</w:t>
      </w:r>
      <w:proofErr w:type="spellEnd"/>
      <w:r w:rsidRPr="00175D5D">
        <w:rPr>
          <w:rFonts w:ascii="Arial" w:eastAsia="MS Mincho" w:hAnsi="Arial" w:cs="Arial"/>
          <w:color w:val="000000"/>
        </w:rPr>
        <w:t xml:space="preserve"> et al., 2024; Macfarlane, Bolden, &amp; </w:t>
      </w:r>
      <w:proofErr w:type="spellStart"/>
      <w:r w:rsidRPr="00175D5D">
        <w:rPr>
          <w:rFonts w:ascii="Arial" w:eastAsia="MS Mincho" w:hAnsi="Arial" w:cs="Arial"/>
          <w:color w:val="000000"/>
        </w:rPr>
        <w:t>Watermeyer</w:t>
      </w:r>
      <w:proofErr w:type="spellEnd"/>
      <w:r w:rsidRPr="00175D5D">
        <w:rPr>
          <w:rFonts w:ascii="Arial" w:eastAsia="MS Mincho" w:hAnsi="Arial" w:cs="Arial"/>
          <w:color w:val="000000"/>
        </w:rPr>
        <w:t xml:space="preserve">, 2024; </w:t>
      </w:r>
      <w:proofErr w:type="spellStart"/>
      <w:r w:rsidRPr="00175D5D">
        <w:rPr>
          <w:rFonts w:ascii="Arial" w:eastAsia="MS Mincho" w:hAnsi="Arial" w:cs="Arial"/>
          <w:color w:val="000000"/>
        </w:rPr>
        <w:t>QAA</w:t>
      </w:r>
      <w:proofErr w:type="spellEnd"/>
      <w:r w:rsidRPr="00175D5D">
        <w:rPr>
          <w:rFonts w:ascii="Arial" w:eastAsia="MS Mincho" w:hAnsi="Arial" w:cs="Arial"/>
          <w:color w:val="000000"/>
        </w:rPr>
        <w:t>, 2023; Zorec et al., 2024).</w:t>
      </w:r>
    </w:p>
    <w:p w14:paraId="5380282B" w14:textId="6C231D4F"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b/>
          <w:bCs/>
          <w:color w:val="000000"/>
          <w:lang w:val="en-GB"/>
        </w:rPr>
        <w:t>Encourage peer learning and co-design.</w:t>
      </w:r>
      <w:r w:rsidRPr="00175D5D">
        <w:rPr>
          <w:rFonts w:ascii="Arial" w:eastAsia="MS Mincho" w:hAnsi="Arial" w:cs="Arial"/>
          <w:color w:val="000000"/>
          <w:lang w:val="en-GB"/>
        </w:rPr>
        <w:t xml:space="preserve"> Partner with students, especially those with lived experience, to review briefs, materials, and VLE layouts. Whole-class co-creation and structured </w:t>
      </w:r>
      <w:proofErr w:type="spellStart"/>
      <w:r w:rsidRPr="00175D5D">
        <w:rPr>
          <w:rFonts w:ascii="Arial" w:eastAsia="MS Mincho" w:hAnsi="Arial" w:cs="Arial"/>
          <w:color w:val="000000"/>
          <w:lang w:val="en-GB"/>
        </w:rPr>
        <w:t>SaP</w:t>
      </w:r>
      <w:proofErr w:type="spellEnd"/>
      <w:r w:rsidRPr="00175D5D">
        <w:rPr>
          <w:rFonts w:ascii="Arial" w:eastAsia="MS Mincho" w:hAnsi="Arial" w:cs="Arial"/>
          <w:color w:val="000000"/>
          <w:lang w:val="en-GB"/>
        </w:rPr>
        <w:t xml:space="preserve"> (Students-as-Partners) work are associated with clearer communication and better fit-for-purpose assessment and teaching (Bovill, 2020; Chadha</w:t>
      </w:r>
      <w:r w:rsidR="004921AB">
        <w:rPr>
          <w:rFonts w:ascii="Arial" w:eastAsia="MS Mincho" w:hAnsi="Arial" w:cs="Arial"/>
          <w:color w:val="000000"/>
          <w:lang w:val="en-GB"/>
        </w:rPr>
        <w:t xml:space="preserve"> et al.</w:t>
      </w:r>
      <w:r w:rsidRPr="00175D5D">
        <w:rPr>
          <w:rFonts w:ascii="Arial" w:eastAsia="MS Mincho" w:hAnsi="Arial" w:cs="Arial"/>
          <w:color w:val="000000"/>
          <w:lang w:val="en-GB"/>
        </w:rPr>
        <w:t>, 2023; QAA, 2023).</w:t>
      </w:r>
    </w:p>
    <w:p w14:paraId="7691E0F2" w14:textId="081B28EB" w:rsidR="00175D5D" w:rsidRPr="00175D5D" w:rsidRDefault="00175D5D" w:rsidP="00A44044">
      <w:pPr>
        <w:pStyle w:val="Heading1"/>
      </w:pPr>
      <w:bookmarkStart w:id="27" w:name="_Toc206171147"/>
      <w:r w:rsidRPr="00175D5D">
        <w:t>1</w:t>
      </w:r>
      <w:r w:rsidR="00E425D9">
        <w:t>1</w:t>
      </w:r>
      <w:r w:rsidRPr="00175D5D">
        <w:t>. Conclusion</w:t>
      </w:r>
      <w:r w:rsidR="005818C3">
        <w:t>.</w:t>
      </w:r>
      <w:bookmarkEnd w:id="27"/>
    </w:p>
    <w:p w14:paraId="556F9042" w14:textId="0C1F9AE5" w:rsidR="00175D5D" w:rsidRPr="00175D5D" w:rsidRDefault="001B6086" w:rsidP="00A92172">
      <w:pPr>
        <w:spacing w:line="480" w:lineRule="auto"/>
        <w:rPr>
          <w:rFonts w:ascii="Arial" w:eastAsia="MS Mincho" w:hAnsi="Arial" w:cs="Arial"/>
          <w:color w:val="000000"/>
          <w:lang w:val="en-GB"/>
        </w:rPr>
      </w:pPr>
      <w:r>
        <w:rPr>
          <w:rFonts w:ascii="Arial" w:eastAsia="MS Mincho" w:hAnsi="Arial" w:cs="Arial"/>
          <w:color w:val="000000"/>
          <w:lang w:val="en-GB"/>
        </w:rPr>
        <w:br/>
      </w:r>
      <w:r w:rsidR="00F91366" w:rsidRPr="00F91366">
        <w:rPr>
          <w:rFonts w:ascii="Arial" w:eastAsia="MS Mincho" w:hAnsi="Arial" w:cs="Arial"/>
          <w:color w:val="000000"/>
        </w:rPr>
        <w:t xml:space="preserve">This review examined the integration of </w:t>
      </w:r>
      <w:proofErr w:type="spellStart"/>
      <w:r w:rsidR="00F91366" w:rsidRPr="00F91366">
        <w:rPr>
          <w:rFonts w:ascii="Arial" w:eastAsia="MS Mincho" w:hAnsi="Arial" w:cs="Arial"/>
          <w:color w:val="000000"/>
        </w:rPr>
        <w:t>UDL</w:t>
      </w:r>
      <w:proofErr w:type="spellEnd"/>
      <w:r w:rsidR="00F91366" w:rsidRPr="00F91366">
        <w:rPr>
          <w:rFonts w:ascii="Arial" w:eastAsia="MS Mincho" w:hAnsi="Arial" w:cs="Arial"/>
          <w:color w:val="000000"/>
        </w:rPr>
        <w:t xml:space="preserve"> in UK higher education and its alignment with SDGs 4 and 10</w:t>
      </w:r>
      <w:r w:rsidR="00F91366">
        <w:rPr>
          <w:rFonts w:ascii="Arial" w:eastAsia="MS Mincho" w:hAnsi="Arial" w:cs="Arial"/>
          <w:color w:val="000000"/>
        </w:rPr>
        <w:t xml:space="preserve">. </w:t>
      </w:r>
      <w:r w:rsidR="00175D5D" w:rsidRPr="00175D5D">
        <w:rPr>
          <w:rFonts w:ascii="Arial" w:eastAsia="MS Mincho" w:hAnsi="Arial" w:cs="Arial"/>
          <w:color w:val="000000"/>
          <w:lang w:val="en-GB"/>
        </w:rPr>
        <w:t xml:space="preserve">The contemporary </w:t>
      </w:r>
      <w:r w:rsidR="00F91366">
        <w:rPr>
          <w:rFonts w:ascii="Arial" w:eastAsia="MS Mincho" w:hAnsi="Arial" w:cs="Arial"/>
          <w:color w:val="000000"/>
          <w:lang w:val="en-GB"/>
        </w:rPr>
        <w:t>literature</w:t>
      </w:r>
      <w:r w:rsidR="00175D5D" w:rsidRPr="00175D5D">
        <w:rPr>
          <w:rFonts w:ascii="Arial" w:eastAsia="MS Mincho" w:hAnsi="Arial" w:cs="Arial"/>
          <w:color w:val="000000"/>
          <w:lang w:val="en-GB"/>
        </w:rPr>
        <w:t xml:space="preserve"> from the past seven years indicates that when </w:t>
      </w:r>
      <w:proofErr w:type="spellStart"/>
      <w:r w:rsidR="00175D5D" w:rsidRPr="00175D5D">
        <w:rPr>
          <w:rFonts w:ascii="Arial" w:eastAsia="MS Mincho" w:hAnsi="Arial" w:cs="Arial"/>
          <w:color w:val="000000"/>
          <w:lang w:val="en-GB"/>
        </w:rPr>
        <w:t>UDL</w:t>
      </w:r>
      <w:proofErr w:type="spellEnd"/>
      <w:r w:rsidR="00175D5D" w:rsidRPr="00175D5D">
        <w:rPr>
          <w:rFonts w:ascii="Arial" w:eastAsia="MS Mincho" w:hAnsi="Arial" w:cs="Arial"/>
          <w:color w:val="000000"/>
          <w:lang w:val="en-GB"/>
        </w:rPr>
        <w:t xml:space="preserve"> is embedded seamlessly as standard practice through measures such as multiple content formats, and valid assessment choices, it improves engagement, academic performance, and retention for all students, including neurodivergent learners and those </w:t>
      </w:r>
      <w:r w:rsidR="00175D5D" w:rsidRPr="00175D5D">
        <w:rPr>
          <w:rFonts w:ascii="Arial" w:eastAsia="MS Mincho" w:hAnsi="Arial" w:cs="Arial"/>
          <w:color w:val="000000"/>
          <w:lang w:val="en-GB"/>
        </w:rPr>
        <w:lastRenderedPageBreak/>
        <w:t xml:space="preserve">who are undiagnosed or choose not to disclose (CAST, 2018; Kendall, 2016; Novak &amp; Brackett, 2022; Rao et al., 2021; Seale, 2021). </w:t>
      </w:r>
    </w:p>
    <w:p w14:paraId="33FE26FE"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This proactive, “one design for all” approach reduces reliance on reactive adjustments, </w:t>
      </w:r>
      <w:proofErr w:type="spellStart"/>
      <w:r w:rsidRPr="00175D5D">
        <w:rPr>
          <w:rFonts w:ascii="Arial" w:eastAsia="MS Mincho" w:hAnsi="Arial" w:cs="Arial"/>
          <w:color w:val="000000"/>
        </w:rPr>
        <w:t>minimises</w:t>
      </w:r>
      <w:proofErr w:type="spellEnd"/>
      <w:r w:rsidRPr="00175D5D">
        <w:rPr>
          <w:rFonts w:ascii="Arial" w:eastAsia="MS Mincho" w:hAnsi="Arial" w:cs="Arial"/>
          <w:color w:val="000000"/>
        </w:rPr>
        <w:t xml:space="preserve"> stigma, and aligns directly with the Office for Students’ (</w:t>
      </w:r>
      <w:proofErr w:type="spellStart"/>
      <w:r w:rsidRPr="00175D5D">
        <w:rPr>
          <w:rFonts w:ascii="Arial" w:eastAsia="MS Mincho" w:hAnsi="Arial" w:cs="Arial"/>
          <w:color w:val="000000"/>
        </w:rPr>
        <w:t>OfS</w:t>
      </w:r>
      <w:proofErr w:type="spellEnd"/>
      <w:r w:rsidRPr="00175D5D">
        <w:rPr>
          <w:rFonts w:ascii="Arial" w:eastAsia="MS Mincho" w:hAnsi="Arial" w:cs="Arial"/>
          <w:color w:val="000000"/>
        </w:rPr>
        <w:t>) B3 outcomes and SDG targets 4.3, 4.5, 4.a, and 10.2, 10.3 (UNESCO Technical Cooperation Group, 2023; United Nations, 2015).</w:t>
      </w:r>
    </w:p>
    <w:p w14:paraId="382AB125"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 xml:space="preserve">Sector trends strengthen the argument for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disabled student numbers have risen from 6.6% in 2010/11 to 18.1% in 2021/22, with mental health disclosures increasing from below 1% to 5.8% in the same period (Hubble &amp; Bolton, 2023). </w:t>
      </w:r>
    </w:p>
    <w:p w14:paraId="58DAAE3C" w14:textId="77777777" w:rsidR="00175D5D" w:rsidRPr="00175D5D" w:rsidRDefault="00175D5D" w:rsidP="00A92172">
      <w:pPr>
        <w:spacing w:line="480" w:lineRule="auto"/>
        <w:rPr>
          <w:rFonts w:ascii="Arial" w:eastAsia="MS Mincho" w:hAnsi="Arial" w:cs="Arial"/>
          <w:color w:val="000000"/>
        </w:rPr>
      </w:pPr>
      <w:r w:rsidRPr="00175D5D">
        <w:rPr>
          <w:rFonts w:ascii="Arial" w:eastAsia="MS Mincho" w:hAnsi="Arial" w:cs="Arial"/>
          <w:color w:val="000000"/>
        </w:rPr>
        <w:t>Simultaneously, UK universities face demographic shifts, reduced numbers of high-fee overseas students, greater intake of students with diverse learning profiles, and constrained finances (Office for Students, 2022; Watson, 2024). While the literature suggests resistance persists, often linked to perceived resource demands, uncertainty about pedagogical change, and entrenched teaching cultures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xml:space="preserve">, 2020; </w:t>
      </w:r>
      <w:proofErr w:type="spellStart"/>
      <w:r w:rsidRPr="00175D5D">
        <w:rPr>
          <w:rFonts w:ascii="Arial" w:eastAsia="MS Mincho" w:hAnsi="Arial" w:cs="Arial"/>
          <w:color w:val="000000"/>
        </w:rPr>
        <w:t>Moriña</w:t>
      </w:r>
      <w:proofErr w:type="spellEnd"/>
      <w:r w:rsidRPr="00175D5D">
        <w:rPr>
          <w:rFonts w:ascii="Arial" w:eastAsia="MS Mincho" w:hAnsi="Arial" w:cs="Arial"/>
          <w:color w:val="000000"/>
        </w:rPr>
        <w:t xml:space="preserve"> &amp; Carballo, 2021; Seale, 2021) the evidence shows that leadership commitment and targeted staff development are decisive in overcoming these barriers.</w:t>
      </w:r>
    </w:p>
    <w:p w14:paraId="585B0CCF" w14:textId="77777777"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lang w:val="en-GB"/>
        </w:rPr>
        <w:t xml:space="preserve">By embedding </w:t>
      </w:r>
      <w:proofErr w:type="spellStart"/>
      <w:r w:rsidRPr="00175D5D">
        <w:rPr>
          <w:rFonts w:ascii="Arial" w:eastAsia="MS Mincho" w:hAnsi="Arial" w:cs="Arial"/>
          <w:color w:val="000000"/>
          <w:lang w:val="en-GB"/>
        </w:rPr>
        <w:t>UDL</w:t>
      </w:r>
      <w:proofErr w:type="spellEnd"/>
      <w:r w:rsidRPr="00175D5D">
        <w:rPr>
          <w:rFonts w:ascii="Arial" w:eastAsia="MS Mincho" w:hAnsi="Arial" w:cs="Arial"/>
          <w:color w:val="000000"/>
          <w:lang w:val="en-GB"/>
        </w:rPr>
        <w:t xml:space="preserve"> across teaching, learning, and assessment, institutions can enhance student success rates, strengthen continuation and completion metrics, narrow attainment gaps, improve compliance with regulatory requirements, and reduce staff workload from fewer reactive adjustments (Advance HE, 2024; Seale et al., 2015). </w:t>
      </w:r>
    </w:p>
    <w:p w14:paraId="3807594F" w14:textId="422FA02A" w:rsidR="00175D5D" w:rsidRPr="00175D5D" w:rsidRDefault="00175D5D" w:rsidP="00A92172">
      <w:pPr>
        <w:spacing w:line="480" w:lineRule="auto"/>
        <w:rPr>
          <w:rFonts w:ascii="Arial" w:eastAsia="MS Mincho" w:hAnsi="Arial" w:cs="Arial"/>
          <w:color w:val="000000"/>
          <w:lang w:val="en-GB"/>
        </w:rPr>
      </w:pPr>
      <w:r w:rsidRPr="00175D5D">
        <w:rPr>
          <w:rFonts w:ascii="Arial" w:eastAsia="MS Mincho" w:hAnsi="Arial" w:cs="Arial"/>
          <w:color w:val="000000"/>
        </w:rPr>
        <w:t xml:space="preserve">For senior leaders in higher education responsible for curriculum design decisions, the literature suggests that embedding a seamless </w:t>
      </w:r>
      <w:proofErr w:type="spellStart"/>
      <w:r w:rsidRPr="00175D5D">
        <w:rPr>
          <w:rFonts w:ascii="Arial" w:eastAsia="MS Mincho" w:hAnsi="Arial" w:cs="Arial"/>
          <w:color w:val="000000"/>
        </w:rPr>
        <w:t>UDL</w:t>
      </w:r>
      <w:proofErr w:type="spellEnd"/>
      <w:r w:rsidRPr="00175D5D">
        <w:rPr>
          <w:rFonts w:ascii="Arial" w:eastAsia="MS Mincho" w:hAnsi="Arial" w:cs="Arial"/>
          <w:color w:val="000000"/>
        </w:rPr>
        <w:t xml:space="preserve"> approach has the opportunity to secure sustainable additional funding linked to performance and widening participation, while also enhancing their reputation for equity, innovation, and agility in meeting the demands of a </w:t>
      </w:r>
      <w:r w:rsidRPr="00175D5D">
        <w:rPr>
          <w:rFonts w:ascii="Arial" w:eastAsia="MS Mincho" w:hAnsi="Arial" w:cs="Arial"/>
          <w:color w:val="000000"/>
        </w:rPr>
        <w:lastRenderedPageBreak/>
        <w:t xml:space="preserve">rapidly changing higher education environment </w:t>
      </w:r>
      <w:r w:rsidR="004921AB" w:rsidRPr="004921AB">
        <w:rPr>
          <w:rFonts w:ascii="Arial" w:eastAsia="MS Mincho" w:hAnsi="Arial" w:cs="Arial"/>
          <w:color w:val="000000"/>
        </w:rPr>
        <w:t xml:space="preserve">(Lombardi et al., 2021; </w:t>
      </w:r>
      <w:proofErr w:type="spellStart"/>
      <w:r w:rsidR="004921AB" w:rsidRPr="004921AB">
        <w:rPr>
          <w:rFonts w:ascii="Arial" w:eastAsia="MS Mincho" w:hAnsi="Arial" w:cs="Arial"/>
          <w:color w:val="000000"/>
        </w:rPr>
        <w:t>Moriña</w:t>
      </w:r>
      <w:proofErr w:type="spellEnd"/>
      <w:r w:rsidR="004921AB" w:rsidRPr="004921AB">
        <w:rPr>
          <w:rFonts w:ascii="Arial" w:eastAsia="MS Mincho" w:hAnsi="Arial" w:cs="Arial"/>
          <w:color w:val="000000"/>
        </w:rPr>
        <w:t xml:space="preserve"> &amp; Carballo, 2021; Qu &amp; Cross, 2024; Rao et al., 2021; Seale, 2021)</w:t>
      </w:r>
      <w:r w:rsidR="004921AB">
        <w:rPr>
          <w:rFonts w:ascii="Arial" w:eastAsia="MS Mincho" w:hAnsi="Arial" w:cs="Arial"/>
          <w:color w:val="000000"/>
        </w:rPr>
        <w:t>.</w:t>
      </w:r>
    </w:p>
    <w:p w14:paraId="0CFA0C0F" w14:textId="77777777" w:rsidR="00175D5D" w:rsidRPr="00175D5D" w:rsidRDefault="00175D5D" w:rsidP="00175D5D">
      <w:pPr>
        <w:spacing w:after="160" w:line="278" w:lineRule="auto"/>
        <w:rPr>
          <w:rFonts w:ascii="Aptos" w:eastAsia="Aptos" w:hAnsi="Aptos" w:cs="Times New Roman"/>
          <w:kern w:val="2"/>
          <w:sz w:val="24"/>
          <w:szCs w:val="24"/>
          <w:lang w:val="en-GB"/>
          <w14:ligatures w14:val="standardContextual"/>
        </w:rPr>
      </w:pPr>
    </w:p>
    <w:p w14:paraId="2FACDC05" w14:textId="77777777" w:rsidR="00C4286B" w:rsidRDefault="00C4286B" w:rsidP="00035401">
      <w:pPr>
        <w:rPr>
          <w:rFonts w:ascii="Arial" w:hAnsi="Arial" w:cs="Arial"/>
          <w:color w:val="4F6228" w:themeColor="accent3" w:themeShade="80"/>
          <w:lang w:val="en-GB"/>
        </w:rPr>
      </w:pPr>
    </w:p>
    <w:p w14:paraId="7F969CBD" w14:textId="77777777" w:rsidR="00175D5D" w:rsidRPr="00C4286B" w:rsidRDefault="00175D5D" w:rsidP="00035401">
      <w:pPr>
        <w:rPr>
          <w:rFonts w:ascii="Arial" w:hAnsi="Arial" w:cs="Arial"/>
          <w:color w:val="4F6228" w:themeColor="accent3" w:themeShade="80"/>
          <w:lang w:val="en-GB"/>
        </w:rPr>
      </w:pPr>
    </w:p>
    <w:p w14:paraId="7FFD8EB4" w14:textId="77777777" w:rsidR="00666FCC" w:rsidRDefault="00666FCC">
      <w:pPr>
        <w:rPr>
          <w:rFonts w:ascii="Arial" w:hAnsi="Arial" w:cs="Arial"/>
          <w:b/>
          <w:bCs/>
          <w:color w:val="EE0000"/>
          <w:sz w:val="28"/>
          <w:szCs w:val="28"/>
        </w:rPr>
      </w:pPr>
    </w:p>
    <w:p w14:paraId="1F6B1354" w14:textId="77777777" w:rsidR="00F91366" w:rsidRDefault="00F91366">
      <w:pPr>
        <w:rPr>
          <w:rFonts w:ascii="Arial" w:hAnsi="Arial" w:cs="Arial"/>
          <w:b/>
          <w:bCs/>
          <w:color w:val="EE0000"/>
          <w:sz w:val="28"/>
          <w:szCs w:val="28"/>
        </w:rPr>
      </w:pPr>
    </w:p>
    <w:p w14:paraId="1D33E533" w14:textId="77777777" w:rsidR="00F91366" w:rsidRDefault="00F91366">
      <w:pPr>
        <w:rPr>
          <w:rFonts w:ascii="Arial" w:hAnsi="Arial" w:cs="Arial"/>
          <w:b/>
          <w:bCs/>
          <w:color w:val="EE0000"/>
          <w:sz w:val="28"/>
          <w:szCs w:val="28"/>
        </w:rPr>
      </w:pPr>
    </w:p>
    <w:p w14:paraId="140806B9" w14:textId="77777777" w:rsidR="00F91366" w:rsidRDefault="00F91366">
      <w:pPr>
        <w:rPr>
          <w:rFonts w:ascii="Arial" w:hAnsi="Arial" w:cs="Arial"/>
          <w:b/>
          <w:bCs/>
          <w:color w:val="EE0000"/>
          <w:sz w:val="28"/>
          <w:szCs w:val="28"/>
        </w:rPr>
      </w:pPr>
    </w:p>
    <w:p w14:paraId="18E10587" w14:textId="77777777" w:rsidR="00F91366" w:rsidRDefault="00F91366">
      <w:pPr>
        <w:rPr>
          <w:rFonts w:ascii="Arial" w:hAnsi="Arial" w:cs="Arial"/>
          <w:b/>
          <w:bCs/>
          <w:color w:val="EE0000"/>
          <w:sz w:val="28"/>
          <w:szCs w:val="28"/>
        </w:rPr>
      </w:pPr>
    </w:p>
    <w:p w14:paraId="3CFFEC0B" w14:textId="77777777" w:rsidR="00F91366" w:rsidRDefault="00F91366">
      <w:pPr>
        <w:rPr>
          <w:rFonts w:ascii="Arial" w:hAnsi="Arial" w:cs="Arial"/>
          <w:b/>
          <w:bCs/>
          <w:color w:val="EE0000"/>
          <w:sz w:val="28"/>
          <w:szCs w:val="28"/>
        </w:rPr>
      </w:pPr>
    </w:p>
    <w:p w14:paraId="7DA2F300" w14:textId="77777777" w:rsidR="00F91366" w:rsidRDefault="00F91366">
      <w:pPr>
        <w:rPr>
          <w:rFonts w:ascii="Arial" w:hAnsi="Arial" w:cs="Arial"/>
          <w:b/>
          <w:bCs/>
          <w:color w:val="EE0000"/>
          <w:sz w:val="28"/>
          <w:szCs w:val="28"/>
        </w:rPr>
      </w:pPr>
    </w:p>
    <w:p w14:paraId="1C7BA3C3" w14:textId="77777777" w:rsidR="00F91366" w:rsidRDefault="00F91366">
      <w:pPr>
        <w:rPr>
          <w:rFonts w:ascii="Arial" w:hAnsi="Arial" w:cs="Arial"/>
          <w:b/>
          <w:bCs/>
          <w:color w:val="EE0000"/>
          <w:sz w:val="28"/>
          <w:szCs w:val="28"/>
        </w:rPr>
      </w:pPr>
    </w:p>
    <w:p w14:paraId="77ED6A95" w14:textId="77777777" w:rsidR="00E679CF" w:rsidRDefault="00E679CF">
      <w:pPr>
        <w:rPr>
          <w:rFonts w:ascii="Arial" w:hAnsi="Arial" w:cs="Arial"/>
          <w:b/>
          <w:bCs/>
          <w:color w:val="EE0000"/>
          <w:sz w:val="28"/>
          <w:szCs w:val="28"/>
        </w:rPr>
      </w:pPr>
    </w:p>
    <w:p w14:paraId="1826E26C" w14:textId="77777777" w:rsidR="003B1388" w:rsidRDefault="003B1388" w:rsidP="00E679CF">
      <w:pPr>
        <w:rPr>
          <w:rFonts w:ascii="Arial" w:hAnsi="Arial" w:cs="Arial"/>
          <w:b/>
          <w:bCs/>
          <w:color w:val="EE0000"/>
          <w:sz w:val="28"/>
          <w:szCs w:val="28"/>
        </w:rPr>
      </w:pPr>
    </w:p>
    <w:p w14:paraId="62FDB87D" w14:textId="77777777" w:rsidR="00F67E36" w:rsidRDefault="00F67E36" w:rsidP="00E679CF">
      <w:pPr>
        <w:rPr>
          <w:rFonts w:ascii="Arial" w:hAnsi="Arial" w:cs="Arial"/>
          <w:b/>
          <w:bCs/>
          <w:color w:val="EE0000"/>
          <w:sz w:val="28"/>
          <w:szCs w:val="28"/>
        </w:rPr>
      </w:pPr>
    </w:p>
    <w:p w14:paraId="33D9EF56" w14:textId="77777777" w:rsidR="001B6086" w:rsidRDefault="001B6086" w:rsidP="00E679CF">
      <w:pPr>
        <w:rPr>
          <w:rFonts w:ascii="Arial" w:hAnsi="Arial" w:cs="Arial"/>
          <w:b/>
          <w:bCs/>
          <w:color w:val="EE0000"/>
          <w:sz w:val="28"/>
          <w:szCs w:val="28"/>
        </w:rPr>
      </w:pPr>
    </w:p>
    <w:p w14:paraId="32A56030" w14:textId="77777777" w:rsidR="001B6086" w:rsidRDefault="001B6086" w:rsidP="00E679CF">
      <w:pPr>
        <w:rPr>
          <w:rFonts w:ascii="Arial" w:hAnsi="Arial" w:cs="Arial"/>
          <w:b/>
          <w:bCs/>
          <w:color w:val="EE0000"/>
          <w:sz w:val="28"/>
          <w:szCs w:val="28"/>
        </w:rPr>
      </w:pPr>
    </w:p>
    <w:p w14:paraId="672FAF29" w14:textId="77777777" w:rsidR="001B6086" w:rsidRDefault="001B6086" w:rsidP="00E679CF">
      <w:pPr>
        <w:rPr>
          <w:rFonts w:ascii="Arial" w:hAnsi="Arial" w:cs="Arial"/>
          <w:b/>
          <w:bCs/>
          <w:color w:val="EE0000"/>
          <w:sz w:val="28"/>
          <w:szCs w:val="28"/>
        </w:rPr>
      </w:pPr>
    </w:p>
    <w:p w14:paraId="0FC2244E" w14:textId="77777777" w:rsidR="001B6086" w:rsidRDefault="001B6086" w:rsidP="00E679CF">
      <w:pPr>
        <w:rPr>
          <w:rFonts w:ascii="Arial" w:hAnsi="Arial" w:cs="Arial"/>
          <w:b/>
          <w:bCs/>
          <w:color w:val="EE0000"/>
          <w:sz w:val="28"/>
          <w:szCs w:val="28"/>
        </w:rPr>
      </w:pPr>
    </w:p>
    <w:p w14:paraId="7C9FA2F7" w14:textId="77777777" w:rsidR="001B6086" w:rsidRDefault="001B6086" w:rsidP="00E679CF">
      <w:pPr>
        <w:rPr>
          <w:rFonts w:ascii="Arial" w:hAnsi="Arial" w:cs="Arial"/>
          <w:b/>
          <w:bCs/>
          <w:color w:val="EE0000"/>
          <w:sz w:val="28"/>
          <w:szCs w:val="28"/>
        </w:rPr>
      </w:pPr>
    </w:p>
    <w:p w14:paraId="0EF54B58" w14:textId="77777777" w:rsidR="00673F9C" w:rsidRDefault="00673F9C" w:rsidP="00E679CF">
      <w:pPr>
        <w:rPr>
          <w:rFonts w:ascii="Arial" w:hAnsi="Arial" w:cs="Arial"/>
          <w:b/>
          <w:bCs/>
          <w:color w:val="EE0000"/>
          <w:sz w:val="28"/>
          <w:szCs w:val="28"/>
        </w:rPr>
      </w:pPr>
    </w:p>
    <w:p w14:paraId="6D9651CF" w14:textId="2BD46A0D" w:rsidR="00155160" w:rsidRDefault="00F67E36" w:rsidP="00A44044">
      <w:pPr>
        <w:pStyle w:val="Heading1"/>
      </w:pPr>
      <w:bookmarkStart w:id="28" w:name="_Toc206171148"/>
      <w:r>
        <w:lastRenderedPageBreak/>
        <w:t>References</w:t>
      </w:r>
      <w:bookmarkEnd w:id="28"/>
    </w:p>
    <w:p w14:paraId="5EE7145E" w14:textId="77777777" w:rsidR="001B6086" w:rsidRPr="001B6086" w:rsidRDefault="001B6086" w:rsidP="001B6086"/>
    <w:p w14:paraId="4EFFA7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Advance HE. (2024). </w:t>
      </w:r>
      <w:r w:rsidRPr="00155160">
        <w:rPr>
          <w:rFonts w:ascii="Arial" w:hAnsi="Arial" w:cs="Arial"/>
          <w:i/>
          <w:iCs/>
          <w:color w:val="000000" w:themeColor="text1"/>
          <w:lang w:val="en-GB"/>
        </w:rPr>
        <w:t>Framework for inclusive learning and teaching</w:t>
      </w:r>
      <w:r w:rsidRPr="00155160">
        <w:rPr>
          <w:rFonts w:ascii="Arial" w:hAnsi="Arial" w:cs="Arial"/>
          <w:color w:val="000000" w:themeColor="text1"/>
          <w:lang w:val="en-GB"/>
        </w:rPr>
        <w:t xml:space="preserve">. </w:t>
      </w:r>
      <w:hyperlink r:id="rId9" w:tgtFrame="_blank" w:history="1">
        <w:r w:rsidRPr="00155160">
          <w:rPr>
            <w:rStyle w:val="Hyperlink"/>
            <w:rFonts w:ascii="Arial" w:hAnsi="Arial" w:cs="Arial"/>
            <w:color w:val="000000" w:themeColor="text1"/>
            <w:lang w:val="en-GB"/>
          </w:rPr>
          <w:t>https://www.advance-he.ac.uk/knowledge-hub/framework-inclusive-learning-and-teaching</w:t>
        </w:r>
      </w:hyperlink>
    </w:p>
    <w:p w14:paraId="40BC60C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Al-Azawei, A., &amp; Al-Moghrabi, S. (2023). </w:t>
      </w:r>
      <w:r w:rsidRPr="00155160">
        <w:rPr>
          <w:rFonts w:ascii="Arial" w:hAnsi="Arial" w:cs="Arial"/>
          <w:color w:val="000000" w:themeColor="text1"/>
          <w:lang w:val="en-GB"/>
        </w:rPr>
        <w:t xml:space="preserve">The role of universal design for learning in enhancing student engagement in higher education. </w:t>
      </w:r>
      <w:r w:rsidRPr="00155160">
        <w:rPr>
          <w:rFonts w:ascii="Arial" w:hAnsi="Arial" w:cs="Arial"/>
          <w:i/>
          <w:iCs/>
          <w:color w:val="000000" w:themeColor="text1"/>
          <w:lang w:val="en-GB"/>
        </w:rPr>
        <w:t>Journal of Applied Research in Higher Education, 15</w:t>
      </w:r>
      <w:r w:rsidRPr="00155160">
        <w:rPr>
          <w:rFonts w:ascii="Arial" w:hAnsi="Arial" w:cs="Arial"/>
          <w:color w:val="000000" w:themeColor="text1"/>
          <w:lang w:val="en-GB"/>
        </w:rPr>
        <w:t xml:space="preserve">(2), 345–360. </w:t>
      </w:r>
      <w:hyperlink r:id="rId10" w:tgtFrame="_blank" w:history="1">
        <w:r w:rsidRPr="00155160">
          <w:rPr>
            <w:rStyle w:val="Hyperlink"/>
            <w:rFonts w:ascii="Arial" w:hAnsi="Arial" w:cs="Arial"/>
            <w:color w:val="000000" w:themeColor="text1"/>
            <w:lang w:val="en-GB"/>
          </w:rPr>
          <w:t>https://doi.org/10.1108/JARHE-07-2021-0259</w:t>
        </w:r>
      </w:hyperlink>
    </w:p>
    <w:p w14:paraId="15D8A0E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Al-Azawei, A., Serenelli, F., &amp; Lundqvist, K. (2016). </w:t>
      </w:r>
      <w:r w:rsidRPr="00155160">
        <w:rPr>
          <w:rFonts w:ascii="Arial" w:hAnsi="Arial" w:cs="Arial"/>
          <w:color w:val="000000" w:themeColor="text1"/>
          <w:lang w:val="en-GB"/>
        </w:rPr>
        <w:t>Universal design for learning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A content analysis of peer-reviewed journal papers from 2012 to 2015. </w:t>
      </w:r>
      <w:r w:rsidRPr="00155160">
        <w:rPr>
          <w:rFonts w:ascii="Arial" w:hAnsi="Arial" w:cs="Arial"/>
          <w:i/>
          <w:iCs/>
          <w:color w:val="000000" w:themeColor="text1"/>
          <w:lang w:val="en-GB"/>
        </w:rPr>
        <w:t>Journal of the Scholarship of Teaching and Learning, 16</w:t>
      </w:r>
      <w:r w:rsidRPr="00155160">
        <w:rPr>
          <w:rFonts w:ascii="Arial" w:hAnsi="Arial" w:cs="Arial"/>
          <w:color w:val="000000" w:themeColor="text1"/>
          <w:lang w:val="en-GB"/>
        </w:rPr>
        <w:t xml:space="preserve">(3), 39–56. </w:t>
      </w:r>
      <w:hyperlink r:id="rId11" w:tgtFrame="_blank" w:history="1">
        <w:r w:rsidRPr="00155160">
          <w:rPr>
            <w:rStyle w:val="Hyperlink"/>
            <w:rFonts w:ascii="Arial" w:hAnsi="Arial" w:cs="Arial"/>
            <w:color w:val="000000" w:themeColor="text1"/>
            <w:lang w:val="en-GB"/>
          </w:rPr>
          <w:t>https://doi.org/10.14434/josotl.v16i3.19299</w:t>
        </w:r>
      </w:hyperlink>
    </w:p>
    <w:p w14:paraId="32A2BBFA"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Almeqdad</w:t>
      </w:r>
      <w:proofErr w:type="spellEnd"/>
      <w:r w:rsidRPr="00155160">
        <w:rPr>
          <w:rFonts w:ascii="Arial" w:hAnsi="Arial" w:cs="Arial"/>
          <w:color w:val="000000" w:themeColor="text1"/>
          <w:lang w:val="en-GB"/>
        </w:rPr>
        <w:t xml:space="preserve">, Q. I., </w:t>
      </w:r>
      <w:proofErr w:type="spellStart"/>
      <w:r w:rsidRPr="00155160">
        <w:rPr>
          <w:rFonts w:ascii="Arial" w:hAnsi="Arial" w:cs="Arial"/>
          <w:color w:val="000000" w:themeColor="text1"/>
          <w:lang w:val="en-GB"/>
        </w:rPr>
        <w:t>Alodat</w:t>
      </w:r>
      <w:proofErr w:type="spellEnd"/>
      <w:r w:rsidRPr="00155160">
        <w:rPr>
          <w:rFonts w:ascii="Arial" w:hAnsi="Arial" w:cs="Arial"/>
          <w:color w:val="000000" w:themeColor="text1"/>
          <w:lang w:val="en-GB"/>
        </w:rPr>
        <w:t xml:space="preserve">, A. M., </w:t>
      </w:r>
      <w:proofErr w:type="spellStart"/>
      <w:r w:rsidRPr="00155160">
        <w:rPr>
          <w:rFonts w:ascii="Arial" w:hAnsi="Arial" w:cs="Arial"/>
          <w:color w:val="000000" w:themeColor="text1"/>
          <w:lang w:val="en-GB"/>
        </w:rPr>
        <w:t>Alquraan</w:t>
      </w:r>
      <w:proofErr w:type="spellEnd"/>
      <w:r w:rsidRPr="00155160">
        <w:rPr>
          <w:rFonts w:ascii="Arial" w:hAnsi="Arial" w:cs="Arial"/>
          <w:color w:val="000000" w:themeColor="text1"/>
          <w:lang w:val="en-GB"/>
        </w:rPr>
        <w:t xml:space="preserve">, M. F., </w:t>
      </w:r>
      <w:proofErr w:type="spellStart"/>
      <w:r w:rsidRPr="00155160">
        <w:rPr>
          <w:rFonts w:ascii="Arial" w:hAnsi="Arial" w:cs="Arial"/>
          <w:color w:val="000000" w:themeColor="text1"/>
          <w:lang w:val="en-GB"/>
        </w:rPr>
        <w:t>Mohaidat</w:t>
      </w:r>
      <w:proofErr w:type="spellEnd"/>
      <w:r w:rsidRPr="00155160">
        <w:rPr>
          <w:rFonts w:ascii="Arial" w:hAnsi="Arial" w:cs="Arial"/>
          <w:color w:val="000000" w:themeColor="text1"/>
          <w:lang w:val="en-GB"/>
        </w:rPr>
        <w:t>, M. A., &amp; Al-</w:t>
      </w:r>
      <w:proofErr w:type="spellStart"/>
      <w:r w:rsidRPr="00155160">
        <w:rPr>
          <w:rFonts w:ascii="Arial" w:hAnsi="Arial" w:cs="Arial"/>
          <w:color w:val="000000" w:themeColor="text1"/>
          <w:lang w:val="en-GB"/>
        </w:rPr>
        <w:t>Makhzoomy</w:t>
      </w:r>
      <w:proofErr w:type="spellEnd"/>
      <w:r w:rsidRPr="00155160">
        <w:rPr>
          <w:rFonts w:ascii="Arial" w:hAnsi="Arial" w:cs="Arial"/>
          <w:color w:val="000000" w:themeColor="text1"/>
          <w:lang w:val="en-GB"/>
        </w:rPr>
        <w:t xml:space="preserve">, A. K. (2023). The effectiveness of universal design for learning: A systematic review of the literature and meta-analysis. </w:t>
      </w:r>
      <w:r w:rsidRPr="00155160">
        <w:rPr>
          <w:rFonts w:ascii="Arial" w:hAnsi="Arial" w:cs="Arial"/>
          <w:i/>
          <w:iCs/>
          <w:color w:val="000000" w:themeColor="text1"/>
          <w:lang w:val="en-GB"/>
        </w:rPr>
        <w:t>Cogent Education, 10</w:t>
      </w:r>
      <w:r w:rsidRPr="00155160">
        <w:rPr>
          <w:rFonts w:ascii="Arial" w:hAnsi="Arial" w:cs="Arial"/>
          <w:color w:val="000000" w:themeColor="text1"/>
          <w:lang w:val="en-GB"/>
        </w:rPr>
        <w:t xml:space="preserve">(1), 2218191. </w:t>
      </w:r>
      <w:hyperlink r:id="rId12" w:tgtFrame="_blank" w:history="1">
        <w:r w:rsidRPr="00155160">
          <w:rPr>
            <w:rStyle w:val="Hyperlink"/>
            <w:rFonts w:ascii="Arial" w:hAnsi="Arial" w:cs="Arial"/>
            <w:color w:val="000000" w:themeColor="text1"/>
            <w:lang w:val="en-GB"/>
          </w:rPr>
          <w:t>https://doi.org/10.1080/2331186X.2023.2218191</w:t>
        </w:r>
      </w:hyperlink>
    </w:p>
    <w:p w14:paraId="281246C8" w14:textId="77777777" w:rsidR="00155160" w:rsidRPr="009967E6" w:rsidRDefault="00155160" w:rsidP="005E276E">
      <w:pPr>
        <w:spacing w:line="360" w:lineRule="auto"/>
        <w:ind w:left="720" w:hanging="720"/>
        <w:rPr>
          <w:rFonts w:ascii="Arial" w:hAnsi="Arial" w:cs="Arial"/>
        </w:rPr>
      </w:pPr>
      <w:proofErr w:type="spellStart"/>
      <w:r w:rsidRPr="009967E6">
        <w:rPr>
          <w:rFonts w:ascii="Arial" w:hAnsi="Arial" w:cs="Arial"/>
          <w:color w:val="000000" w:themeColor="text1"/>
          <w:lang w:val="en-GB"/>
        </w:rPr>
        <w:t>Amuedo</w:t>
      </w:r>
      <w:proofErr w:type="spellEnd"/>
      <w:r w:rsidRPr="009967E6">
        <w:rPr>
          <w:rFonts w:ascii="Arial" w:hAnsi="Arial" w:cs="Arial"/>
          <w:color w:val="000000" w:themeColor="text1"/>
          <w:lang w:val="en-GB"/>
        </w:rPr>
        <w:t xml:space="preserve">-Dorantes, C., &amp; Romiti, A. (2024). Brexit and international student </w:t>
      </w:r>
      <w:proofErr w:type="spellStart"/>
      <w:r w:rsidRPr="009967E6">
        <w:rPr>
          <w:rFonts w:ascii="Arial" w:hAnsi="Arial" w:cs="Arial"/>
          <w:color w:val="000000" w:themeColor="text1"/>
          <w:lang w:val="en-GB"/>
        </w:rPr>
        <w:t>enrollment</w:t>
      </w:r>
      <w:proofErr w:type="spellEnd"/>
      <w:r w:rsidRPr="009967E6">
        <w:rPr>
          <w:rFonts w:ascii="Arial" w:hAnsi="Arial" w:cs="Arial"/>
          <w:color w:val="000000" w:themeColor="text1"/>
          <w:lang w:val="en-GB"/>
        </w:rPr>
        <w:t xml:space="preserve"> in UK higher education. </w:t>
      </w:r>
      <w:r w:rsidRPr="009967E6">
        <w:rPr>
          <w:rFonts w:ascii="Arial" w:hAnsi="Arial" w:cs="Arial"/>
          <w:i/>
          <w:iCs/>
          <w:color w:val="000000" w:themeColor="text1"/>
          <w:lang w:val="en-GB"/>
        </w:rPr>
        <w:t>European Economic Review, 161</w:t>
      </w:r>
      <w:r w:rsidRPr="009967E6">
        <w:rPr>
          <w:rFonts w:ascii="Arial" w:hAnsi="Arial" w:cs="Arial"/>
          <w:color w:val="000000" w:themeColor="text1"/>
          <w:lang w:val="en-GB"/>
        </w:rPr>
        <w:t xml:space="preserve">, 104639. </w:t>
      </w:r>
      <w:hyperlink r:id="rId13" w:tgtFrame="_blank" w:history="1">
        <w:r w:rsidRPr="009967E6">
          <w:rPr>
            <w:rStyle w:val="Hyperlink"/>
            <w:rFonts w:ascii="Arial" w:hAnsi="Arial" w:cs="Arial"/>
            <w:color w:val="000000" w:themeColor="text1"/>
            <w:lang w:val="en-GB"/>
          </w:rPr>
          <w:t>https://doi.org/10.1016/j.euroecorev.2023.104639</w:t>
        </w:r>
      </w:hyperlink>
    </w:p>
    <w:p w14:paraId="0215CF25" w14:textId="7FA36809" w:rsidR="009967E6" w:rsidRPr="009967E6" w:rsidRDefault="009967E6" w:rsidP="009967E6">
      <w:pPr>
        <w:spacing w:line="360" w:lineRule="auto"/>
        <w:ind w:left="720" w:hanging="720"/>
        <w:rPr>
          <w:rFonts w:ascii="Arial" w:hAnsi="Arial" w:cs="Arial"/>
          <w:color w:val="000000" w:themeColor="text1"/>
          <w:lang w:val="en-GB"/>
        </w:rPr>
      </w:pPr>
      <w:r w:rsidRPr="009967E6">
        <w:rPr>
          <w:rFonts w:ascii="Arial" w:hAnsi="Arial" w:cs="Arial"/>
          <w:color w:val="000000" w:themeColor="text1"/>
          <w:lang w:val="en-GB"/>
        </w:rPr>
        <w:t>Bolton, P. (2025). </w:t>
      </w:r>
      <w:r w:rsidRPr="009967E6">
        <w:rPr>
          <w:rFonts w:ascii="Arial" w:hAnsi="Arial" w:cs="Arial"/>
          <w:i/>
          <w:iCs/>
          <w:color w:val="000000" w:themeColor="text1"/>
          <w:lang w:val="en-GB"/>
        </w:rPr>
        <w:t>Higher education student numbers</w:t>
      </w:r>
      <w:r w:rsidRPr="009967E6">
        <w:rPr>
          <w:rFonts w:ascii="Arial" w:hAnsi="Arial" w:cs="Arial"/>
          <w:color w:val="000000" w:themeColor="text1"/>
          <w:lang w:val="en-GB"/>
        </w:rPr>
        <w:t>. https://dera.ioe.ac.uk/id/eprint/41002/1/CBP-7857.pdf</w:t>
      </w:r>
    </w:p>
    <w:p w14:paraId="60321BC7" w14:textId="77777777" w:rsidR="00155160" w:rsidRPr="009967E6" w:rsidRDefault="00155160" w:rsidP="005E276E">
      <w:pPr>
        <w:spacing w:line="360" w:lineRule="auto"/>
        <w:ind w:left="720" w:hanging="720"/>
        <w:rPr>
          <w:rFonts w:ascii="Arial" w:hAnsi="Arial" w:cs="Arial"/>
          <w:color w:val="000000" w:themeColor="text1"/>
          <w:lang w:val="en-GB"/>
        </w:rPr>
      </w:pPr>
      <w:r w:rsidRPr="009967E6">
        <w:rPr>
          <w:rFonts w:ascii="Arial" w:hAnsi="Arial" w:cs="Arial"/>
          <w:color w:val="000000" w:themeColor="text1"/>
          <w:lang w:val="en-GB"/>
        </w:rPr>
        <w:t xml:space="preserve">Bovill, C. (2020). Co-creation in learning and teaching: The case for a whole-class approach in higher education. </w:t>
      </w:r>
      <w:r w:rsidRPr="009967E6">
        <w:rPr>
          <w:rFonts w:ascii="Arial" w:hAnsi="Arial" w:cs="Arial"/>
          <w:i/>
          <w:iCs/>
          <w:color w:val="000000" w:themeColor="text1"/>
          <w:lang w:val="en-GB"/>
        </w:rPr>
        <w:t>Higher Education, 79</w:t>
      </w:r>
      <w:r w:rsidRPr="009967E6">
        <w:rPr>
          <w:rFonts w:ascii="Arial" w:hAnsi="Arial" w:cs="Arial"/>
          <w:color w:val="000000" w:themeColor="text1"/>
          <w:lang w:val="en-GB"/>
        </w:rPr>
        <w:t xml:space="preserve">(6), 1023–1037. </w:t>
      </w:r>
      <w:hyperlink r:id="rId14" w:tgtFrame="_blank" w:history="1">
        <w:r w:rsidRPr="009967E6">
          <w:rPr>
            <w:rStyle w:val="Hyperlink"/>
            <w:rFonts w:ascii="Arial" w:hAnsi="Arial" w:cs="Arial"/>
            <w:color w:val="000000" w:themeColor="text1"/>
            <w:lang w:val="en-GB"/>
          </w:rPr>
          <w:t>https://doi.org/10.1007/s10734-019-00453-4</w:t>
        </w:r>
      </w:hyperlink>
    </w:p>
    <w:p w14:paraId="7D60992D" w14:textId="77777777" w:rsidR="00155160" w:rsidRPr="00155160" w:rsidRDefault="00155160" w:rsidP="005E276E">
      <w:pPr>
        <w:spacing w:line="360" w:lineRule="auto"/>
        <w:ind w:left="720" w:hanging="720"/>
        <w:rPr>
          <w:rFonts w:ascii="Arial" w:hAnsi="Arial" w:cs="Arial"/>
          <w:color w:val="000000" w:themeColor="text1"/>
          <w:lang w:val="en-GB"/>
        </w:rPr>
      </w:pPr>
      <w:r w:rsidRPr="009967E6">
        <w:rPr>
          <w:rFonts w:ascii="Arial" w:hAnsi="Arial" w:cs="Arial"/>
          <w:color w:val="000000" w:themeColor="text1"/>
          <w:lang w:val="en-GB"/>
        </w:rPr>
        <w:t xml:space="preserve">Boysen, G. A. (2024). A critical analysis of the research evidence </w:t>
      </w:r>
      <w:proofErr w:type="gramStart"/>
      <w:r w:rsidRPr="009967E6">
        <w:rPr>
          <w:rFonts w:ascii="Arial" w:hAnsi="Arial" w:cs="Arial"/>
          <w:color w:val="000000" w:themeColor="text1"/>
          <w:lang w:val="en-GB"/>
        </w:rPr>
        <w:t>base</w:t>
      </w:r>
      <w:proofErr w:type="gramEnd"/>
      <w:r w:rsidRPr="009967E6">
        <w:rPr>
          <w:rFonts w:ascii="Arial" w:hAnsi="Arial" w:cs="Arial"/>
          <w:color w:val="000000" w:themeColor="text1"/>
          <w:lang w:val="en-GB"/>
        </w:rPr>
        <w:t xml:space="preserve"> for universal design for learning. </w:t>
      </w:r>
      <w:r w:rsidRPr="009967E6">
        <w:rPr>
          <w:rFonts w:ascii="Arial" w:hAnsi="Arial" w:cs="Arial"/>
          <w:i/>
          <w:iCs/>
          <w:color w:val="000000" w:themeColor="text1"/>
          <w:lang w:val="en-GB"/>
        </w:rPr>
        <w:t>Policy Futures in Education, 22</w:t>
      </w:r>
      <w:r w:rsidRPr="009967E6">
        <w:rPr>
          <w:rFonts w:ascii="Arial" w:hAnsi="Arial" w:cs="Arial"/>
          <w:color w:val="000000" w:themeColor="text1"/>
          <w:lang w:val="en-GB"/>
        </w:rPr>
        <w:t xml:space="preserve">(7), 1219–1238. </w:t>
      </w:r>
      <w:hyperlink r:id="rId15" w:tgtFrame="_blank" w:history="1">
        <w:r w:rsidRPr="00155160">
          <w:rPr>
            <w:rStyle w:val="Hyperlink"/>
            <w:rFonts w:ascii="Arial" w:hAnsi="Arial" w:cs="Arial"/>
            <w:color w:val="000000" w:themeColor="text1"/>
            <w:lang w:val="en-GB"/>
          </w:rPr>
          <w:t>https://doi.org/10.1177/14782103241255428</w:t>
        </w:r>
      </w:hyperlink>
    </w:p>
    <w:p w14:paraId="7DE1452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Brady, J. (2022). </w:t>
      </w:r>
      <w:r w:rsidRPr="00155160">
        <w:rPr>
          <w:rFonts w:ascii="Arial" w:hAnsi="Arial" w:cs="Arial"/>
          <w:i/>
          <w:iCs/>
          <w:color w:val="000000" w:themeColor="text1"/>
          <w:lang w:val="en-GB"/>
        </w:rPr>
        <w:t>Baseline standards of inclusive learning and teaching – Report (Spring 2022)</w:t>
      </w:r>
      <w:r w:rsidRPr="00155160">
        <w:rPr>
          <w:rFonts w:ascii="Arial" w:hAnsi="Arial" w:cs="Arial"/>
          <w:color w:val="000000" w:themeColor="text1"/>
          <w:lang w:val="en-GB"/>
        </w:rPr>
        <w:t xml:space="preserve">. Leeds Institute for Teaching Excellence, University of Leeds. </w:t>
      </w:r>
      <w:hyperlink r:id="rId16" w:tgtFrame="_blank" w:history="1">
        <w:r w:rsidRPr="00155160">
          <w:rPr>
            <w:rStyle w:val="Hyperlink"/>
            <w:rFonts w:ascii="Arial" w:hAnsi="Arial" w:cs="Arial"/>
            <w:color w:val="000000" w:themeColor="text1"/>
            <w:lang w:val="en-GB"/>
          </w:rPr>
          <w:t>https://teachingexcellence.leeds.ac.uk/wp-</w:t>
        </w:r>
        <w:r w:rsidRPr="00155160">
          <w:rPr>
            <w:rStyle w:val="Hyperlink"/>
            <w:rFonts w:ascii="Arial" w:hAnsi="Arial" w:cs="Arial"/>
            <w:color w:val="000000" w:themeColor="text1"/>
            <w:lang w:val="en-GB"/>
          </w:rPr>
          <w:lastRenderedPageBreak/>
          <w:t>content/uploads/sites/89/2022/06/Baseline-Standards-of-Inclusive-Learning-and-Teaching-Report-Spring-2022-updated.pdf</w:t>
        </w:r>
      </w:hyperlink>
    </w:p>
    <w:p w14:paraId="462732C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Braun, V., &amp; Clarke, V. (2022). </w:t>
      </w:r>
      <w:r w:rsidRPr="00155160">
        <w:rPr>
          <w:rFonts w:ascii="Arial" w:hAnsi="Arial" w:cs="Arial"/>
          <w:i/>
          <w:iCs/>
          <w:color w:val="000000" w:themeColor="text1"/>
          <w:lang w:val="en-GB"/>
        </w:rPr>
        <w:t>Thematic Analysis: A practical guide</w:t>
      </w:r>
      <w:r w:rsidRPr="00155160">
        <w:rPr>
          <w:rFonts w:ascii="Arial" w:hAnsi="Arial" w:cs="Arial"/>
          <w:color w:val="000000" w:themeColor="text1"/>
          <w:lang w:val="en-GB"/>
        </w:rPr>
        <w:t>. SAGE Publications.</w:t>
      </w:r>
    </w:p>
    <w:p w14:paraId="68D4B48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Bray, A., Devitt, A., Banks, J., Sánchez Fuentes, S., Sandoval, M., </w:t>
      </w:r>
      <w:proofErr w:type="spellStart"/>
      <w:r w:rsidRPr="00155160">
        <w:rPr>
          <w:rFonts w:ascii="Arial" w:hAnsi="Arial" w:cs="Arial"/>
          <w:color w:val="000000" w:themeColor="text1"/>
          <w:lang w:val="en-GB"/>
        </w:rPr>
        <w:t>Riviou</w:t>
      </w:r>
      <w:proofErr w:type="spellEnd"/>
      <w:r w:rsidRPr="00155160">
        <w:rPr>
          <w:rFonts w:ascii="Arial" w:hAnsi="Arial" w:cs="Arial"/>
          <w:color w:val="000000" w:themeColor="text1"/>
          <w:lang w:val="en-GB"/>
        </w:rPr>
        <w:t xml:space="preserve">, K., Byrne, D., Flood, M., Reale, J., &amp; </w:t>
      </w:r>
      <w:proofErr w:type="spellStart"/>
      <w:r w:rsidRPr="00155160">
        <w:rPr>
          <w:rFonts w:ascii="Arial" w:hAnsi="Arial" w:cs="Arial"/>
          <w:color w:val="000000" w:themeColor="text1"/>
          <w:lang w:val="en-GB"/>
        </w:rPr>
        <w:t>Terrenzio</w:t>
      </w:r>
      <w:proofErr w:type="spellEnd"/>
      <w:r w:rsidRPr="00155160">
        <w:rPr>
          <w:rFonts w:ascii="Arial" w:hAnsi="Arial" w:cs="Arial"/>
          <w:color w:val="000000" w:themeColor="text1"/>
          <w:lang w:val="en-GB"/>
        </w:rPr>
        <w:t xml:space="preserve">, S. (2024). What next for Universal Design for Learning? A systematic literature review of technology in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implementations at second level. </w:t>
      </w:r>
      <w:r w:rsidRPr="00155160">
        <w:rPr>
          <w:rFonts w:ascii="Arial" w:hAnsi="Arial" w:cs="Arial"/>
          <w:i/>
          <w:iCs/>
          <w:color w:val="000000" w:themeColor="text1"/>
          <w:lang w:val="en-GB"/>
        </w:rPr>
        <w:t>British Journal of Educational Technology, 55</w:t>
      </w:r>
      <w:r w:rsidRPr="00155160">
        <w:rPr>
          <w:rFonts w:ascii="Arial" w:hAnsi="Arial" w:cs="Arial"/>
          <w:color w:val="000000" w:themeColor="text1"/>
          <w:lang w:val="en-GB"/>
        </w:rPr>
        <w:t xml:space="preserve">(1), 113–138. </w:t>
      </w:r>
      <w:hyperlink r:id="rId17" w:tgtFrame="_blank" w:history="1">
        <w:r w:rsidRPr="00155160">
          <w:rPr>
            <w:rStyle w:val="Hyperlink"/>
            <w:rFonts w:ascii="Arial" w:hAnsi="Arial" w:cs="Arial"/>
            <w:color w:val="000000" w:themeColor="text1"/>
            <w:lang w:val="en-GB"/>
          </w:rPr>
          <w:t>https://doi.org/10.1111/bjet.13328</w:t>
        </w:r>
      </w:hyperlink>
    </w:p>
    <w:p w14:paraId="77075C7A" w14:textId="7073BEA3" w:rsidR="009967E6" w:rsidRPr="00155160" w:rsidRDefault="00155160" w:rsidP="009967E6">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Burgstahler, S. E. (2015). </w:t>
      </w:r>
      <w:r w:rsidRPr="00155160">
        <w:rPr>
          <w:rFonts w:ascii="Arial" w:hAnsi="Arial" w:cs="Arial"/>
          <w:i/>
          <w:iCs/>
          <w:color w:val="000000" w:themeColor="text1"/>
          <w:lang w:val="en-GB"/>
        </w:rPr>
        <w:t>Universal design in higher education: From principles to practice</w:t>
      </w:r>
      <w:r w:rsidRPr="00155160">
        <w:rPr>
          <w:rFonts w:ascii="Arial" w:hAnsi="Arial" w:cs="Arial"/>
          <w:color w:val="000000" w:themeColor="text1"/>
          <w:lang w:val="en-GB"/>
        </w:rPr>
        <w:t xml:space="preserve"> (2nd ed.). Harvard Education Press.</w:t>
      </w:r>
    </w:p>
    <w:p w14:paraId="76F8730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Capp, M. J. (2020). The effectiveness of Universal Design for Learning: A meta-analysis of literature from 2014 to 2019. </w:t>
      </w:r>
      <w:r w:rsidRPr="00155160">
        <w:rPr>
          <w:rFonts w:ascii="Arial" w:hAnsi="Arial" w:cs="Arial"/>
          <w:i/>
          <w:iCs/>
          <w:color w:val="000000" w:themeColor="text1"/>
          <w:lang w:val="en-GB"/>
        </w:rPr>
        <w:t>Journal of Educational Psychology, 112</w:t>
      </w:r>
      <w:r w:rsidRPr="00155160">
        <w:rPr>
          <w:rFonts w:ascii="Arial" w:hAnsi="Arial" w:cs="Arial"/>
          <w:color w:val="000000" w:themeColor="text1"/>
          <w:lang w:val="en-GB"/>
        </w:rPr>
        <w:t xml:space="preserve">(8), 1561–176. </w:t>
      </w:r>
      <w:hyperlink r:id="rId18" w:tgtFrame="_blank" w:history="1">
        <w:r w:rsidRPr="00155160">
          <w:rPr>
            <w:rStyle w:val="Hyperlink"/>
            <w:rFonts w:ascii="Arial" w:hAnsi="Arial" w:cs="Arial"/>
            <w:color w:val="000000" w:themeColor="text1"/>
            <w:lang w:val="en-GB"/>
          </w:rPr>
          <w:t>https://doi.org/10.1037/edu0000476</w:t>
        </w:r>
      </w:hyperlink>
    </w:p>
    <w:p w14:paraId="3462D41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CAST. (2018). </w:t>
      </w:r>
      <w:r w:rsidRPr="00155160">
        <w:rPr>
          <w:rFonts w:ascii="Arial" w:hAnsi="Arial" w:cs="Arial"/>
          <w:i/>
          <w:iCs/>
          <w:color w:val="000000" w:themeColor="text1"/>
          <w:lang w:val="en-GB"/>
        </w:rPr>
        <w:t>Universal Design for Learning Guidelines (Version 2.2)</w:t>
      </w:r>
      <w:r w:rsidRPr="00155160">
        <w:rPr>
          <w:rFonts w:ascii="Arial" w:hAnsi="Arial" w:cs="Arial"/>
          <w:color w:val="000000" w:themeColor="text1"/>
          <w:lang w:val="en-GB"/>
        </w:rPr>
        <w:t xml:space="preserve">. </w:t>
      </w:r>
      <w:hyperlink r:id="rId19" w:tgtFrame="_blank" w:history="1">
        <w:r w:rsidRPr="00155160">
          <w:rPr>
            <w:rStyle w:val="Hyperlink"/>
            <w:rFonts w:ascii="Arial" w:hAnsi="Arial" w:cs="Arial"/>
            <w:color w:val="000000" w:themeColor="text1"/>
            <w:lang w:val="en-GB"/>
          </w:rPr>
          <w:t>http://udlguidelines.cast.org</w:t>
        </w:r>
      </w:hyperlink>
    </w:p>
    <w:p w14:paraId="4E6EBDA2" w14:textId="77777777" w:rsidR="00155160" w:rsidRPr="00155160" w:rsidRDefault="00155160" w:rsidP="005E276E">
      <w:pPr>
        <w:spacing w:line="360" w:lineRule="auto"/>
        <w:ind w:left="720" w:hanging="720"/>
        <w:rPr>
          <w:rFonts w:ascii="Arial" w:hAnsi="Arial" w:cs="Arial"/>
          <w:color w:val="000000" w:themeColor="text1"/>
          <w:lang w:val="pl-PL"/>
        </w:rPr>
      </w:pPr>
      <w:r w:rsidRPr="00155160">
        <w:rPr>
          <w:rFonts w:ascii="Arial" w:hAnsi="Arial" w:cs="Arial"/>
          <w:color w:val="000000" w:themeColor="text1"/>
          <w:lang w:val="en-GB"/>
        </w:rPr>
        <w:t xml:space="preserve">CAST. (2024). </w:t>
      </w:r>
      <w:r w:rsidRPr="00155160">
        <w:rPr>
          <w:rFonts w:ascii="Arial" w:hAnsi="Arial" w:cs="Arial"/>
          <w:i/>
          <w:iCs/>
          <w:color w:val="000000" w:themeColor="text1"/>
          <w:lang w:val="en-GB"/>
        </w:rPr>
        <w:t>About Universal Design for Learning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w:t>
      </w:r>
      <w:r w:rsidRPr="00155160">
        <w:rPr>
          <w:rFonts w:ascii="Arial" w:hAnsi="Arial" w:cs="Arial"/>
          <w:color w:val="000000" w:themeColor="text1"/>
          <w:lang w:val="en-GB"/>
        </w:rPr>
        <w:t xml:space="preserve">. </w:t>
      </w:r>
      <w:hyperlink r:id="rId20" w:tgtFrame="_blank" w:history="1">
        <w:r w:rsidRPr="00155160">
          <w:rPr>
            <w:rStyle w:val="Hyperlink"/>
            <w:rFonts w:ascii="Arial" w:hAnsi="Arial" w:cs="Arial"/>
            <w:color w:val="000000" w:themeColor="text1"/>
            <w:lang w:val="pl-PL"/>
          </w:rPr>
          <w:t>https://www.cast.org/impact/universal-design-for-learning-udl</w:t>
        </w:r>
      </w:hyperlink>
    </w:p>
    <w:p w14:paraId="096DDCC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Chadha, D., Inguva, S., Bui Le, C., &amp; Kogelbauer, A. (2023). </w:t>
      </w:r>
      <w:r w:rsidRPr="00155160">
        <w:rPr>
          <w:rFonts w:ascii="Arial" w:hAnsi="Arial" w:cs="Arial"/>
          <w:color w:val="000000" w:themeColor="text1"/>
          <w:lang w:val="en-GB"/>
        </w:rPr>
        <w:t xml:space="preserve">Students as partners in co-creating assessments in higher education: A systematic literature review. </w:t>
      </w:r>
      <w:r w:rsidRPr="00155160">
        <w:rPr>
          <w:rFonts w:ascii="Arial" w:hAnsi="Arial" w:cs="Arial"/>
          <w:i/>
          <w:iCs/>
          <w:color w:val="000000" w:themeColor="text1"/>
          <w:lang w:val="en-GB"/>
        </w:rPr>
        <w:t>International Journal for Students as Partners, 7</w:t>
      </w:r>
      <w:r w:rsidRPr="00155160">
        <w:rPr>
          <w:rFonts w:ascii="Arial" w:hAnsi="Arial" w:cs="Arial"/>
          <w:color w:val="000000" w:themeColor="text1"/>
          <w:lang w:val="en-GB"/>
        </w:rPr>
        <w:t xml:space="preserve">(2), 64–81. </w:t>
      </w:r>
      <w:hyperlink r:id="rId21" w:tgtFrame="_blank" w:history="1">
        <w:r w:rsidRPr="00155160">
          <w:rPr>
            <w:rStyle w:val="Hyperlink"/>
            <w:rFonts w:ascii="Arial" w:hAnsi="Arial" w:cs="Arial"/>
            <w:color w:val="000000" w:themeColor="text1"/>
            <w:lang w:val="en-GB"/>
          </w:rPr>
          <w:t>https://doi.org/10.15173/ijsap.v7i2.5312</w:t>
        </w:r>
      </w:hyperlink>
    </w:p>
    <w:p w14:paraId="56BC5BFE"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Clouder</w:t>
      </w:r>
      <w:proofErr w:type="spellEnd"/>
      <w:r w:rsidRPr="00155160">
        <w:rPr>
          <w:rFonts w:ascii="Arial" w:hAnsi="Arial" w:cs="Arial"/>
          <w:color w:val="000000" w:themeColor="text1"/>
          <w:lang w:val="en-GB"/>
        </w:rPr>
        <w:t xml:space="preserve">, L., Morris, K., Davies, P., Lag-Tokens, M., &amp; O’Neill, D. S. C. (2020). Neurodiversity in higher education: A narrative synthesis. </w:t>
      </w:r>
      <w:r w:rsidRPr="00155160">
        <w:rPr>
          <w:rFonts w:ascii="Arial" w:hAnsi="Arial" w:cs="Arial"/>
          <w:i/>
          <w:iCs/>
          <w:color w:val="000000" w:themeColor="text1"/>
          <w:lang w:val="en-GB"/>
        </w:rPr>
        <w:t>Higher Education, 80</w:t>
      </w:r>
      <w:r w:rsidRPr="00155160">
        <w:rPr>
          <w:rFonts w:ascii="Arial" w:hAnsi="Arial" w:cs="Arial"/>
          <w:color w:val="000000" w:themeColor="text1"/>
          <w:lang w:val="en-GB"/>
        </w:rPr>
        <w:t xml:space="preserve">(4), 757–778. </w:t>
      </w:r>
      <w:hyperlink r:id="rId22" w:tgtFrame="_blank" w:history="1">
        <w:r w:rsidRPr="00155160">
          <w:rPr>
            <w:rStyle w:val="Hyperlink"/>
            <w:rFonts w:ascii="Arial" w:hAnsi="Arial" w:cs="Arial"/>
            <w:color w:val="000000" w:themeColor="text1"/>
            <w:lang w:val="en-GB"/>
          </w:rPr>
          <w:t>https://doi.org/10.1007/s10734-020-00513-6</w:t>
        </w:r>
      </w:hyperlink>
    </w:p>
    <w:p w14:paraId="13220F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Cooper, R. (2023). </w:t>
      </w:r>
      <w:r w:rsidRPr="00155160">
        <w:rPr>
          <w:rFonts w:ascii="Arial" w:hAnsi="Arial" w:cs="Arial"/>
          <w:i/>
          <w:iCs/>
          <w:color w:val="000000" w:themeColor="text1"/>
          <w:lang w:val="en-GB"/>
        </w:rPr>
        <w:t>Neurodiversity and education</w:t>
      </w:r>
      <w:r w:rsidRPr="00155160">
        <w:rPr>
          <w:rFonts w:ascii="Arial" w:hAnsi="Arial" w:cs="Arial"/>
          <w:color w:val="000000" w:themeColor="text1"/>
          <w:lang w:val="en-GB"/>
        </w:rPr>
        <w:t>. Routledge.</w:t>
      </w:r>
    </w:p>
    <w:p w14:paraId="1CCB57C4"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Dell’Anna</w:t>
      </w:r>
      <w:proofErr w:type="spellEnd"/>
      <w:r w:rsidRPr="00155160">
        <w:rPr>
          <w:rFonts w:ascii="Arial" w:hAnsi="Arial" w:cs="Arial"/>
          <w:color w:val="000000" w:themeColor="text1"/>
          <w:lang w:val="en-GB"/>
        </w:rPr>
        <w:t xml:space="preserve">, S., Demo, H., &amp; Luppi, E. (2024). The role of leadership in implementing universal design for learning in Italian universities. </w:t>
      </w:r>
      <w:r w:rsidRPr="00155160">
        <w:rPr>
          <w:rFonts w:ascii="Arial" w:hAnsi="Arial" w:cs="Arial"/>
          <w:i/>
          <w:iCs/>
          <w:color w:val="000000" w:themeColor="text1"/>
          <w:lang w:val="en-GB"/>
        </w:rPr>
        <w:t>European Journal of Special Needs Education</w:t>
      </w:r>
      <w:r w:rsidRPr="00155160">
        <w:rPr>
          <w:rFonts w:ascii="Arial" w:hAnsi="Arial" w:cs="Arial"/>
          <w:color w:val="000000" w:themeColor="text1"/>
          <w:lang w:val="en-GB"/>
        </w:rPr>
        <w:t xml:space="preserve">, 1–16. </w:t>
      </w:r>
      <w:hyperlink r:id="rId23" w:tgtFrame="_blank" w:history="1">
        <w:r w:rsidRPr="00155160">
          <w:rPr>
            <w:rStyle w:val="Hyperlink"/>
            <w:rFonts w:ascii="Arial" w:hAnsi="Arial" w:cs="Arial"/>
            <w:color w:val="000000" w:themeColor="text1"/>
            <w:lang w:val="en-GB"/>
          </w:rPr>
          <w:t>https://doi.org/10.1080/08856257.2023.2295328</w:t>
        </w:r>
      </w:hyperlink>
    </w:p>
    <w:p w14:paraId="3FF2B64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Department for Education. (2017). </w:t>
      </w:r>
      <w:r w:rsidRPr="00155160">
        <w:rPr>
          <w:rFonts w:ascii="Arial" w:hAnsi="Arial" w:cs="Arial"/>
          <w:i/>
          <w:iCs/>
          <w:color w:val="000000" w:themeColor="text1"/>
          <w:lang w:val="en-GB"/>
        </w:rPr>
        <w:t>Inclusive teaching and learning in higher education: A review of the literature</w:t>
      </w:r>
      <w:r w:rsidRPr="00155160">
        <w:rPr>
          <w:rFonts w:ascii="Arial" w:hAnsi="Arial" w:cs="Arial"/>
          <w:color w:val="000000" w:themeColor="text1"/>
          <w:lang w:val="en-GB"/>
        </w:rPr>
        <w:t xml:space="preserve">. </w:t>
      </w:r>
      <w:hyperlink r:id="rId24" w:tgtFrame="_blank" w:history="1">
        <w:r w:rsidRPr="00155160">
          <w:rPr>
            <w:rStyle w:val="Hyperlink"/>
            <w:rFonts w:ascii="Arial" w:hAnsi="Arial" w:cs="Arial"/>
            <w:color w:val="000000" w:themeColor="text1"/>
            <w:lang w:val="en-GB"/>
          </w:rPr>
          <w:t>https://assets.publishing.service.gov.uk/media/5a802f43e5274a2e8ab4ead7/Inclusive_Teaching_and_Learning_in_Higher_Education_as_a_route_to-excellence.pdf</w:t>
        </w:r>
      </w:hyperlink>
    </w:p>
    <w:p w14:paraId="3A0BF1EB"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Dignath</w:t>
      </w:r>
      <w:proofErr w:type="spellEnd"/>
      <w:r w:rsidRPr="00155160">
        <w:rPr>
          <w:rFonts w:ascii="Arial" w:hAnsi="Arial" w:cs="Arial"/>
          <w:color w:val="000000" w:themeColor="text1"/>
          <w:lang w:val="en-GB"/>
        </w:rPr>
        <w:t xml:space="preserve">, A., </w:t>
      </w:r>
      <w:proofErr w:type="spellStart"/>
      <w:r w:rsidRPr="00155160">
        <w:rPr>
          <w:rFonts w:ascii="Arial" w:hAnsi="Arial" w:cs="Arial"/>
          <w:color w:val="000000" w:themeColor="text1"/>
          <w:lang w:val="en-GB"/>
        </w:rPr>
        <w:t>Rödle</w:t>
      </w:r>
      <w:proofErr w:type="spellEnd"/>
      <w:r w:rsidRPr="00155160">
        <w:rPr>
          <w:rFonts w:ascii="Arial" w:hAnsi="Arial" w:cs="Arial"/>
          <w:color w:val="000000" w:themeColor="text1"/>
          <w:lang w:val="en-GB"/>
        </w:rPr>
        <w:t xml:space="preserve">, F., &amp; Ramm, M. (2022). Why don’t you use it? A qualitative study on university </w:t>
      </w:r>
      <w:proofErr w:type="gramStart"/>
      <w:r w:rsidRPr="00155160">
        <w:rPr>
          <w:rFonts w:ascii="Arial" w:hAnsi="Arial" w:cs="Arial"/>
          <w:color w:val="000000" w:themeColor="text1"/>
          <w:lang w:val="en-GB"/>
        </w:rPr>
        <w:t>lecturers’</w:t>
      </w:r>
      <w:proofErr w:type="gramEnd"/>
      <w:r w:rsidRPr="00155160">
        <w:rPr>
          <w:rFonts w:ascii="Arial" w:hAnsi="Arial" w:cs="Arial"/>
          <w:color w:val="000000" w:themeColor="text1"/>
          <w:lang w:val="en-GB"/>
        </w:rPr>
        <w:t xml:space="preserve"> perceived barriers and enhancers for applying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w:t>
      </w:r>
      <w:r w:rsidRPr="00155160">
        <w:rPr>
          <w:rFonts w:ascii="Arial" w:hAnsi="Arial" w:cs="Arial"/>
          <w:i/>
          <w:iCs/>
          <w:color w:val="000000" w:themeColor="text1"/>
          <w:lang w:val="en-GB"/>
        </w:rPr>
        <w:t>Teaching in Higher Education</w:t>
      </w:r>
      <w:r w:rsidRPr="00155160">
        <w:rPr>
          <w:rFonts w:ascii="Arial" w:hAnsi="Arial" w:cs="Arial"/>
          <w:color w:val="000000" w:themeColor="text1"/>
          <w:lang w:val="en-GB"/>
        </w:rPr>
        <w:t xml:space="preserve">. </w:t>
      </w:r>
      <w:hyperlink r:id="rId25" w:tgtFrame="_blank" w:history="1">
        <w:r w:rsidRPr="00155160">
          <w:rPr>
            <w:rStyle w:val="Hyperlink"/>
            <w:rFonts w:ascii="Arial" w:hAnsi="Arial" w:cs="Arial"/>
            <w:color w:val="000000" w:themeColor="text1"/>
            <w:lang w:val="en-GB"/>
          </w:rPr>
          <w:t>https://doi.org/10.1080/13562517.2022.2144883</w:t>
        </w:r>
      </w:hyperlink>
    </w:p>
    <w:p w14:paraId="774C975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(2023). </w:t>
      </w:r>
      <w:r w:rsidRPr="00155160">
        <w:rPr>
          <w:rFonts w:ascii="Arial" w:hAnsi="Arial" w:cs="Arial"/>
          <w:i/>
          <w:iCs/>
          <w:color w:val="000000" w:themeColor="text1"/>
          <w:lang w:val="en-GB"/>
        </w:rPr>
        <w:t>Access insights 2023 report</w:t>
      </w:r>
      <w:r w:rsidRPr="00155160">
        <w:rPr>
          <w:rFonts w:ascii="Arial" w:hAnsi="Arial" w:cs="Arial"/>
          <w:color w:val="000000" w:themeColor="text1"/>
          <w:lang w:val="en-GB"/>
        </w:rPr>
        <w:t xml:space="preserve">. </w:t>
      </w:r>
      <w:hyperlink r:id="rId26" w:tgtFrame="_blank" w:history="1">
        <w:r w:rsidRPr="00155160">
          <w:rPr>
            <w:rStyle w:val="Hyperlink"/>
            <w:rFonts w:ascii="Arial" w:hAnsi="Arial" w:cs="Arial"/>
            <w:color w:val="000000" w:themeColor="text1"/>
            <w:lang w:val="en-GB"/>
          </w:rPr>
          <w:t>https://disabledstudents.co.uk/research/access-insights-2023-report/</w:t>
        </w:r>
      </w:hyperlink>
    </w:p>
    <w:p w14:paraId="5055DB3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(2024a). </w:t>
      </w:r>
      <w:r w:rsidRPr="00155160">
        <w:rPr>
          <w:rFonts w:ascii="Arial" w:hAnsi="Arial" w:cs="Arial"/>
          <w:i/>
          <w:iCs/>
          <w:color w:val="000000" w:themeColor="text1"/>
          <w:lang w:val="en-GB"/>
        </w:rPr>
        <w:t>Disabled students manifesto</w:t>
      </w:r>
      <w:r w:rsidRPr="00155160">
        <w:rPr>
          <w:rFonts w:ascii="Arial" w:hAnsi="Arial" w:cs="Arial"/>
          <w:color w:val="000000" w:themeColor="text1"/>
          <w:lang w:val="en-GB"/>
        </w:rPr>
        <w:t xml:space="preserve">. </w:t>
      </w:r>
      <w:hyperlink r:id="rId27" w:tgtFrame="_blank" w:history="1">
        <w:r w:rsidRPr="00155160">
          <w:rPr>
            <w:rStyle w:val="Hyperlink"/>
            <w:rFonts w:ascii="Arial" w:hAnsi="Arial" w:cs="Arial"/>
            <w:color w:val="000000" w:themeColor="text1"/>
            <w:lang w:val="en-GB"/>
          </w:rPr>
          <w:t>https://disabledstudents.co.uk/manifesto/</w:t>
        </w:r>
      </w:hyperlink>
    </w:p>
    <w:p w14:paraId="08C6957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Disabled Students UK. (2024b). </w:t>
      </w:r>
      <w:r w:rsidRPr="00155160">
        <w:rPr>
          <w:rFonts w:ascii="Arial" w:hAnsi="Arial" w:cs="Arial"/>
          <w:i/>
          <w:iCs/>
          <w:color w:val="000000" w:themeColor="text1"/>
          <w:lang w:val="en-GB"/>
        </w:rPr>
        <w:t>The 2024 Access Insights report</w:t>
      </w:r>
      <w:r w:rsidRPr="00155160">
        <w:rPr>
          <w:rFonts w:ascii="Arial" w:hAnsi="Arial" w:cs="Arial"/>
          <w:color w:val="000000" w:themeColor="text1"/>
          <w:lang w:val="en-GB"/>
        </w:rPr>
        <w:t xml:space="preserve">. </w:t>
      </w:r>
      <w:hyperlink r:id="rId28" w:tgtFrame="_blank" w:history="1">
        <w:r w:rsidRPr="00155160">
          <w:rPr>
            <w:rStyle w:val="Hyperlink"/>
            <w:rFonts w:ascii="Arial" w:hAnsi="Arial" w:cs="Arial"/>
            <w:color w:val="000000" w:themeColor="text1"/>
            <w:lang w:val="en-GB"/>
          </w:rPr>
          <w:t>https://disabledstudents.co.uk/research/the-2024-access-insights-report/</w:t>
        </w:r>
      </w:hyperlink>
    </w:p>
    <w:p w14:paraId="45616FB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Divan, A., Ludwig, L., Matthews, K., &amp; Milburn, J. (2022). The role of higher education in promoting social mobility and reducing inequality. </w:t>
      </w:r>
      <w:r w:rsidRPr="00155160">
        <w:rPr>
          <w:rFonts w:ascii="Arial" w:hAnsi="Arial" w:cs="Arial"/>
          <w:i/>
          <w:iCs/>
          <w:color w:val="000000" w:themeColor="text1"/>
          <w:lang w:val="en-GB"/>
        </w:rPr>
        <w:t>British Educational Research Journal, 48</w:t>
      </w:r>
      <w:r w:rsidRPr="00155160">
        <w:rPr>
          <w:rFonts w:ascii="Arial" w:hAnsi="Arial" w:cs="Arial"/>
          <w:color w:val="000000" w:themeColor="text1"/>
          <w:lang w:val="en-GB"/>
        </w:rPr>
        <w:t xml:space="preserve">(5), 843–860. </w:t>
      </w:r>
      <w:hyperlink r:id="rId29" w:tgtFrame="_blank" w:history="1">
        <w:r w:rsidRPr="00155160">
          <w:rPr>
            <w:rStyle w:val="Hyperlink"/>
            <w:rFonts w:ascii="Arial" w:hAnsi="Arial" w:cs="Arial"/>
            <w:color w:val="000000" w:themeColor="text1"/>
            <w:lang w:val="en-GB"/>
          </w:rPr>
          <w:t>https://doi.org/10.1002/berj.3793</w:t>
        </w:r>
      </w:hyperlink>
    </w:p>
    <w:p w14:paraId="4608A09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Douce, C. (2007). </w:t>
      </w:r>
      <w:r w:rsidRPr="00155160">
        <w:rPr>
          <w:rFonts w:ascii="Arial" w:hAnsi="Arial" w:cs="Arial"/>
          <w:i/>
          <w:iCs/>
          <w:color w:val="000000" w:themeColor="text1"/>
          <w:lang w:val="en-GB"/>
        </w:rPr>
        <w:t xml:space="preserve">Creating accessible SCORM content from </w:t>
      </w:r>
      <w:proofErr w:type="spellStart"/>
      <w:r w:rsidRPr="00155160">
        <w:rPr>
          <w:rFonts w:ascii="Arial" w:hAnsi="Arial" w:cs="Arial"/>
          <w:i/>
          <w:iCs/>
          <w:color w:val="000000" w:themeColor="text1"/>
          <w:lang w:val="en-GB"/>
        </w:rPr>
        <w:t>OpenLearn</w:t>
      </w:r>
      <w:proofErr w:type="spellEnd"/>
      <w:r w:rsidRPr="00155160">
        <w:rPr>
          <w:rFonts w:ascii="Arial" w:hAnsi="Arial" w:cs="Arial"/>
          <w:i/>
          <w:iCs/>
          <w:color w:val="000000" w:themeColor="text1"/>
          <w:lang w:val="en-GB"/>
        </w:rPr>
        <w:t xml:space="preserve"> material (Extract)</w:t>
      </w:r>
      <w:r w:rsidRPr="00155160">
        <w:rPr>
          <w:rFonts w:ascii="Arial" w:hAnsi="Arial" w:cs="Arial"/>
          <w:color w:val="000000" w:themeColor="text1"/>
          <w:lang w:val="en-GB"/>
        </w:rPr>
        <w:t xml:space="preserve">. The Open University. </w:t>
      </w:r>
      <w:hyperlink r:id="rId30" w:tgtFrame="_blank" w:history="1">
        <w:r w:rsidRPr="00155160">
          <w:rPr>
            <w:rStyle w:val="Hyperlink"/>
            <w:rFonts w:ascii="Arial" w:hAnsi="Arial" w:cs="Arial"/>
            <w:color w:val="000000" w:themeColor="text1"/>
            <w:lang w:val="en-GB"/>
          </w:rPr>
          <w:t>https://oro.open.ac.uk/24938/</w:t>
        </w:r>
      </w:hyperlink>
    </w:p>
    <w:p w14:paraId="5406AA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Eccles, S., Jain, N. R., &amp; Madaus, J. W. (2018). The disclosure dilemma: A critical review of the literature on disability disclosure in higher education. </w:t>
      </w:r>
      <w:r w:rsidRPr="00155160">
        <w:rPr>
          <w:rFonts w:ascii="Arial" w:hAnsi="Arial" w:cs="Arial"/>
          <w:i/>
          <w:iCs/>
          <w:color w:val="000000" w:themeColor="text1"/>
          <w:lang w:val="en-GB"/>
        </w:rPr>
        <w:t>Journal of Postsecondary Education and Disability, 31</w:t>
      </w:r>
      <w:r w:rsidRPr="00155160">
        <w:rPr>
          <w:rFonts w:ascii="Arial" w:hAnsi="Arial" w:cs="Arial"/>
          <w:color w:val="000000" w:themeColor="text1"/>
          <w:lang w:val="en-GB"/>
        </w:rPr>
        <w:t xml:space="preserve">(2), 115–129. </w:t>
      </w:r>
      <w:hyperlink r:id="rId31" w:tgtFrame="_blank" w:history="1">
        <w:r w:rsidRPr="00155160">
          <w:rPr>
            <w:rStyle w:val="Hyperlink"/>
            <w:rFonts w:ascii="Arial" w:hAnsi="Arial" w:cs="Arial"/>
            <w:color w:val="000000" w:themeColor="text1"/>
            <w:lang w:val="en-GB"/>
          </w:rPr>
          <w:t>https://files.eric.ed.gov/fulltext/EJ1186255.pdf</w:t>
        </w:r>
      </w:hyperlink>
    </w:p>
    <w:p w14:paraId="1EB4FC0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Economics Observatory. (2024, February 20). </w:t>
      </w:r>
      <w:r w:rsidRPr="00155160">
        <w:rPr>
          <w:rFonts w:ascii="Arial" w:hAnsi="Arial" w:cs="Arial"/>
          <w:i/>
          <w:iCs/>
          <w:color w:val="000000" w:themeColor="text1"/>
          <w:lang w:val="en-GB"/>
        </w:rPr>
        <w:t>How has the value of university tuition fees in England changed over time?</w:t>
      </w:r>
      <w:r w:rsidRPr="00155160">
        <w:rPr>
          <w:rFonts w:ascii="Arial" w:hAnsi="Arial" w:cs="Arial"/>
          <w:color w:val="000000" w:themeColor="text1"/>
          <w:lang w:val="en-GB"/>
        </w:rPr>
        <w:t xml:space="preserve"> </w:t>
      </w:r>
      <w:hyperlink r:id="rId32" w:tgtFrame="_blank" w:history="1">
        <w:r w:rsidRPr="00155160">
          <w:rPr>
            <w:rStyle w:val="Hyperlink"/>
            <w:rFonts w:ascii="Arial" w:hAnsi="Arial" w:cs="Arial"/>
            <w:color w:val="000000" w:themeColor="text1"/>
            <w:lang w:val="en-GB"/>
          </w:rPr>
          <w:t>https://www.economicsobservatory.com/how-has-the-value-of-university-tuition-fees-in-england-changed-over-time</w:t>
        </w:r>
      </w:hyperlink>
    </w:p>
    <w:p w14:paraId="203632B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Espada-Chavarría, R., Pérez-Paredes, P., &amp; Sánchez-Hernández, M. D. (2023). Universal design for learning in higher education: A systematic review. </w:t>
      </w:r>
      <w:r w:rsidRPr="00155160">
        <w:rPr>
          <w:rFonts w:ascii="Arial" w:hAnsi="Arial" w:cs="Arial"/>
          <w:i/>
          <w:iCs/>
          <w:color w:val="000000" w:themeColor="text1"/>
          <w:lang w:val="en-GB"/>
        </w:rPr>
        <w:t>Education Sciences, 13</w:t>
      </w:r>
      <w:r w:rsidRPr="00155160">
        <w:rPr>
          <w:rFonts w:ascii="Arial" w:hAnsi="Arial" w:cs="Arial"/>
          <w:color w:val="000000" w:themeColor="text1"/>
          <w:lang w:val="en-GB"/>
        </w:rPr>
        <w:t xml:space="preserve">(9), 920. </w:t>
      </w:r>
      <w:hyperlink r:id="rId33" w:tgtFrame="_blank" w:history="1">
        <w:r w:rsidRPr="00155160">
          <w:rPr>
            <w:rStyle w:val="Hyperlink"/>
            <w:rFonts w:ascii="Arial" w:hAnsi="Arial" w:cs="Arial"/>
            <w:color w:val="000000" w:themeColor="text1"/>
            <w:lang w:val="en-GB"/>
          </w:rPr>
          <w:t>https://doi.org/10.3390/educsci13090920</w:t>
        </w:r>
      </w:hyperlink>
    </w:p>
    <w:p w14:paraId="5A44BF4B"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Fia, M., Ghasemzadeh, K., &amp; Paletta, A. (2023). How higher education institutions walk their talk on the 2030 Agenda: A systematic literature review. </w:t>
      </w:r>
      <w:r w:rsidRPr="00155160">
        <w:rPr>
          <w:rFonts w:ascii="Arial" w:hAnsi="Arial" w:cs="Arial"/>
          <w:i/>
          <w:iCs/>
          <w:color w:val="000000" w:themeColor="text1"/>
          <w:lang w:val="en-GB"/>
        </w:rPr>
        <w:t>Higher Education Policy, 36</w:t>
      </w:r>
      <w:r w:rsidRPr="00155160">
        <w:rPr>
          <w:rFonts w:ascii="Arial" w:hAnsi="Arial" w:cs="Arial"/>
          <w:color w:val="000000" w:themeColor="text1"/>
          <w:lang w:val="en-GB"/>
        </w:rPr>
        <w:t xml:space="preserve">, 513–535. </w:t>
      </w:r>
      <w:hyperlink r:id="rId34" w:tgtFrame="_blank" w:history="1">
        <w:r w:rsidRPr="00155160">
          <w:rPr>
            <w:rStyle w:val="Hyperlink"/>
            <w:rFonts w:ascii="Arial" w:hAnsi="Arial" w:cs="Arial"/>
            <w:color w:val="000000" w:themeColor="text1"/>
            <w:lang w:val="en-GB"/>
          </w:rPr>
          <w:t>https://doi.org/10.1057/s41307-022-00277-x</w:t>
        </w:r>
      </w:hyperlink>
    </w:p>
    <w:p w14:paraId="1A6B83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Galvin, T. (2024).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provides equitable opportunities for diverse STEM learners. </w:t>
      </w:r>
      <w:r w:rsidRPr="00155160">
        <w:rPr>
          <w:rFonts w:ascii="Arial" w:hAnsi="Arial" w:cs="Arial"/>
          <w:i/>
          <w:iCs/>
          <w:color w:val="000000" w:themeColor="text1"/>
          <w:lang w:val="en-GB"/>
        </w:rPr>
        <w:t>AISHE-J, 16</w:t>
      </w:r>
      <w:r w:rsidRPr="00155160">
        <w:rPr>
          <w:rFonts w:ascii="Arial" w:hAnsi="Arial" w:cs="Arial"/>
          <w:color w:val="000000" w:themeColor="text1"/>
          <w:lang w:val="en-GB"/>
        </w:rPr>
        <w:t xml:space="preserve">(2). </w:t>
      </w:r>
      <w:hyperlink r:id="rId35" w:tgtFrame="_blank" w:history="1">
        <w:r w:rsidRPr="00155160">
          <w:rPr>
            <w:rStyle w:val="Hyperlink"/>
            <w:rFonts w:ascii="Arial" w:hAnsi="Arial" w:cs="Arial"/>
            <w:color w:val="000000" w:themeColor="text1"/>
            <w:lang w:val="en-GB"/>
          </w:rPr>
          <w:t>https://doi.org/10.21427/H4RK-NC66</w:t>
        </w:r>
      </w:hyperlink>
    </w:p>
    <w:p w14:paraId="2993400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GOV.UK. (2018). </w:t>
      </w:r>
      <w:r w:rsidRPr="00155160">
        <w:rPr>
          <w:rFonts w:ascii="Arial" w:hAnsi="Arial" w:cs="Arial"/>
          <w:i/>
          <w:iCs/>
          <w:color w:val="000000" w:themeColor="text1"/>
          <w:lang w:val="en-GB"/>
        </w:rPr>
        <w:t>The Public Sector Bodies (Websites and Mobile Applications) (No. 2) Accessibility Regulations 2018</w:t>
      </w:r>
      <w:r w:rsidRPr="00155160">
        <w:rPr>
          <w:rFonts w:ascii="Arial" w:hAnsi="Arial" w:cs="Arial"/>
          <w:color w:val="000000" w:themeColor="text1"/>
          <w:lang w:val="en-GB"/>
        </w:rPr>
        <w:t xml:space="preserve">. </w:t>
      </w:r>
      <w:hyperlink r:id="rId36" w:tgtFrame="_blank" w:history="1">
        <w:r w:rsidRPr="00155160">
          <w:rPr>
            <w:rStyle w:val="Hyperlink"/>
            <w:rFonts w:ascii="Arial" w:hAnsi="Arial" w:cs="Arial"/>
            <w:color w:val="000000" w:themeColor="text1"/>
            <w:lang w:val="en-GB"/>
          </w:rPr>
          <w:t>https://www.legislation.gov.uk/uksi/2018/952/contents/made</w:t>
        </w:r>
      </w:hyperlink>
    </w:p>
    <w:p w14:paraId="110BB2E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Government Digital Service. (2018, August 31). </w:t>
      </w:r>
      <w:r w:rsidRPr="00155160">
        <w:rPr>
          <w:rFonts w:ascii="Arial" w:hAnsi="Arial" w:cs="Arial"/>
          <w:i/>
          <w:iCs/>
          <w:color w:val="000000" w:themeColor="text1"/>
          <w:lang w:val="en-GB"/>
        </w:rPr>
        <w:t>Making your service more inclusive</w:t>
      </w:r>
      <w:r w:rsidRPr="00155160">
        <w:rPr>
          <w:rFonts w:ascii="Arial" w:hAnsi="Arial" w:cs="Arial"/>
          <w:color w:val="000000" w:themeColor="text1"/>
          <w:lang w:val="en-GB"/>
        </w:rPr>
        <w:t xml:space="preserve">. GDS Way. </w:t>
      </w:r>
      <w:hyperlink r:id="rId37" w:tgtFrame="_blank" w:history="1">
        <w:r w:rsidRPr="00155160">
          <w:rPr>
            <w:rStyle w:val="Hyperlink"/>
            <w:rFonts w:ascii="Arial" w:hAnsi="Arial" w:cs="Arial"/>
            <w:color w:val="000000" w:themeColor="text1"/>
            <w:lang w:val="en-GB"/>
          </w:rPr>
          <w:t>https://gds.blog.gov.uk/2018/08/31/making-your-service-more-inclusive/</w:t>
        </w:r>
      </w:hyperlink>
    </w:p>
    <w:p w14:paraId="08DBB69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Graham, A., Med-Moussa, M., &amp; Thompson, K. (2021). The impact of COVID-19 on the transition to university: A study of student preparedness and academic readiness. </w:t>
      </w:r>
      <w:r w:rsidRPr="00155160">
        <w:rPr>
          <w:rFonts w:ascii="Arial" w:hAnsi="Arial" w:cs="Arial"/>
          <w:i/>
          <w:iCs/>
          <w:color w:val="000000" w:themeColor="text1"/>
          <w:lang w:val="en-GB"/>
        </w:rPr>
        <w:t>Journal of Further and Higher Education, 45</w:t>
      </w:r>
      <w:r w:rsidRPr="00155160">
        <w:rPr>
          <w:rFonts w:ascii="Arial" w:hAnsi="Arial" w:cs="Arial"/>
          <w:color w:val="000000" w:themeColor="text1"/>
          <w:lang w:val="en-GB"/>
        </w:rPr>
        <w:t xml:space="preserve">(10), 1354–1368. </w:t>
      </w:r>
      <w:hyperlink r:id="rId38" w:tgtFrame="_blank" w:history="1">
        <w:r w:rsidRPr="00155160">
          <w:rPr>
            <w:rStyle w:val="Hyperlink"/>
            <w:rFonts w:ascii="Arial" w:hAnsi="Arial" w:cs="Arial"/>
            <w:color w:val="000000" w:themeColor="text1"/>
            <w:lang w:val="en-GB"/>
          </w:rPr>
          <w:t>https://doi.org/10.1080/0309877X.2021.1902573</w:t>
        </w:r>
      </w:hyperlink>
    </w:p>
    <w:p w14:paraId="6FF7A04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Grant, M. J., &amp; Booth, A. (2009). A typology of reviews: An analysis of 14 review types and associated methodologies. </w:t>
      </w:r>
      <w:r w:rsidRPr="00155160">
        <w:rPr>
          <w:rFonts w:ascii="Arial" w:hAnsi="Arial" w:cs="Arial"/>
          <w:i/>
          <w:iCs/>
          <w:color w:val="000000" w:themeColor="text1"/>
          <w:lang w:val="en-GB"/>
        </w:rPr>
        <w:t>Health Information &amp; Libraries Journal, 26</w:t>
      </w:r>
      <w:r w:rsidRPr="00155160">
        <w:rPr>
          <w:rFonts w:ascii="Arial" w:hAnsi="Arial" w:cs="Arial"/>
          <w:color w:val="000000" w:themeColor="text1"/>
          <w:lang w:val="en-GB"/>
        </w:rPr>
        <w:t xml:space="preserve">(2), 91–108. </w:t>
      </w:r>
      <w:hyperlink r:id="rId39" w:tgtFrame="_blank" w:history="1">
        <w:r w:rsidRPr="00155160">
          <w:rPr>
            <w:rStyle w:val="Hyperlink"/>
            <w:rFonts w:ascii="Arial" w:hAnsi="Arial" w:cs="Arial"/>
            <w:color w:val="000000" w:themeColor="text1"/>
            <w:lang w:val="en-GB"/>
          </w:rPr>
          <w:t>https://doi.org/10.1111/j.1471-1842.2009.00848.x</w:t>
        </w:r>
      </w:hyperlink>
    </w:p>
    <w:p w14:paraId="35C0A72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Grayson, R. (2024). </w:t>
      </w:r>
      <w:r w:rsidRPr="00155160">
        <w:rPr>
          <w:rFonts w:ascii="Arial" w:hAnsi="Arial" w:cs="Arial"/>
          <w:i/>
          <w:iCs/>
          <w:color w:val="000000" w:themeColor="text1"/>
          <w:lang w:val="en-GB"/>
        </w:rPr>
        <w:t>The audit culture in UK higher education and its impact on academic practice</w:t>
      </w:r>
      <w:r w:rsidRPr="00155160">
        <w:rPr>
          <w:rFonts w:ascii="Arial" w:hAnsi="Arial" w:cs="Arial"/>
          <w:color w:val="000000" w:themeColor="text1"/>
          <w:lang w:val="en-GB"/>
        </w:rPr>
        <w:t>. Palgrave Macmillan.</w:t>
      </w:r>
    </w:p>
    <w:p w14:paraId="3AD996C7"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Griful-Freixenet</w:t>
      </w:r>
      <w:proofErr w:type="spellEnd"/>
      <w:r w:rsidRPr="00155160">
        <w:rPr>
          <w:rFonts w:ascii="Arial" w:hAnsi="Arial" w:cs="Arial"/>
          <w:color w:val="000000" w:themeColor="text1"/>
          <w:lang w:val="en-GB"/>
        </w:rPr>
        <w:t xml:space="preserve">, J., </w:t>
      </w:r>
      <w:proofErr w:type="spellStart"/>
      <w:r w:rsidRPr="00155160">
        <w:rPr>
          <w:rFonts w:ascii="Arial" w:hAnsi="Arial" w:cs="Arial"/>
          <w:color w:val="000000" w:themeColor="text1"/>
          <w:lang w:val="en-GB"/>
        </w:rPr>
        <w:t>Struyven</w:t>
      </w:r>
      <w:proofErr w:type="spellEnd"/>
      <w:r w:rsidRPr="00155160">
        <w:rPr>
          <w:rFonts w:ascii="Arial" w:hAnsi="Arial" w:cs="Arial"/>
          <w:color w:val="000000" w:themeColor="text1"/>
          <w:lang w:val="en-GB"/>
        </w:rPr>
        <w:t xml:space="preserve">, K., </w:t>
      </w:r>
      <w:proofErr w:type="spellStart"/>
      <w:r w:rsidRPr="00155160">
        <w:rPr>
          <w:rFonts w:ascii="Arial" w:hAnsi="Arial" w:cs="Arial"/>
          <w:color w:val="000000" w:themeColor="text1"/>
          <w:lang w:val="en-GB"/>
        </w:rPr>
        <w:t>Vantourout</w:t>
      </w:r>
      <w:proofErr w:type="spellEnd"/>
      <w:r w:rsidRPr="00155160">
        <w:rPr>
          <w:rFonts w:ascii="Arial" w:hAnsi="Arial" w:cs="Arial"/>
          <w:color w:val="000000" w:themeColor="text1"/>
          <w:lang w:val="en-GB"/>
        </w:rPr>
        <w:t xml:space="preserve">, M., &amp; </w:t>
      </w:r>
      <w:proofErr w:type="spellStart"/>
      <w:r w:rsidRPr="00155160">
        <w:rPr>
          <w:rFonts w:ascii="Arial" w:hAnsi="Arial" w:cs="Arial"/>
          <w:color w:val="000000" w:themeColor="text1"/>
          <w:lang w:val="en-GB"/>
        </w:rPr>
        <w:t>Verstichele</w:t>
      </w:r>
      <w:proofErr w:type="spellEnd"/>
      <w:r w:rsidRPr="00155160">
        <w:rPr>
          <w:rFonts w:ascii="Arial" w:hAnsi="Arial" w:cs="Arial"/>
          <w:color w:val="000000" w:themeColor="text1"/>
          <w:lang w:val="en-GB"/>
        </w:rPr>
        <w:t xml:space="preserve">, L. (2020). A systematic review of the literature on universal design in higher education. </w:t>
      </w:r>
      <w:r w:rsidRPr="00155160">
        <w:rPr>
          <w:rFonts w:ascii="Arial" w:hAnsi="Arial" w:cs="Arial"/>
          <w:i/>
          <w:iCs/>
          <w:color w:val="000000" w:themeColor="text1"/>
          <w:lang w:val="en-GB"/>
        </w:rPr>
        <w:t>Higher Education Research &amp; Development, 39</w:t>
      </w:r>
      <w:r w:rsidRPr="00155160">
        <w:rPr>
          <w:rFonts w:ascii="Arial" w:hAnsi="Arial" w:cs="Arial"/>
          <w:color w:val="000000" w:themeColor="text1"/>
          <w:lang w:val="en-GB"/>
        </w:rPr>
        <w:t xml:space="preserve">(5), 855–872. </w:t>
      </w:r>
      <w:hyperlink r:id="rId40" w:tgtFrame="_blank" w:history="1">
        <w:r w:rsidRPr="00155160">
          <w:rPr>
            <w:rStyle w:val="Hyperlink"/>
            <w:rFonts w:ascii="Arial" w:hAnsi="Arial" w:cs="Arial"/>
            <w:color w:val="000000" w:themeColor="text1"/>
            <w:lang w:val="en-GB"/>
          </w:rPr>
          <w:t>https://doi.org/10.1080/07294360.2019.1692576</w:t>
        </w:r>
      </w:hyperlink>
    </w:p>
    <w:p w14:paraId="487A23B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Hakel, K., D’Souza, S., &amp; Ho, S. (2024). The impact of universal design for learning on student engagement and success in a large-enrolment introductory science course. </w:t>
      </w:r>
      <w:r w:rsidRPr="00155160">
        <w:rPr>
          <w:rFonts w:ascii="Arial" w:hAnsi="Arial" w:cs="Arial"/>
          <w:i/>
          <w:iCs/>
          <w:color w:val="000000" w:themeColor="text1"/>
          <w:lang w:val="en-GB"/>
        </w:rPr>
        <w:t>Journal of College Science Teaching, 53</w:t>
      </w:r>
      <w:r w:rsidRPr="00155160">
        <w:rPr>
          <w:rFonts w:ascii="Arial" w:hAnsi="Arial" w:cs="Arial"/>
          <w:color w:val="000000" w:themeColor="text1"/>
          <w:lang w:val="en-GB"/>
        </w:rPr>
        <w:t>(3), 45–54.</w:t>
      </w:r>
    </w:p>
    <w:p w14:paraId="7C9128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Higher Education Policy Institute. (2024, January 18). </w:t>
      </w:r>
      <w:r w:rsidRPr="00155160">
        <w:rPr>
          <w:rFonts w:ascii="Arial" w:hAnsi="Arial" w:cs="Arial"/>
          <w:i/>
          <w:iCs/>
          <w:color w:val="000000" w:themeColor="text1"/>
          <w:lang w:val="en-GB"/>
        </w:rPr>
        <w:t>The financial health of the UK higher education sector: It is worse than people think</w:t>
      </w:r>
      <w:r w:rsidRPr="00155160">
        <w:rPr>
          <w:rFonts w:ascii="Arial" w:hAnsi="Arial" w:cs="Arial"/>
          <w:color w:val="000000" w:themeColor="text1"/>
          <w:lang w:val="en-GB"/>
        </w:rPr>
        <w:t xml:space="preserve">. </w:t>
      </w:r>
      <w:hyperlink r:id="rId41" w:tgtFrame="_blank" w:history="1">
        <w:r w:rsidRPr="00155160">
          <w:rPr>
            <w:rStyle w:val="Hyperlink"/>
            <w:rFonts w:ascii="Arial" w:hAnsi="Arial" w:cs="Arial"/>
            <w:color w:val="000000" w:themeColor="text1"/>
            <w:lang w:val="en-GB"/>
          </w:rPr>
          <w:t>https://www.hepi.ac.uk/2024/01/18/the-financial-health-of-the-uk-higher-education-sector-it-is-worse-than-people-think/</w:t>
        </w:r>
      </w:hyperlink>
    </w:p>
    <w:p w14:paraId="67DDACD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Hills, M., Overend, A., &amp; Hildebrandt, S. (2022). Faculty perspectives on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Enablers and barriers to implementation. </w:t>
      </w:r>
      <w:r w:rsidRPr="00155160">
        <w:rPr>
          <w:rFonts w:ascii="Arial" w:hAnsi="Arial" w:cs="Arial"/>
          <w:i/>
          <w:iCs/>
          <w:color w:val="000000" w:themeColor="text1"/>
          <w:lang w:val="en-GB"/>
        </w:rPr>
        <w:t>The Canadian Journal for the Scholarship of Teaching and Learning, 13</w:t>
      </w:r>
      <w:r w:rsidRPr="00155160">
        <w:rPr>
          <w:rFonts w:ascii="Arial" w:hAnsi="Arial" w:cs="Arial"/>
          <w:color w:val="000000" w:themeColor="text1"/>
          <w:lang w:val="en-GB"/>
        </w:rPr>
        <w:t xml:space="preserve">(1), Article 13. </w:t>
      </w:r>
      <w:hyperlink r:id="rId42" w:tgtFrame="_blank" w:history="1">
        <w:r w:rsidRPr="00155160">
          <w:rPr>
            <w:rStyle w:val="Hyperlink"/>
            <w:rFonts w:ascii="Arial" w:hAnsi="Arial" w:cs="Arial"/>
            <w:color w:val="000000" w:themeColor="text1"/>
            <w:lang w:val="en-GB"/>
          </w:rPr>
          <w:t>https://doi.org/10.5206/cjsotl-rcacea.2022.1.13588</w:t>
        </w:r>
      </w:hyperlink>
    </w:p>
    <w:p w14:paraId="3E3C08D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Hockings, C. (2010). </w:t>
      </w:r>
      <w:r w:rsidRPr="00155160">
        <w:rPr>
          <w:rFonts w:ascii="Arial" w:hAnsi="Arial" w:cs="Arial"/>
          <w:i/>
          <w:iCs/>
          <w:color w:val="000000" w:themeColor="text1"/>
          <w:lang w:val="en-GB"/>
        </w:rPr>
        <w:t>Inclusive learning and teaching in higher education: A synthesis of research</w:t>
      </w:r>
      <w:r w:rsidRPr="00155160">
        <w:rPr>
          <w:rFonts w:ascii="Arial" w:hAnsi="Arial" w:cs="Arial"/>
          <w:color w:val="000000" w:themeColor="text1"/>
          <w:lang w:val="en-GB"/>
        </w:rPr>
        <w:t xml:space="preserve">. Higher Education Academy. </w:t>
      </w:r>
      <w:hyperlink r:id="rId43" w:tgtFrame="_blank" w:history="1">
        <w:r w:rsidRPr="00155160">
          <w:rPr>
            <w:rStyle w:val="Hyperlink"/>
            <w:rFonts w:ascii="Arial" w:hAnsi="Arial" w:cs="Arial"/>
            <w:color w:val="000000" w:themeColor="text1"/>
            <w:lang w:val="en-GB"/>
          </w:rPr>
          <w:t>https://www.advance-he.ac.uk/knowledge-hub/inclusive-learning-and-teaching-higher-education-synthesis-research</w:t>
        </w:r>
      </w:hyperlink>
    </w:p>
    <w:p w14:paraId="202D3445"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Hockings, C., Brett, P., &amp; </w:t>
      </w:r>
      <w:proofErr w:type="spellStart"/>
      <w:r w:rsidRPr="00155160">
        <w:rPr>
          <w:rFonts w:ascii="Arial" w:hAnsi="Arial" w:cs="Arial"/>
          <w:color w:val="000000" w:themeColor="text1"/>
          <w:lang w:val="en-GB"/>
        </w:rPr>
        <w:t>Terentjevs</w:t>
      </w:r>
      <w:proofErr w:type="spellEnd"/>
      <w:r w:rsidRPr="00155160">
        <w:rPr>
          <w:rFonts w:ascii="Arial" w:hAnsi="Arial" w:cs="Arial"/>
          <w:color w:val="000000" w:themeColor="text1"/>
          <w:lang w:val="en-GB"/>
        </w:rPr>
        <w:t xml:space="preserve">, M. (2022). Universal design for learning in UK higher education: Perceptions and practice. </w:t>
      </w:r>
      <w:r w:rsidRPr="00155160">
        <w:rPr>
          <w:rFonts w:ascii="Arial" w:hAnsi="Arial" w:cs="Arial"/>
          <w:i/>
          <w:iCs/>
          <w:color w:val="000000" w:themeColor="text1"/>
          <w:lang w:val="en-GB"/>
        </w:rPr>
        <w:t>Studies in Higher Education, 47</w:t>
      </w:r>
      <w:r w:rsidRPr="00155160">
        <w:rPr>
          <w:rFonts w:ascii="Arial" w:hAnsi="Arial" w:cs="Arial"/>
          <w:color w:val="000000" w:themeColor="text1"/>
          <w:lang w:val="en-GB"/>
        </w:rPr>
        <w:t xml:space="preserve">(8), 1606–1622. </w:t>
      </w:r>
      <w:hyperlink r:id="rId44" w:tgtFrame="_blank" w:history="1">
        <w:r w:rsidRPr="00155160">
          <w:rPr>
            <w:rStyle w:val="Hyperlink"/>
            <w:rFonts w:ascii="Arial" w:hAnsi="Arial" w:cs="Arial"/>
            <w:color w:val="000000" w:themeColor="text1"/>
            <w:lang w:val="en-GB"/>
          </w:rPr>
          <w:t>https://doi.org/10.1080/03075079.2021.1943869</w:t>
        </w:r>
      </w:hyperlink>
    </w:p>
    <w:p w14:paraId="013B0C11" w14:textId="77777777" w:rsidR="00155160" w:rsidRPr="00155160" w:rsidRDefault="00155160" w:rsidP="005E276E">
      <w:pPr>
        <w:spacing w:line="360" w:lineRule="auto"/>
        <w:ind w:left="720" w:hanging="720"/>
        <w:rPr>
          <w:rFonts w:ascii="Arial" w:hAnsi="Arial" w:cs="Arial"/>
          <w:color w:val="000000" w:themeColor="text1"/>
          <w:lang w:val="pl-PL"/>
        </w:rPr>
      </w:pPr>
      <w:r w:rsidRPr="00155160">
        <w:rPr>
          <w:rFonts w:ascii="Arial" w:hAnsi="Arial" w:cs="Arial"/>
          <w:color w:val="000000" w:themeColor="text1"/>
          <w:lang w:val="en-GB"/>
        </w:rPr>
        <w:t xml:space="preserve">Hong, J., Lee, A., &amp; Lee, W. H. (2018). </w:t>
      </w:r>
      <w:r w:rsidRPr="00155160">
        <w:rPr>
          <w:rFonts w:ascii="Arial" w:hAnsi="Arial" w:cs="Arial"/>
          <w:i/>
          <w:iCs/>
          <w:color w:val="000000" w:themeColor="text1"/>
          <w:lang w:val="en-GB"/>
        </w:rPr>
        <w:t>Mixed Methods Appraisal Tool (</w:t>
      </w:r>
      <w:proofErr w:type="spellStart"/>
      <w:r w:rsidRPr="00155160">
        <w:rPr>
          <w:rFonts w:ascii="Arial" w:hAnsi="Arial" w:cs="Arial"/>
          <w:i/>
          <w:iCs/>
          <w:color w:val="000000" w:themeColor="text1"/>
          <w:lang w:val="en-GB"/>
        </w:rPr>
        <w:t>MMAT</w:t>
      </w:r>
      <w:proofErr w:type="spellEnd"/>
      <w:r w:rsidRPr="00155160">
        <w:rPr>
          <w:rFonts w:ascii="Arial" w:hAnsi="Arial" w:cs="Arial"/>
          <w:i/>
          <w:iCs/>
          <w:color w:val="000000" w:themeColor="text1"/>
          <w:lang w:val="en-GB"/>
        </w:rPr>
        <w:t>) (Version 2018)</w:t>
      </w:r>
      <w:r w:rsidRPr="00155160">
        <w:rPr>
          <w:rFonts w:ascii="Arial" w:hAnsi="Arial" w:cs="Arial"/>
          <w:color w:val="000000" w:themeColor="text1"/>
          <w:lang w:val="en-GB"/>
        </w:rPr>
        <w:t xml:space="preserve">. </w:t>
      </w:r>
      <w:r w:rsidRPr="00155160">
        <w:rPr>
          <w:rFonts w:ascii="Arial" w:hAnsi="Arial" w:cs="Arial"/>
          <w:color w:val="000000" w:themeColor="text1"/>
          <w:lang w:val="pl-PL"/>
        </w:rPr>
        <w:t xml:space="preserve">ICDRG. </w:t>
      </w:r>
      <w:hyperlink r:id="rId45" w:tgtFrame="_blank" w:history="1">
        <w:r w:rsidRPr="00155160">
          <w:rPr>
            <w:rStyle w:val="Hyperlink"/>
            <w:rFonts w:ascii="Arial" w:hAnsi="Arial" w:cs="Arial"/>
            <w:color w:val="000000" w:themeColor="text1"/>
            <w:lang w:val="pl-PL"/>
          </w:rPr>
          <w:t>http://mixedmethodsappraisaltoolpublic.pbworks.com/w/file/fetch/127916259/MMAT_2018_criteria-manual_2018-08-01_ENG.pdf</w:t>
        </w:r>
      </w:hyperlink>
    </w:p>
    <w:p w14:paraId="514AA93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Hong, Q. N., </w:t>
      </w:r>
      <w:proofErr w:type="spellStart"/>
      <w:r w:rsidRPr="00155160">
        <w:rPr>
          <w:rFonts w:ascii="Arial" w:hAnsi="Arial" w:cs="Arial"/>
          <w:color w:val="000000" w:themeColor="text1"/>
          <w:lang w:val="en-GB"/>
        </w:rPr>
        <w:t>Pluye</w:t>
      </w:r>
      <w:proofErr w:type="spellEnd"/>
      <w:r w:rsidRPr="00155160">
        <w:rPr>
          <w:rFonts w:ascii="Arial" w:hAnsi="Arial" w:cs="Arial"/>
          <w:color w:val="000000" w:themeColor="text1"/>
          <w:lang w:val="en-GB"/>
        </w:rPr>
        <w:t xml:space="preserve">, P., </w:t>
      </w:r>
      <w:proofErr w:type="spellStart"/>
      <w:r w:rsidRPr="00155160">
        <w:rPr>
          <w:rFonts w:ascii="Arial" w:hAnsi="Arial" w:cs="Arial"/>
          <w:color w:val="000000" w:themeColor="text1"/>
          <w:lang w:val="en-GB"/>
        </w:rPr>
        <w:t>Fàbregues</w:t>
      </w:r>
      <w:proofErr w:type="spellEnd"/>
      <w:r w:rsidRPr="00155160">
        <w:rPr>
          <w:rFonts w:ascii="Arial" w:hAnsi="Arial" w:cs="Arial"/>
          <w:color w:val="000000" w:themeColor="text1"/>
          <w:lang w:val="en-GB"/>
        </w:rPr>
        <w:t xml:space="preserve">, S., Bartlett, G., Boardman, F., Cargo, M., Dagenais, P., Gagnon, M.-P., Griffiths, F., Nicolau, B., </w:t>
      </w:r>
      <w:proofErr w:type="spellStart"/>
      <w:r w:rsidRPr="00155160">
        <w:rPr>
          <w:rFonts w:ascii="Arial" w:hAnsi="Arial" w:cs="Arial"/>
          <w:color w:val="000000" w:themeColor="text1"/>
          <w:lang w:val="en-GB"/>
        </w:rPr>
        <w:t>O’Cathain</w:t>
      </w:r>
      <w:proofErr w:type="spellEnd"/>
      <w:r w:rsidRPr="00155160">
        <w:rPr>
          <w:rFonts w:ascii="Arial" w:hAnsi="Arial" w:cs="Arial"/>
          <w:color w:val="000000" w:themeColor="text1"/>
          <w:lang w:val="en-GB"/>
        </w:rPr>
        <w:t xml:space="preserve">, A., Rousseau, M.-C., &amp; Vedel, I. (2019). A mixed-methods systematic review of the effectiveness of implementation strategies for scaling up evidence-based practices in primary care. </w:t>
      </w:r>
      <w:r w:rsidRPr="00155160">
        <w:rPr>
          <w:rFonts w:ascii="Arial" w:hAnsi="Arial" w:cs="Arial"/>
          <w:i/>
          <w:iCs/>
          <w:color w:val="000000" w:themeColor="text1"/>
          <w:lang w:val="en-GB"/>
        </w:rPr>
        <w:t>Implementation Science, 14</w:t>
      </w:r>
      <w:r w:rsidRPr="00155160">
        <w:rPr>
          <w:rFonts w:ascii="Arial" w:hAnsi="Arial" w:cs="Arial"/>
          <w:color w:val="000000" w:themeColor="text1"/>
          <w:lang w:val="en-GB"/>
        </w:rPr>
        <w:t xml:space="preserve">(1), 81. </w:t>
      </w:r>
      <w:hyperlink r:id="rId46" w:tgtFrame="_blank" w:history="1">
        <w:r w:rsidRPr="00155160">
          <w:rPr>
            <w:rStyle w:val="Hyperlink"/>
            <w:rFonts w:ascii="Arial" w:hAnsi="Arial" w:cs="Arial"/>
            <w:color w:val="000000" w:themeColor="text1"/>
            <w:lang w:val="en-GB"/>
          </w:rPr>
          <w:t>https://doi.org/10.1186/s13012-019-0947-9</w:t>
        </w:r>
      </w:hyperlink>
    </w:p>
    <w:p w14:paraId="384A6FEF"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Horlin</w:t>
      </w:r>
      <w:proofErr w:type="spellEnd"/>
      <w:r w:rsidRPr="00155160">
        <w:rPr>
          <w:rFonts w:ascii="Arial" w:hAnsi="Arial" w:cs="Arial"/>
          <w:color w:val="000000" w:themeColor="text1"/>
          <w:lang w:val="en-GB"/>
        </w:rPr>
        <w:t xml:space="preserve">, C., </w:t>
      </w:r>
      <w:proofErr w:type="spellStart"/>
      <w:r w:rsidRPr="00155160">
        <w:rPr>
          <w:rFonts w:ascii="Arial" w:hAnsi="Arial" w:cs="Arial"/>
          <w:color w:val="000000" w:themeColor="text1"/>
          <w:lang w:val="en-GB"/>
        </w:rPr>
        <w:t>Falkmer</w:t>
      </w:r>
      <w:proofErr w:type="spellEnd"/>
      <w:r w:rsidRPr="00155160">
        <w:rPr>
          <w:rFonts w:ascii="Arial" w:hAnsi="Arial" w:cs="Arial"/>
          <w:color w:val="000000" w:themeColor="text1"/>
          <w:lang w:val="en-GB"/>
        </w:rPr>
        <w:t xml:space="preserve">, M., Parsons, R., Albrecht, M. A., &amp; Lee, H. (2024). Implementing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a university-wide context: A mixed-methods study of staff and student experiences. </w:t>
      </w:r>
      <w:r w:rsidRPr="00155160">
        <w:rPr>
          <w:rFonts w:ascii="Arial" w:hAnsi="Arial" w:cs="Arial"/>
          <w:i/>
          <w:iCs/>
          <w:color w:val="000000" w:themeColor="text1"/>
          <w:lang w:val="en-GB"/>
        </w:rPr>
        <w:t>Journal of University Teaching &amp; Learning Practice, 21</w:t>
      </w:r>
      <w:r w:rsidRPr="00155160">
        <w:rPr>
          <w:rFonts w:ascii="Arial" w:hAnsi="Arial" w:cs="Arial"/>
          <w:color w:val="000000" w:themeColor="text1"/>
          <w:lang w:val="en-GB"/>
        </w:rPr>
        <w:t xml:space="preserve">(1), 1–18. </w:t>
      </w:r>
      <w:hyperlink r:id="rId47" w:tgtFrame="_blank" w:history="1">
        <w:r w:rsidRPr="00155160">
          <w:rPr>
            <w:rStyle w:val="Hyperlink"/>
            <w:rFonts w:ascii="Arial" w:hAnsi="Arial" w:cs="Arial"/>
            <w:color w:val="000000" w:themeColor="text1"/>
            <w:lang w:val="en-GB"/>
          </w:rPr>
          <w:t>https://doi.org/10.53761/1.21.1.09</w:t>
        </w:r>
      </w:hyperlink>
    </w:p>
    <w:p w14:paraId="1AB4F7A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Hubble, S., &amp; Bolton, P. (2023, August 3). </w:t>
      </w:r>
      <w:r w:rsidRPr="00155160">
        <w:rPr>
          <w:rFonts w:ascii="Arial" w:hAnsi="Arial" w:cs="Arial"/>
          <w:i/>
          <w:iCs/>
          <w:color w:val="000000" w:themeColor="text1"/>
          <w:lang w:val="en-GB"/>
        </w:rPr>
        <w:t>Support for disabled students in higher education in England</w:t>
      </w:r>
      <w:r w:rsidRPr="00155160">
        <w:rPr>
          <w:rFonts w:ascii="Arial" w:hAnsi="Arial" w:cs="Arial"/>
          <w:color w:val="000000" w:themeColor="text1"/>
          <w:lang w:val="en-GB"/>
        </w:rPr>
        <w:t xml:space="preserve"> (Briefing Paper No. 8716). House of Commons Library. </w:t>
      </w:r>
      <w:hyperlink r:id="rId48" w:tgtFrame="_blank" w:history="1">
        <w:r w:rsidRPr="00155160">
          <w:rPr>
            <w:rStyle w:val="Hyperlink"/>
            <w:rFonts w:ascii="Arial" w:hAnsi="Arial" w:cs="Arial"/>
            <w:color w:val="000000" w:themeColor="text1"/>
            <w:lang w:val="en-GB"/>
          </w:rPr>
          <w:t>https://researchbriefings.files.parliament.uk/documents/CBP-8716/CBP-8716.pdf</w:t>
        </w:r>
      </w:hyperlink>
    </w:p>
    <w:p w14:paraId="2B8E3EC7"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Iniesto</w:t>
      </w:r>
      <w:proofErr w:type="spellEnd"/>
      <w:r w:rsidRPr="00155160">
        <w:rPr>
          <w:rFonts w:ascii="Arial" w:hAnsi="Arial" w:cs="Arial"/>
          <w:color w:val="000000" w:themeColor="text1"/>
          <w:lang w:val="en-GB"/>
        </w:rPr>
        <w:t xml:space="preserve">, F., Rodrigo, C., &amp; Hillaire, G. (2022). A case study to explore a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evaluation framework based on MOOCs. </w:t>
      </w:r>
      <w:r w:rsidRPr="00155160">
        <w:rPr>
          <w:rFonts w:ascii="Arial" w:hAnsi="Arial" w:cs="Arial"/>
          <w:i/>
          <w:iCs/>
          <w:color w:val="000000" w:themeColor="text1"/>
          <w:lang w:val="en-GB"/>
        </w:rPr>
        <w:t>Applied Sciences, 13</w:t>
      </w:r>
      <w:r w:rsidRPr="00155160">
        <w:rPr>
          <w:rFonts w:ascii="Arial" w:hAnsi="Arial" w:cs="Arial"/>
          <w:color w:val="000000" w:themeColor="text1"/>
          <w:lang w:val="en-GB"/>
        </w:rPr>
        <w:t xml:space="preserve">(1), 476. </w:t>
      </w:r>
      <w:hyperlink r:id="rId49" w:tgtFrame="_blank" w:history="1">
        <w:r w:rsidRPr="00155160">
          <w:rPr>
            <w:rStyle w:val="Hyperlink"/>
            <w:rFonts w:ascii="Arial" w:hAnsi="Arial" w:cs="Arial"/>
            <w:color w:val="000000" w:themeColor="text1"/>
            <w:lang w:val="en-GB"/>
          </w:rPr>
          <w:t>https://doi.org/10.3390/app13010476</w:t>
        </w:r>
      </w:hyperlink>
    </w:p>
    <w:p w14:paraId="0B0B221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Jisc. (2024). </w:t>
      </w:r>
      <w:r w:rsidRPr="00155160">
        <w:rPr>
          <w:rFonts w:ascii="Arial" w:hAnsi="Arial" w:cs="Arial"/>
          <w:i/>
          <w:iCs/>
          <w:color w:val="000000" w:themeColor="text1"/>
          <w:lang w:val="en-GB"/>
        </w:rPr>
        <w:t>Investigating the impact of universal design for learning</w:t>
      </w:r>
      <w:r w:rsidRPr="00155160">
        <w:rPr>
          <w:rFonts w:ascii="Arial" w:hAnsi="Arial" w:cs="Arial"/>
          <w:color w:val="000000" w:themeColor="text1"/>
          <w:lang w:val="en-GB"/>
        </w:rPr>
        <w:t xml:space="preserve">. </w:t>
      </w:r>
      <w:hyperlink r:id="rId50" w:tgtFrame="_blank" w:history="1">
        <w:r w:rsidRPr="00155160">
          <w:rPr>
            <w:rStyle w:val="Hyperlink"/>
            <w:rFonts w:ascii="Arial" w:hAnsi="Arial" w:cs="Arial"/>
            <w:color w:val="000000" w:themeColor="text1"/>
            <w:lang w:val="en-GB"/>
          </w:rPr>
          <w:t>https://beta.jisc.ac.uk/reports/investigating-the-impact-of-universal-design-for-learning</w:t>
        </w:r>
      </w:hyperlink>
    </w:p>
    <w:p w14:paraId="4527EFB3"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Keengwe</w:t>
      </w:r>
      <w:proofErr w:type="spellEnd"/>
      <w:r w:rsidRPr="00155160">
        <w:rPr>
          <w:rFonts w:ascii="Arial" w:hAnsi="Arial" w:cs="Arial"/>
          <w:color w:val="000000" w:themeColor="text1"/>
          <w:lang w:val="en-GB"/>
        </w:rPr>
        <w:t xml:space="preserve">, J., </w:t>
      </w:r>
      <w:proofErr w:type="spellStart"/>
      <w:r w:rsidRPr="00155160">
        <w:rPr>
          <w:rFonts w:ascii="Arial" w:hAnsi="Arial" w:cs="Arial"/>
          <w:color w:val="000000" w:themeColor="text1"/>
          <w:lang w:val="en-GB"/>
        </w:rPr>
        <w:t>Onchwari</w:t>
      </w:r>
      <w:proofErr w:type="spellEnd"/>
      <w:r w:rsidRPr="00155160">
        <w:rPr>
          <w:rFonts w:ascii="Arial" w:hAnsi="Arial" w:cs="Arial"/>
          <w:color w:val="000000" w:themeColor="text1"/>
          <w:lang w:val="en-GB"/>
        </w:rPr>
        <w:t xml:space="preserve">, G., &amp; </w:t>
      </w:r>
      <w:proofErr w:type="spellStart"/>
      <w:r w:rsidRPr="00155160">
        <w:rPr>
          <w:rFonts w:ascii="Arial" w:hAnsi="Arial" w:cs="Arial"/>
          <w:color w:val="000000" w:themeColor="text1"/>
          <w:lang w:val="en-GB"/>
        </w:rPr>
        <w:t>Agamba</w:t>
      </w:r>
      <w:proofErr w:type="spellEnd"/>
      <w:r w:rsidRPr="00155160">
        <w:rPr>
          <w:rFonts w:ascii="Arial" w:hAnsi="Arial" w:cs="Arial"/>
          <w:color w:val="000000" w:themeColor="text1"/>
          <w:lang w:val="en-GB"/>
        </w:rPr>
        <w:t xml:space="preserve">, J. J. (2023). Enhancing instructor capacity through the redesign of online practicum course environments using universal design for learning. </w:t>
      </w:r>
      <w:r w:rsidRPr="00155160">
        <w:rPr>
          <w:rFonts w:ascii="Arial" w:hAnsi="Arial" w:cs="Arial"/>
          <w:i/>
          <w:iCs/>
          <w:color w:val="000000" w:themeColor="text1"/>
          <w:lang w:val="en-GB"/>
        </w:rPr>
        <w:t>Online Learning Journal, 27</w:t>
      </w:r>
      <w:r w:rsidRPr="00155160">
        <w:rPr>
          <w:rFonts w:ascii="Arial" w:hAnsi="Arial" w:cs="Arial"/>
          <w:color w:val="000000" w:themeColor="text1"/>
          <w:lang w:val="en-GB"/>
        </w:rPr>
        <w:t xml:space="preserve">(1), 21–33. </w:t>
      </w:r>
      <w:hyperlink r:id="rId51" w:tgtFrame="_blank" w:history="1">
        <w:r w:rsidRPr="00155160">
          <w:rPr>
            <w:rStyle w:val="Hyperlink"/>
            <w:rFonts w:ascii="Arial" w:hAnsi="Arial" w:cs="Arial"/>
            <w:color w:val="000000" w:themeColor="text1"/>
            <w:lang w:val="en-GB"/>
          </w:rPr>
          <w:t>https://doi.org/10.24059/olj.v27i1.3080</w:t>
        </w:r>
      </w:hyperlink>
    </w:p>
    <w:p w14:paraId="28237EF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Kendall, L. (2016). Higher education and disability: Exploring student experiences. </w:t>
      </w:r>
      <w:r w:rsidRPr="00155160">
        <w:rPr>
          <w:rFonts w:ascii="Arial" w:hAnsi="Arial" w:cs="Arial"/>
          <w:i/>
          <w:iCs/>
          <w:color w:val="000000" w:themeColor="text1"/>
          <w:lang w:val="en-GB"/>
        </w:rPr>
        <w:t>Cogent Education, 3</w:t>
      </w:r>
      <w:r w:rsidRPr="00155160">
        <w:rPr>
          <w:rFonts w:ascii="Arial" w:hAnsi="Arial" w:cs="Arial"/>
          <w:color w:val="000000" w:themeColor="text1"/>
          <w:lang w:val="en-GB"/>
        </w:rPr>
        <w:t xml:space="preserve">(1), 1256142. </w:t>
      </w:r>
      <w:hyperlink r:id="rId52" w:tgtFrame="_blank" w:history="1">
        <w:r w:rsidRPr="00155160">
          <w:rPr>
            <w:rStyle w:val="Hyperlink"/>
            <w:rFonts w:ascii="Arial" w:hAnsi="Arial" w:cs="Arial"/>
            <w:color w:val="000000" w:themeColor="text1"/>
            <w:lang w:val="en-GB"/>
          </w:rPr>
          <w:t>https://doi.org/10.1080/2331186X.2016.1256142</w:t>
        </w:r>
      </w:hyperlink>
    </w:p>
    <w:p w14:paraId="74CABAD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Kernohan, D. (2024, February 12). How bad is the UK recruitment situation really? </w:t>
      </w:r>
      <w:proofErr w:type="spellStart"/>
      <w:r w:rsidRPr="00155160">
        <w:rPr>
          <w:rFonts w:ascii="Arial" w:hAnsi="Arial" w:cs="Arial"/>
          <w:i/>
          <w:iCs/>
          <w:color w:val="000000" w:themeColor="text1"/>
          <w:lang w:val="en-GB"/>
        </w:rPr>
        <w:t>Wonkhe</w:t>
      </w:r>
      <w:proofErr w:type="spellEnd"/>
      <w:r w:rsidRPr="00155160">
        <w:rPr>
          <w:rFonts w:ascii="Arial" w:hAnsi="Arial" w:cs="Arial"/>
          <w:color w:val="000000" w:themeColor="text1"/>
          <w:lang w:val="en-GB"/>
        </w:rPr>
        <w:t xml:space="preserve">. </w:t>
      </w:r>
      <w:hyperlink r:id="rId53" w:tgtFrame="_blank" w:history="1">
        <w:r w:rsidRPr="00155160">
          <w:rPr>
            <w:rStyle w:val="Hyperlink"/>
            <w:rFonts w:ascii="Arial" w:hAnsi="Arial" w:cs="Arial"/>
            <w:color w:val="000000" w:themeColor="text1"/>
            <w:lang w:val="en-GB"/>
          </w:rPr>
          <w:t>https://wonkhe.com/blogs/how-bad-is-the-uk-recruitment-situation-really/</w:t>
        </w:r>
      </w:hyperlink>
    </w:p>
    <w:p w14:paraId="206FE17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Lamb, J., O’Reilly, M., O’Loughlin, C., &amp; Wilson, A. (2021). </w:t>
      </w:r>
      <w:r w:rsidRPr="00155160">
        <w:rPr>
          <w:rFonts w:ascii="Arial" w:hAnsi="Arial" w:cs="Arial"/>
          <w:i/>
          <w:iCs/>
          <w:color w:val="000000" w:themeColor="text1"/>
          <w:lang w:val="en-GB"/>
        </w:rPr>
        <w:t>Review of the evidence base of inclusive learning and teaching for disabled students in higher education</w:t>
      </w:r>
      <w:r w:rsidRPr="00155160">
        <w:rPr>
          <w:rFonts w:ascii="Arial" w:hAnsi="Arial" w:cs="Arial"/>
          <w:color w:val="000000" w:themeColor="text1"/>
          <w:lang w:val="en-GB"/>
        </w:rPr>
        <w:t xml:space="preserve">. Advance HE. </w:t>
      </w:r>
      <w:hyperlink r:id="rId54" w:tgtFrame="_blank" w:history="1">
        <w:r w:rsidRPr="00155160">
          <w:rPr>
            <w:rStyle w:val="Hyperlink"/>
            <w:rFonts w:ascii="Arial" w:hAnsi="Arial" w:cs="Arial"/>
            <w:color w:val="000000" w:themeColor="text1"/>
            <w:lang w:val="en-GB"/>
          </w:rPr>
          <w:t>https://www.advance-he.ac.uk/knowledge-hub/review-evidence-base-inclusive-learning-and-teaching-disabled-students-higher</w:t>
        </w:r>
      </w:hyperlink>
    </w:p>
    <w:p w14:paraId="7F2A689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Lombardi, A. R., Murray, C., &amp; Dallas, B. (2021). University faculty attitudes toward disability and inclusive instruction: Comparing two institutions. </w:t>
      </w:r>
      <w:r w:rsidRPr="00155160">
        <w:rPr>
          <w:rFonts w:ascii="Arial" w:hAnsi="Arial" w:cs="Arial"/>
          <w:i/>
          <w:iCs/>
          <w:color w:val="000000" w:themeColor="text1"/>
          <w:lang w:val="en-GB"/>
        </w:rPr>
        <w:t>Journal of Postsecondary Education and Disability, 34</w:t>
      </w:r>
      <w:r w:rsidRPr="00155160">
        <w:rPr>
          <w:rFonts w:ascii="Arial" w:hAnsi="Arial" w:cs="Arial"/>
          <w:color w:val="000000" w:themeColor="text1"/>
          <w:lang w:val="en-GB"/>
        </w:rPr>
        <w:t xml:space="preserve">(1), 5–20. </w:t>
      </w:r>
      <w:hyperlink r:id="rId55" w:tgtFrame="_blank" w:history="1">
        <w:r w:rsidRPr="00155160">
          <w:rPr>
            <w:rStyle w:val="Hyperlink"/>
            <w:rFonts w:ascii="Arial" w:hAnsi="Arial" w:cs="Arial"/>
            <w:color w:val="000000" w:themeColor="text1"/>
            <w:lang w:val="en-GB"/>
          </w:rPr>
          <w:t>https://files.eric.ed.gov/fulltext/EJ1294242.pdf</w:t>
        </w:r>
      </w:hyperlink>
    </w:p>
    <w:p w14:paraId="18FACC6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Macfarlane, B., Bolden, R., &amp; </w:t>
      </w:r>
      <w:proofErr w:type="spellStart"/>
      <w:r w:rsidRPr="00155160">
        <w:rPr>
          <w:rFonts w:ascii="Arial" w:hAnsi="Arial" w:cs="Arial"/>
          <w:color w:val="000000" w:themeColor="text1"/>
          <w:lang w:val="en-GB"/>
        </w:rPr>
        <w:t>Watermeyer</w:t>
      </w:r>
      <w:proofErr w:type="spellEnd"/>
      <w:r w:rsidRPr="00155160">
        <w:rPr>
          <w:rFonts w:ascii="Arial" w:hAnsi="Arial" w:cs="Arial"/>
          <w:color w:val="000000" w:themeColor="text1"/>
          <w:lang w:val="en-GB"/>
        </w:rPr>
        <w:t xml:space="preserve">, R. (2024). </w:t>
      </w:r>
      <w:r w:rsidRPr="00155160">
        <w:rPr>
          <w:rFonts w:ascii="Arial" w:hAnsi="Arial" w:cs="Arial"/>
          <w:i/>
          <w:iCs/>
          <w:color w:val="000000" w:themeColor="text1"/>
          <w:lang w:val="en-GB"/>
        </w:rPr>
        <w:t>The inclusive university: A critical international perspective</w:t>
      </w:r>
      <w:r w:rsidRPr="00155160">
        <w:rPr>
          <w:rFonts w:ascii="Arial" w:hAnsi="Arial" w:cs="Arial"/>
          <w:color w:val="000000" w:themeColor="text1"/>
          <w:lang w:val="en-GB"/>
        </w:rPr>
        <w:t>. Routledge.</w:t>
      </w:r>
    </w:p>
    <w:p w14:paraId="687FA48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Mateos-González, J. L., &amp; Wakeling, P. (2022). Social origin, field of study and graduate destinations in the UK. </w:t>
      </w:r>
      <w:r w:rsidRPr="00155160">
        <w:rPr>
          <w:rFonts w:ascii="Arial" w:hAnsi="Arial" w:cs="Arial"/>
          <w:i/>
          <w:iCs/>
          <w:color w:val="000000" w:themeColor="text1"/>
          <w:lang w:val="en-GB"/>
        </w:rPr>
        <w:t>British Journal of Sociology of Education, 43</w:t>
      </w:r>
      <w:r w:rsidRPr="00155160">
        <w:rPr>
          <w:rFonts w:ascii="Arial" w:hAnsi="Arial" w:cs="Arial"/>
          <w:color w:val="000000" w:themeColor="text1"/>
          <w:lang w:val="en-GB"/>
        </w:rPr>
        <w:t xml:space="preserve">(1), 122–143. </w:t>
      </w:r>
      <w:hyperlink r:id="rId56" w:tgtFrame="_blank" w:history="1">
        <w:r w:rsidRPr="00155160">
          <w:rPr>
            <w:rStyle w:val="Hyperlink"/>
            <w:rFonts w:ascii="Arial" w:hAnsi="Arial" w:cs="Arial"/>
            <w:color w:val="000000" w:themeColor="text1"/>
            <w:lang w:val="en-GB"/>
          </w:rPr>
          <w:t>https://doi.org/10.1080/01425692.2021.1994862</w:t>
        </w:r>
      </w:hyperlink>
    </w:p>
    <w:p w14:paraId="1833E8E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Meyer, A., Rose, D. H., &amp; Gordon, D. (2014). </w:t>
      </w:r>
      <w:r w:rsidRPr="00155160">
        <w:rPr>
          <w:rFonts w:ascii="Arial" w:hAnsi="Arial" w:cs="Arial"/>
          <w:i/>
          <w:iCs/>
          <w:color w:val="000000" w:themeColor="text1"/>
          <w:lang w:val="en-GB"/>
        </w:rPr>
        <w:t>Universal design for learning: Theory and practice</w:t>
      </w:r>
      <w:r w:rsidRPr="00155160">
        <w:rPr>
          <w:rFonts w:ascii="Arial" w:hAnsi="Arial" w:cs="Arial"/>
          <w:color w:val="000000" w:themeColor="text1"/>
          <w:lang w:val="en-GB"/>
        </w:rPr>
        <w:t xml:space="preserve">. CAST Professional Publishing. </w:t>
      </w:r>
      <w:hyperlink r:id="rId57" w:tgtFrame="_blank" w:history="1">
        <w:r w:rsidRPr="00155160">
          <w:rPr>
            <w:rStyle w:val="Hyperlink"/>
            <w:rFonts w:ascii="Arial" w:hAnsi="Arial" w:cs="Arial"/>
            <w:color w:val="000000" w:themeColor="text1"/>
            <w:lang w:val="en-GB"/>
          </w:rPr>
          <w:t>https://udl-irn.org/wp-content/uploads/2021/08/UDL-Theory-and-Practice-CAST-2014.pdf</w:t>
        </w:r>
      </w:hyperlink>
    </w:p>
    <w:p w14:paraId="1A7AFC6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Morgan, H. (2020). Best practices for implementing universal design for learning in higher education. </w:t>
      </w:r>
      <w:r w:rsidRPr="00155160">
        <w:rPr>
          <w:rFonts w:ascii="Arial" w:hAnsi="Arial" w:cs="Arial"/>
          <w:i/>
          <w:iCs/>
          <w:color w:val="000000" w:themeColor="text1"/>
          <w:lang w:val="en-GB"/>
        </w:rPr>
        <w:t>Higher Education Studies, 10</w:t>
      </w:r>
      <w:r w:rsidRPr="00155160">
        <w:rPr>
          <w:rFonts w:ascii="Arial" w:hAnsi="Arial" w:cs="Arial"/>
          <w:color w:val="000000" w:themeColor="text1"/>
          <w:lang w:val="en-GB"/>
        </w:rPr>
        <w:t xml:space="preserve">(3), 66–78. </w:t>
      </w:r>
      <w:hyperlink r:id="rId58" w:tgtFrame="_blank" w:history="1">
        <w:r w:rsidRPr="00155160">
          <w:rPr>
            <w:rStyle w:val="Hyperlink"/>
            <w:rFonts w:ascii="Arial" w:hAnsi="Arial" w:cs="Arial"/>
            <w:color w:val="000000" w:themeColor="text1"/>
            <w:lang w:val="en-GB"/>
          </w:rPr>
          <w:t>https://doi.org/10.5539/hes.v10n3p66</w:t>
        </w:r>
      </w:hyperlink>
    </w:p>
    <w:p w14:paraId="7B30BE85"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lastRenderedPageBreak/>
        <w:t>Moriña</w:t>
      </w:r>
      <w:proofErr w:type="spellEnd"/>
      <w:r w:rsidRPr="00155160">
        <w:rPr>
          <w:rFonts w:ascii="Arial" w:hAnsi="Arial" w:cs="Arial"/>
          <w:color w:val="000000" w:themeColor="text1"/>
          <w:lang w:val="en-GB"/>
        </w:rPr>
        <w:t xml:space="preserve">, A. (2020). Inclusive education in higher education: Challenges and opportunities. </w:t>
      </w:r>
      <w:r w:rsidRPr="00155160">
        <w:rPr>
          <w:rFonts w:ascii="Arial" w:hAnsi="Arial" w:cs="Arial"/>
          <w:i/>
          <w:iCs/>
          <w:color w:val="000000" w:themeColor="text1"/>
          <w:lang w:val="en-GB"/>
        </w:rPr>
        <w:t>European Journal of Special Needs Education, 35</w:t>
      </w:r>
      <w:r w:rsidRPr="00155160">
        <w:rPr>
          <w:rFonts w:ascii="Arial" w:hAnsi="Arial" w:cs="Arial"/>
          <w:color w:val="000000" w:themeColor="text1"/>
          <w:lang w:val="en-GB"/>
        </w:rPr>
        <w:t xml:space="preserve">(1), 3–17. </w:t>
      </w:r>
      <w:hyperlink r:id="rId59" w:tgtFrame="_blank" w:history="1">
        <w:r w:rsidRPr="00155160">
          <w:rPr>
            <w:rStyle w:val="Hyperlink"/>
            <w:rFonts w:ascii="Arial" w:hAnsi="Arial" w:cs="Arial"/>
            <w:color w:val="000000" w:themeColor="text1"/>
            <w:lang w:val="en-GB"/>
          </w:rPr>
          <w:t>https://doi.org/10.1080/08856257.2019.1635204</w:t>
        </w:r>
      </w:hyperlink>
    </w:p>
    <w:p w14:paraId="1809F7BE"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Moriña</w:t>
      </w:r>
      <w:proofErr w:type="spellEnd"/>
      <w:r w:rsidRPr="00155160">
        <w:rPr>
          <w:rFonts w:ascii="Arial" w:hAnsi="Arial" w:cs="Arial"/>
          <w:color w:val="000000" w:themeColor="text1"/>
          <w:lang w:val="en-GB"/>
        </w:rPr>
        <w:t xml:space="preserve">, A., &amp; Carballo, R. (2021). Faculty perceptions of inclusive education in higher education: An international perspective. </w:t>
      </w:r>
      <w:r w:rsidRPr="00155160">
        <w:rPr>
          <w:rFonts w:ascii="Arial" w:hAnsi="Arial" w:cs="Arial"/>
          <w:i/>
          <w:iCs/>
          <w:color w:val="000000" w:themeColor="text1"/>
          <w:lang w:val="en-GB"/>
        </w:rPr>
        <w:t>Higher Education Research &amp; Development, 40</w:t>
      </w:r>
      <w:r w:rsidRPr="00155160">
        <w:rPr>
          <w:rFonts w:ascii="Arial" w:hAnsi="Arial" w:cs="Arial"/>
          <w:color w:val="000000" w:themeColor="text1"/>
          <w:lang w:val="en-GB"/>
        </w:rPr>
        <w:t xml:space="preserve">(6), 1195–1208. </w:t>
      </w:r>
      <w:hyperlink r:id="rId60" w:tgtFrame="_blank" w:history="1">
        <w:r w:rsidRPr="00155160">
          <w:rPr>
            <w:rStyle w:val="Hyperlink"/>
            <w:rFonts w:ascii="Arial" w:hAnsi="Arial" w:cs="Arial"/>
            <w:color w:val="000000" w:themeColor="text1"/>
            <w:lang w:val="en-GB"/>
          </w:rPr>
          <w:t>https://doi.org/10.1080/07294360.2020.1811640</w:t>
        </w:r>
      </w:hyperlink>
    </w:p>
    <w:p w14:paraId="1D40435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Novak, K., &amp; Brackett, M. (2022).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 xml:space="preserve"> and social-emotional learning: Promoting inclusion and equity in the classroom</w:t>
      </w:r>
      <w:r w:rsidRPr="00155160">
        <w:rPr>
          <w:rFonts w:ascii="Arial" w:hAnsi="Arial" w:cs="Arial"/>
          <w:color w:val="000000" w:themeColor="text1"/>
          <w:lang w:val="en-GB"/>
        </w:rPr>
        <w:t>. CAST.</w:t>
      </w:r>
    </w:p>
    <w:p w14:paraId="456436B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(2022a). </w:t>
      </w:r>
      <w:r w:rsidRPr="00155160">
        <w:rPr>
          <w:rFonts w:ascii="Arial" w:hAnsi="Arial" w:cs="Arial"/>
          <w:i/>
          <w:iCs/>
          <w:color w:val="000000" w:themeColor="text1"/>
          <w:lang w:val="en-GB"/>
        </w:rPr>
        <w:t>B conditions: Quality and standards</w:t>
      </w:r>
      <w:r w:rsidRPr="00155160">
        <w:rPr>
          <w:rFonts w:ascii="Arial" w:hAnsi="Arial" w:cs="Arial"/>
          <w:color w:val="000000" w:themeColor="text1"/>
          <w:lang w:val="en-GB"/>
        </w:rPr>
        <w:t xml:space="preserve">. </w:t>
      </w:r>
      <w:hyperlink r:id="rId61" w:tgtFrame="_blank" w:history="1">
        <w:r w:rsidRPr="00155160">
          <w:rPr>
            <w:rStyle w:val="Hyperlink"/>
            <w:rFonts w:ascii="Arial" w:hAnsi="Arial" w:cs="Arial"/>
            <w:color w:val="000000" w:themeColor="text1"/>
            <w:lang w:val="en-GB"/>
          </w:rPr>
          <w:t>https://www.officeforstudents.org.uk/for-providers/the-register-and-conditions/conditions-of-registration/b-conditions-quality-and-standards/</w:t>
        </w:r>
      </w:hyperlink>
    </w:p>
    <w:p w14:paraId="30933F8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(2022b). </w:t>
      </w:r>
      <w:r w:rsidRPr="00155160">
        <w:rPr>
          <w:rFonts w:ascii="Arial" w:hAnsi="Arial" w:cs="Arial"/>
          <w:i/>
          <w:iCs/>
          <w:color w:val="000000" w:themeColor="text1"/>
          <w:lang w:val="en-GB"/>
        </w:rPr>
        <w:t>B3 conditions of registration</w:t>
      </w:r>
      <w:r w:rsidRPr="00155160">
        <w:rPr>
          <w:rFonts w:ascii="Arial" w:hAnsi="Arial" w:cs="Arial"/>
          <w:color w:val="000000" w:themeColor="text1"/>
          <w:lang w:val="en-GB"/>
        </w:rPr>
        <w:t xml:space="preserve">. </w:t>
      </w:r>
      <w:hyperlink r:id="rId62" w:tgtFrame="_blank" w:history="1">
        <w:r w:rsidRPr="00155160">
          <w:rPr>
            <w:rStyle w:val="Hyperlink"/>
            <w:rFonts w:ascii="Arial" w:hAnsi="Arial" w:cs="Arial"/>
            <w:color w:val="000000" w:themeColor="text1"/>
            <w:lang w:val="en-GB"/>
          </w:rPr>
          <w:t>https://www.officeforstudents.org.uk/for-providers/the-register-and-conditions/conditions-of-registration/b-conditions-quality-and-standards/condition-b3/</w:t>
        </w:r>
      </w:hyperlink>
    </w:p>
    <w:p w14:paraId="1BF9EBD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Office for Students. (2024, July 23). </w:t>
      </w:r>
      <w:r w:rsidRPr="00155160">
        <w:rPr>
          <w:rFonts w:ascii="Arial" w:hAnsi="Arial" w:cs="Arial"/>
          <w:i/>
          <w:iCs/>
          <w:color w:val="000000" w:themeColor="text1"/>
          <w:lang w:val="en-GB"/>
        </w:rPr>
        <w:t>Update on regulating student outcomes (condition B3)</w:t>
      </w:r>
      <w:r w:rsidRPr="00155160">
        <w:rPr>
          <w:rFonts w:ascii="Arial" w:hAnsi="Arial" w:cs="Arial"/>
          <w:color w:val="000000" w:themeColor="text1"/>
          <w:lang w:val="en-GB"/>
        </w:rPr>
        <w:t xml:space="preserve">. </w:t>
      </w:r>
      <w:hyperlink r:id="rId63" w:tgtFrame="_blank" w:history="1">
        <w:r w:rsidRPr="00155160">
          <w:rPr>
            <w:rStyle w:val="Hyperlink"/>
            <w:rFonts w:ascii="Arial" w:hAnsi="Arial" w:cs="Arial"/>
            <w:color w:val="000000" w:themeColor="text1"/>
            <w:lang w:val="en-GB"/>
          </w:rPr>
          <w:t>https://www.officeforstudents.org.uk/publications/update-on-regulating-student-outcomes-condition-b3/</w:t>
        </w:r>
      </w:hyperlink>
    </w:p>
    <w:p w14:paraId="5DD9C5B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Ogden, J., &amp; Waltmann, B. (2024). </w:t>
      </w:r>
      <w:r w:rsidRPr="00155160">
        <w:rPr>
          <w:rFonts w:ascii="Arial" w:hAnsi="Arial" w:cs="Arial"/>
          <w:i/>
          <w:iCs/>
          <w:color w:val="000000" w:themeColor="text1"/>
          <w:lang w:val="en-GB"/>
        </w:rPr>
        <w:t>The financial sustainability of the UK higher education sector</w:t>
      </w:r>
      <w:r w:rsidRPr="00155160">
        <w:rPr>
          <w:rFonts w:ascii="Arial" w:hAnsi="Arial" w:cs="Arial"/>
          <w:color w:val="000000" w:themeColor="text1"/>
          <w:lang w:val="en-GB"/>
        </w:rPr>
        <w:t xml:space="preserve">. Institute for Fiscal Studies. </w:t>
      </w:r>
      <w:hyperlink r:id="rId64" w:tgtFrame="_blank" w:history="1">
        <w:r w:rsidRPr="00155160">
          <w:rPr>
            <w:rStyle w:val="Hyperlink"/>
            <w:rFonts w:ascii="Arial" w:hAnsi="Arial" w:cs="Arial"/>
            <w:color w:val="000000" w:themeColor="text1"/>
            <w:lang w:val="en-GB"/>
          </w:rPr>
          <w:t>https://doi.org/10.1920/re.ifs.2024.0277</w:t>
        </w:r>
      </w:hyperlink>
    </w:p>
    <w:p w14:paraId="0681D352"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OpenTEL</w:t>
      </w:r>
      <w:proofErr w:type="spellEnd"/>
      <w:r w:rsidRPr="00155160">
        <w:rPr>
          <w:rFonts w:ascii="Arial" w:hAnsi="Arial" w:cs="Arial"/>
          <w:color w:val="000000" w:themeColor="text1"/>
          <w:lang w:val="en-GB"/>
        </w:rPr>
        <w:t xml:space="preserve">. (2019, February 22). </w:t>
      </w:r>
      <w:r w:rsidRPr="00155160">
        <w:rPr>
          <w:rFonts w:ascii="Arial" w:hAnsi="Arial" w:cs="Arial"/>
          <w:i/>
          <w:iCs/>
          <w:color w:val="000000" w:themeColor="text1"/>
          <w:lang w:val="en-GB"/>
        </w:rPr>
        <w:t>Universal design for learning at the first Open &amp; Inclusive SIG</w:t>
      </w:r>
      <w:r w:rsidRPr="00155160">
        <w:rPr>
          <w:rFonts w:ascii="Arial" w:hAnsi="Arial" w:cs="Arial"/>
          <w:color w:val="000000" w:themeColor="text1"/>
          <w:lang w:val="en-GB"/>
        </w:rPr>
        <w:t xml:space="preserve">. The Open University. </w:t>
      </w:r>
      <w:hyperlink r:id="rId65" w:tgtFrame="_blank" w:history="1">
        <w:r w:rsidRPr="00155160">
          <w:rPr>
            <w:rStyle w:val="Hyperlink"/>
            <w:rFonts w:ascii="Arial" w:hAnsi="Arial" w:cs="Arial"/>
            <w:color w:val="000000" w:themeColor="text1"/>
            <w:lang w:val="en-GB"/>
          </w:rPr>
          <w:t>https://www.open.ac.uk/blogs/opentel/universal-design-for-learning-at-the-first-open-inclusive-sig/</w:t>
        </w:r>
      </w:hyperlink>
    </w:p>
    <w:p w14:paraId="3D94B73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Paez, A. (2017). Gray literature: An important resource in systematic reviews. </w:t>
      </w:r>
      <w:r w:rsidRPr="00155160">
        <w:rPr>
          <w:rFonts w:ascii="Arial" w:hAnsi="Arial" w:cs="Arial"/>
          <w:i/>
          <w:iCs/>
          <w:color w:val="000000" w:themeColor="text1"/>
          <w:lang w:val="en-GB"/>
        </w:rPr>
        <w:t>Journal of Evidence-Based Medicine, 10</w:t>
      </w:r>
      <w:r w:rsidRPr="00155160">
        <w:rPr>
          <w:rFonts w:ascii="Arial" w:hAnsi="Arial" w:cs="Arial"/>
          <w:color w:val="000000" w:themeColor="text1"/>
          <w:lang w:val="en-GB"/>
        </w:rPr>
        <w:t xml:space="preserve">(3), 233–240. </w:t>
      </w:r>
      <w:hyperlink r:id="rId66" w:tgtFrame="_blank" w:history="1">
        <w:r w:rsidRPr="00155160">
          <w:rPr>
            <w:rStyle w:val="Hyperlink"/>
            <w:rFonts w:ascii="Arial" w:hAnsi="Arial" w:cs="Arial"/>
            <w:color w:val="000000" w:themeColor="text1"/>
            <w:lang w:val="en-GB"/>
          </w:rPr>
          <w:t>https://doi.org/10.1111/jebm.12266</w:t>
        </w:r>
      </w:hyperlink>
    </w:p>
    <w:p w14:paraId="0D45D5A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Page, M. J., McKenzie, J. E., Bossuyt, P. M., </w:t>
      </w:r>
      <w:proofErr w:type="spellStart"/>
      <w:r w:rsidRPr="00155160">
        <w:rPr>
          <w:rFonts w:ascii="Arial" w:hAnsi="Arial" w:cs="Arial"/>
          <w:color w:val="000000" w:themeColor="text1"/>
          <w:lang w:val="en-GB"/>
        </w:rPr>
        <w:t>Boutron</w:t>
      </w:r>
      <w:proofErr w:type="spellEnd"/>
      <w:r w:rsidRPr="00155160">
        <w:rPr>
          <w:rFonts w:ascii="Arial" w:hAnsi="Arial" w:cs="Arial"/>
          <w:color w:val="000000" w:themeColor="text1"/>
          <w:lang w:val="en-GB"/>
        </w:rPr>
        <w:t xml:space="preserve">, I., Hoffmann, T. C., Mulrow, C. D., </w:t>
      </w:r>
      <w:proofErr w:type="spellStart"/>
      <w:r w:rsidRPr="00155160">
        <w:rPr>
          <w:rFonts w:ascii="Arial" w:hAnsi="Arial" w:cs="Arial"/>
          <w:color w:val="000000" w:themeColor="text1"/>
          <w:lang w:val="en-GB"/>
        </w:rPr>
        <w:t>Shamseer</w:t>
      </w:r>
      <w:proofErr w:type="spellEnd"/>
      <w:r w:rsidRPr="00155160">
        <w:rPr>
          <w:rFonts w:ascii="Arial" w:hAnsi="Arial" w:cs="Arial"/>
          <w:color w:val="000000" w:themeColor="text1"/>
          <w:lang w:val="en-GB"/>
        </w:rPr>
        <w:t xml:space="preserve">, L., Tetzlaff, J. M., Akl, E. A., Brennan, S. E., Chou, R., Glanville, J., Grimshaw, J. M., Hróbjartsson, A., Lalu, M. M., Li, T., Loder, E. W., Mayo-Wilson, E., McDonald, S., … Moher, D. (2021). The PRISMA 2020 statement: An updated </w:t>
      </w:r>
      <w:r w:rsidRPr="00155160">
        <w:rPr>
          <w:rFonts w:ascii="Arial" w:hAnsi="Arial" w:cs="Arial"/>
          <w:color w:val="000000" w:themeColor="text1"/>
          <w:lang w:val="en-GB"/>
        </w:rPr>
        <w:lastRenderedPageBreak/>
        <w:t xml:space="preserve">guideline for reporting systematic reviews. </w:t>
      </w:r>
      <w:r w:rsidRPr="00155160">
        <w:rPr>
          <w:rFonts w:ascii="Arial" w:hAnsi="Arial" w:cs="Arial"/>
          <w:i/>
          <w:iCs/>
          <w:color w:val="000000" w:themeColor="text1"/>
          <w:lang w:val="en-GB"/>
        </w:rPr>
        <w:t>BMJ, 372</w:t>
      </w:r>
      <w:r w:rsidRPr="00155160">
        <w:rPr>
          <w:rFonts w:ascii="Arial" w:hAnsi="Arial" w:cs="Arial"/>
          <w:color w:val="000000" w:themeColor="text1"/>
          <w:lang w:val="en-GB"/>
        </w:rPr>
        <w:t xml:space="preserve">, n71. </w:t>
      </w:r>
      <w:hyperlink r:id="rId67" w:tgtFrame="_blank" w:history="1">
        <w:r w:rsidRPr="00155160">
          <w:rPr>
            <w:rStyle w:val="Hyperlink"/>
            <w:rFonts w:ascii="Arial" w:hAnsi="Arial" w:cs="Arial"/>
            <w:color w:val="000000" w:themeColor="text1"/>
            <w:lang w:val="en-GB"/>
          </w:rPr>
          <w:t>https://doi.org/10.1136/bmj.n71</w:t>
        </w:r>
      </w:hyperlink>
    </w:p>
    <w:p w14:paraId="4B22609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Plantin, J., &amp; Galvin, T. (2024). A systematic literature review on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higher education STEM. </w:t>
      </w:r>
      <w:r w:rsidRPr="00155160">
        <w:rPr>
          <w:rFonts w:ascii="Arial" w:hAnsi="Arial" w:cs="Arial"/>
          <w:i/>
          <w:iCs/>
          <w:color w:val="000000" w:themeColor="text1"/>
          <w:lang w:val="en-GB"/>
        </w:rPr>
        <w:t>Education in Science, 14</w:t>
      </w:r>
      <w:r w:rsidRPr="00155160">
        <w:rPr>
          <w:rFonts w:ascii="Arial" w:hAnsi="Arial" w:cs="Arial"/>
          <w:color w:val="000000" w:themeColor="text1"/>
          <w:lang w:val="en-GB"/>
        </w:rPr>
        <w:t xml:space="preserve">(3), 257. </w:t>
      </w:r>
      <w:hyperlink r:id="rId68" w:tgtFrame="_blank" w:history="1">
        <w:r w:rsidRPr="00155160">
          <w:rPr>
            <w:rStyle w:val="Hyperlink"/>
            <w:rFonts w:ascii="Arial" w:hAnsi="Arial" w:cs="Arial"/>
            <w:color w:val="000000" w:themeColor="text1"/>
            <w:lang w:val="en-GB"/>
          </w:rPr>
          <w:t>https://doi.org/10.3390/educsci14030257</w:t>
        </w:r>
      </w:hyperlink>
    </w:p>
    <w:p w14:paraId="4C3A9E9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Prowse, A., &amp; Hodgson, A. (2020). Universal design for learning: A framework for equity or a tool of the neoliberal university? In M. Martínez, R. T. de la Vega, &amp; T. O. O’Connor (Eds.), </w:t>
      </w:r>
      <w:r w:rsidRPr="00155160">
        <w:rPr>
          <w:rFonts w:ascii="Arial" w:hAnsi="Arial" w:cs="Arial"/>
          <w:i/>
          <w:iCs/>
          <w:color w:val="000000" w:themeColor="text1"/>
          <w:lang w:val="en-GB"/>
        </w:rPr>
        <w:t>Neoliberalism and the university: The new “knowledge-power” nexus</w:t>
      </w:r>
      <w:r w:rsidRPr="00155160">
        <w:rPr>
          <w:rFonts w:ascii="Arial" w:hAnsi="Arial" w:cs="Arial"/>
          <w:color w:val="000000" w:themeColor="text1"/>
          <w:lang w:val="en-GB"/>
        </w:rPr>
        <w:t xml:space="preserve"> (pp. 135–151). Routledge.</w:t>
      </w:r>
    </w:p>
    <w:p w14:paraId="7FE2174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QAA Collaborative Enhancement Project. (2023). </w:t>
      </w:r>
      <w:r w:rsidRPr="00155160">
        <w:rPr>
          <w:rFonts w:ascii="Arial" w:hAnsi="Arial" w:cs="Arial"/>
          <w:i/>
          <w:iCs/>
          <w:color w:val="000000" w:themeColor="text1"/>
          <w:lang w:val="en-GB"/>
        </w:rPr>
        <w:t>Belonging through assessment: Pipelines of compassion</w:t>
      </w:r>
      <w:r w:rsidRPr="00155160">
        <w:rPr>
          <w:rFonts w:ascii="Arial" w:hAnsi="Arial" w:cs="Arial"/>
          <w:color w:val="000000" w:themeColor="text1"/>
          <w:lang w:val="en-GB"/>
        </w:rPr>
        <w:t xml:space="preserve">. Quality Assurance Agency for Higher Education. </w:t>
      </w:r>
      <w:hyperlink r:id="rId69" w:tgtFrame="_blank" w:history="1">
        <w:r w:rsidRPr="00155160">
          <w:rPr>
            <w:rStyle w:val="Hyperlink"/>
            <w:rFonts w:ascii="Arial" w:hAnsi="Arial" w:cs="Arial"/>
            <w:color w:val="000000" w:themeColor="text1"/>
            <w:lang w:val="en-GB"/>
          </w:rPr>
          <w:t>https://www.qaa.ac.uk/docs/qaa/members/belonging-through-assessment-pipelines-of-compassion-final-report.pdf</w:t>
        </w:r>
      </w:hyperlink>
    </w:p>
    <w:p w14:paraId="1FA4456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 H., &amp; Cross, J. (2024). Universal design for learning in higher education: A systematic review. </w:t>
      </w:r>
      <w:r w:rsidRPr="00155160">
        <w:rPr>
          <w:rFonts w:ascii="Arial" w:hAnsi="Arial" w:cs="Arial"/>
          <w:i/>
          <w:iCs/>
          <w:color w:val="000000" w:themeColor="text1"/>
          <w:lang w:val="en-GB"/>
        </w:rPr>
        <w:t>Higher Education, 87</w:t>
      </w:r>
      <w:r w:rsidRPr="00155160">
        <w:rPr>
          <w:rFonts w:ascii="Arial" w:hAnsi="Arial" w:cs="Arial"/>
          <w:color w:val="000000" w:themeColor="text1"/>
          <w:lang w:val="en-GB"/>
        </w:rPr>
        <w:t xml:space="preserve">(4), 843–862. </w:t>
      </w:r>
      <w:hyperlink r:id="rId70" w:tgtFrame="_blank" w:history="1">
        <w:r w:rsidRPr="00155160">
          <w:rPr>
            <w:rStyle w:val="Hyperlink"/>
            <w:rFonts w:ascii="Arial" w:hAnsi="Arial" w:cs="Arial"/>
            <w:color w:val="000000" w:themeColor="text1"/>
            <w:lang w:val="en-GB"/>
          </w:rPr>
          <w:t>https://doi.org/10.1007/s10734-023-01050-5</w:t>
        </w:r>
      </w:hyperlink>
    </w:p>
    <w:p w14:paraId="7C0854D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 X., &amp; Cross, B. (2023). A qualitative study of international students’ experiences with group work in UK higher education: A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perspective. </w:t>
      </w:r>
      <w:r w:rsidRPr="00155160">
        <w:rPr>
          <w:rFonts w:ascii="Arial" w:hAnsi="Arial" w:cs="Arial"/>
          <w:i/>
          <w:iCs/>
          <w:color w:val="000000" w:themeColor="text1"/>
          <w:lang w:val="en-GB"/>
        </w:rPr>
        <w:t>Journal of Studies in International Education, 27</w:t>
      </w:r>
      <w:r w:rsidRPr="00155160">
        <w:rPr>
          <w:rFonts w:ascii="Arial" w:hAnsi="Arial" w:cs="Arial"/>
          <w:color w:val="000000" w:themeColor="text1"/>
          <w:lang w:val="en-GB"/>
        </w:rPr>
        <w:t xml:space="preserve">(5), 640–658. </w:t>
      </w:r>
      <w:hyperlink r:id="rId71" w:tgtFrame="_blank" w:history="1">
        <w:r w:rsidRPr="00155160">
          <w:rPr>
            <w:rStyle w:val="Hyperlink"/>
            <w:rFonts w:ascii="Arial" w:hAnsi="Arial" w:cs="Arial"/>
            <w:color w:val="000000" w:themeColor="text1"/>
            <w:lang w:val="en-GB"/>
          </w:rPr>
          <w:t>https://doi.org/10.1177/10283153221124231</w:t>
        </w:r>
      </w:hyperlink>
    </w:p>
    <w:p w14:paraId="66AAB72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Quality Assurance Agency for Higher Education. (2022). </w:t>
      </w:r>
      <w:r w:rsidRPr="00155160">
        <w:rPr>
          <w:rFonts w:ascii="Arial" w:hAnsi="Arial" w:cs="Arial"/>
          <w:i/>
          <w:iCs/>
          <w:color w:val="000000" w:themeColor="text1"/>
          <w:lang w:val="en-GB"/>
        </w:rPr>
        <w:t xml:space="preserve">Inclusive assessment attributes for use across the HE </w:t>
      </w:r>
      <w:proofErr w:type="gramStart"/>
      <w:r w:rsidRPr="00155160">
        <w:rPr>
          <w:rFonts w:ascii="Arial" w:hAnsi="Arial" w:cs="Arial"/>
          <w:i/>
          <w:iCs/>
          <w:color w:val="000000" w:themeColor="text1"/>
          <w:lang w:val="en-GB"/>
        </w:rPr>
        <w:t>sector</w:t>
      </w:r>
      <w:proofErr w:type="gramEnd"/>
      <w:r w:rsidRPr="00155160">
        <w:rPr>
          <w:rFonts w:ascii="Arial" w:hAnsi="Arial" w:cs="Arial"/>
          <w:color w:val="000000" w:themeColor="text1"/>
          <w:lang w:val="en-GB"/>
        </w:rPr>
        <w:t xml:space="preserve">. </w:t>
      </w:r>
      <w:hyperlink r:id="rId72" w:tgtFrame="_blank" w:history="1">
        <w:r w:rsidRPr="00155160">
          <w:rPr>
            <w:rStyle w:val="Hyperlink"/>
            <w:rFonts w:ascii="Arial" w:hAnsi="Arial" w:cs="Arial"/>
            <w:color w:val="000000" w:themeColor="text1"/>
            <w:lang w:val="en-GB"/>
          </w:rPr>
          <w:t>https://www.qaa.ac.uk/membership/collaborative-enhancement-projects/assessment/developing-a-set-of-inclusive-assessment-design-attributes-for-use-across-the-he-sector</w:t>
        </w:r>
      </w:hyperlink>
    </w:p>
    <w:p w14:paraId="3E42573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Quality Assurance Agency for Higher Education. (2023). </w:t>
      </w:r>
      <w:r w:rsidRPr="00155160">
        <w:rPr>
          <w:rFonts w:ascii="Arial" w:hAnsi="Arial" w:cs="Arial"/>
          <w:i/>
          <w:iCs/>
          <w:color w:val="000000" w:themeColor="text1"/>
          <w:lang w:val="en-GB"/>
        </w:rPr>
        <w:t>Hallmarks of success in inclusive curriculum design</w:t>
      </w:r>
      <w:r w:rsidRPr="00155160">
        <w:rPr>
          <w:rFonts w:ascii="Arial" w:hAnsi="Arial" w:cs="Arial"/>
          <w:color w:val="000000" w:themeColor="text1"/>
          <w:lang w:val="en-GB"/>
        </w:rPr>
        <w:t xml:space="preserve">. </w:t>
      </w:r>
      <w:hyperlink r:id="rId73" w:tgtFrame="_blank" w:history="1">
        <w:r w:rsidRPr="00155160">
          <w:rPr>
            <w:rStyle w:val="Hyperlink"/>
            <w:rFonts w:ascii="Arial" w:hAnsi="Arial" w:cs="Arial"/>
            <w:color w:val="000000" w:themeColor="text1"/>
            <w:lang w:val="en-GB"/>
          </w:rPr>
          <w:t>https://www.qaa.ac.uk/docs/qaa/guidance/hallmarks-of-success-in-inclusive-curriculum-design.pdf</w:t>
        </w:r>
      </w:hyperlink>
    </w:p>
    <w:p w14:paraId="1218F4A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pl-PL"/>
        </w:rPr>
        <w:t xml:space="preserve">Rao, K., Ok, M. W., &amp; Bryant, B. R. (2021). </w:t>
      </w:r>
      <w:r w:rsidRPr="00155160">
        <w:rPr>
          <w:rFonts w:ascii="Arial" w:hAnsi="Arial" w:cs="Arial"/>
          <w:color w:val="000000" w:themeColor="text1"/>
          <w:lang w:val="en-GB"/>
        </w:rPr>
        <w:t xml:space="preserve">A review of research on universal design educational models. </w:t>
      </w:r>
      <w:r w:rsidRPr="00155160">
        <w:rPr>
          <w:rFonts w:ascii="Arial" w:hAnsi="Arial" w:cs="Arial"/>
          <w:i/>
          <w:iCs/>
          <w:color w:val="000000" w:themeColor="text1"/>
          <w:lang w:val="en-GB"/>
        </w:rPr>
        <w:t>Remedial and Special Education, 42</w:t>
      </w:r>
      <w:r w:rsidRPr="00155160">
        <w:rPr>
          <w:rFonts w:ascii="Arial" w:hAnsi="Arial" w:cs="Arial"/>
          <w:color w:val="000000" w:themeColor="text1"/>
          <w:lang w:val="en-GB"/>
        </w:rPr>
        <w:t xml:space="preserve">(3), 153–165. </w:t>
      </w:r>
      <w:hyperlink r:id="rId74" w:tgtFrame="_blank" w:history="1">
        <w:r w:rsidRPr="00155160">
          <w:rPr>
            <w:rStyle w:val="Hyperlink"/>
            <w:rFonts w:ascii="Arial" w:hAnsi="Arial" w:cs="Arial"/>
            <w:color w:val="000000" w:themeColor="text1"/>
            <w:lang w:val="en-GB"/>
          </w:rPr>
          <w:t>https://doi.org/10.1177/0741932520909821</w:t>
        </w:r>
      </w:hyperlink>
    </w:p>
    <w:p w14:paraId="626FA248"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Redstone, I., &amp; Luo, J. (2024). A practical guide to implementing universal design for learning in higher education. </w:t>
      </w:r>
      <w:r w:rsidRPr="00155160">
        <w:rPr>
          <w:rFonts w:ascii="Arial" w:hAnsi="Arial" w:cs="Arial"/>
          <w:i/>
          <w:iCs/>
          <w:color w:val="000000" w:themeColor="text1"/>
          <w:lang w:val="en-GB"/>
        </w:rPr>
        <w:t>Journal of Postsecondary Education and Disability, 37</w:t>
      </w:r>
      <w:r w:rsidRPr="00155160">
        <w:rPr>
          <w:rFonts w:ascii="Arial" w:hAnsi="Arial" w:cs="Arial"/>
          <w:color w:val="000000" w:themeColor="text1"/>
          <w:lang w:val="en-GB"/>
        </w:rPr>
        <w:t xml:space="preserve">(1), 79–90. </w:t>
      </w:r>
      <w:hyperlink r:id="rId75" w:tgtFrame="_blank" w:history="1">
        <w:r w:rsidRPr="00155160">
          <w:rPr>
            <w:rStyle w:val="Hyperlink"/>
            <w:rFonts w:ascii="Arial" w:hAnsi="Arial" w:cs="Arial"/>
            <w:color w:val="000000" w:themeColor="text1"/>
            <w:lang w:val="en-GB"/>
          </w:rPr>
          <w:t>https://www.ahead.org/professional-resources/publications/jped/jped-volume-37/jped-37-1</w:t>
        </w:r>
      </w:hyperlink>
    </w:p>
    <w:p w14:paraId="6FB193A6"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Rethlefsen</w:t>
      </w:r>
      <w:proofErr w:type="spellEnd"/>
      <w:r w:rsidRPr="00155160">
        <w:rPr>
          <w:rFonts w:ascii="Arial" w:hAnsi="Arial" w:cs="Arial"/>
          <w:color w:val="000000" w:themeColor="text1"/>
          <w:lang w:val="en-GB"/>
        </w:rPr>
        <w:t xml:space="preserve">, M. L., Kirtley, S., Waffenschmidt, S., Ayala, A. P., Moher, D., Page, M. J., &amp; Koffel, J. B. (2021). PRISMA-S: An extension to the PRISMA statement for reporting literature searches in systematic reviews. </w:t>
      </w:r>
      <w:r w:rsidRPr="00155160">
        <w:rPr>
          <w:rFonts w:ascii="Arial" w:hAnsi="Arial" w:cs="Arial"/>
          <w:i/>
          <w:iCs/>
          <w:color w:val="000000" w:themeColor="text1"/>
          <w:lang w:val="en-GB"/>
        </w:rPr>
        <w:t>Systematic Reviews, 10</w:t>
      </w:r>
      <w:r w:rsidRPr="00155160">
        <w:rPr>
          <w:rFonts w:ascii="Arial" w:hAnsi="Arial" w:cs="Arial"/>
          <w:color w:val="000000" w:themeColor="text1"/>
          <w:lang w:val="en-GB"/>
        </w:rPr>
        <w:t xml:space="preserve">(1), 39. </w:t>
      </w:r>
      <w:hyperlink r:id="rId76" w:tgtFrame="_blank" w:history="1">
        <w:r w:rsidRPr="00155160">
          <w:rPr>
            <w:rStyle w:val="Hyperlink"/>
            <w:rFonts w:ascii="Arial" w:hAnsi="Arial" w:cs="Arial"/>
            <w:color w:val="000000" w:themeColor="text1"/>
            <w:lang w:val="en-GB"/>
          </w:rPr>
          <w:t>https://doi.org/10.1186/s13643-020-01542-z</w:t>
        </w:r>
      </w:hyperlink>
    </w:p>
    <w:p w14:paraId="0A7A2BF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Richardson, J. T. E. (2022). </w:t>
      </w:r>
      <w:r w:rsidRPr="00155160">
        <w:rPr>
          <w:rFonts w:ascii="Arial" w:hAnsi="Arial" w:cs="Arial"/>
          <w:i/>
          <w:iCs/>
          <w:color w:val="000000" w:themeColor="text1"/>
          <w:lang w:val="en-GB"/>
        </w:rPr>
        <w:t>The representation of disabled students in UK higher education: A statistical overview</w:t>
      </w:r>
      <w:r w:rsidRPr="00155160">
        <w:rPr>
          <w:rFonts w:ascii="Arial" w:hAnsi="Arial" w:cs="Arial"/>
          <w:color w:val="000000" w:themeColor="text1"/>
          <w:lang w:val="en-GB"/>
        </w:rPr>
        <w:t xml:space="preserve"> [Report].</w:t>
      </w:r>
    </w:p>
    <w:p w14:paraId="0BF4479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Rose, D. H. (2014). </w:t>
      </w:r>
      <w:r w:rsidRPr="00155160">
        <w:rPr>
          <w:rFonts w:ascii="Arial" w:hAnsi="Arial" w:cs="Arial"/>
          <w:i/>
          <w:iCs/>
          <w:color w:val="000000" w:themeColor="text1"/>
          <w:lang w:val="en-GB"/>
        </w:rPr>
        <w:t>The art of the possible: Universal design for learning</w:t>
      </w:r>
      <w:r w:rsidRPr="00155160">
        <w:rPr>
          <w:rFonts w:ascii="Arial" w:hAnsi="Arial" w:cs="Arial"/>
          <w:color w:val="000000" w:themeColor="text1"/>
          <w:lang w:val="en-GB"/>
        </w:rPr>
        <w:t>. Harvard Education Press.</w:t>
      </w:r>
    </w:p>
    <w:p w14:paraId="356A540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Sabri, D. (2023). </w:t>
      </w:r>
      <w:r w:rsidRPr="00155160">
        <w:rPr>
          <w:rFonts w:ascii="Arial" w:hAnsi="Arial" w:cs="Arial"/>
          <w:i/>
          <w:iCs/>
          <w:color w:val="000000" w:themeColor="text1"/>
          <w:lang w:val="en-GB"/>
        </w:rPr>
        <w:t>The student engagement handbook: Practice in higher education</w:t>
      </w:r>
      <w:r w:rsidRPr="00155160">
        <w:rPr>
          <w:rFonts w:ascii="Arial" w:hAnsi="Arial" w:cs="Arial"/>
          <w:color w:val="000000" w:themeColor="text1"/>
          <w:lang w:val="en-GB"/>
        </w:rPr>
        <w:t>. Routledge.</w:t>
      </w:r>
    </w:p>
    <w:p w14:paraId="4B275069"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(2021). From the margins to the mainstream: Should we move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to the heart of university teaching? </w:t>
      </w:r>
      <w:r w:rsidRPr="00155160">
        <w:rPr>
          <w:rFonts w:ascii="Arial" w:hAnsi="Arial" w:cs="Arial"/>
          <w:i/>
          <w:iCs/>
          <w:color w:val="000000" w:themeColor="text1"/>
          <w:lang w:val="en-GB"/>
        </w:rPr>
        <w:t>Educational Review, 73</w:t>
      </w:r>
      <w:r w:rsidRPr="00155160">
        <w:rPr>
          <w:rFonts w:ascii="Arial" w:hAnsi="Arial" w:cs="Arial"/>
          <w:color w:val="000000" w:themeColor="text1"/>
          <w:lang w:val="en-GB"/>
        </w:rPr>
        <w:t xml:space="preserve">(1), 1–18. </w:t>
      </w:r>
      <w:hyperlink r:id="rId77" w:tgtFrame="_blank" w:history="1">
        <w:r w:rsidRPr="00155160">
          <w:rPr>
            <w:rStyle w:val="Hyperlink"/>
            <w:rFonts w:ascii="Arial" w:hAnsi="Arial" w:cs="Arial"/>
            <w:color w:val="000000" w:themeColor="text1"/>
            <w:lang w:val="en-GB"/>
          </w:rPr>
          <w:t>https://doi.org/10.1080/00131911.2019.1566217</w:t>
        </w:r>
      </w:hyperlink>
    </w:p>
    <w:p w14:paraId="3E44B63E"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Seale, J., Colwell, C., Coughlan, T., Heiman, T., Kaspi-</w:t>
      </w:r>
      <w:proofErr w:type="spellStart"/>
      <w:r w:rsidRPr="00155160">
        <w:rPr>
          <w:rFonts w:ascii="Arial" w:hAnsi="Arial" w:cs="Arial"/>
          <w:color w:val="000000" w:themeColor="text1"/>
          <w:lang w:val="en-GB"/>
        </w:rPr>
        <w:t>Tsahor</w:t>
      </w:r>
      <w:proofErr w:type="spellEnd"/>
      <w:r w:rsidRPr="00155160">
        <w:rPr>
          <w:rFonts w:ascii="Arial" w:hAnsi="Arial" w:cs="Arial"/>
          <w:color w:val="000000" w:themeColor="text1"/>
          <w:lang w:val="en-GB"/>
        </w:rPr>
        <w:t xml:space="preserve">, D., &amp; Olenik-Shemesh, D. (2021). ‘Dreaming in colour’: Disabled higher education students’ perspectives on improving design practices that would enable them to benefit from their use of technologies. </w:t>
      </w:r>
      <w:r w:rsidRPr="00155160">
        <w:rPr>
          <w:rFonts w:ascii="Arial" w:hAnsi="Arial" w:cs="Arial"/>
          <w:i/>
          <w:iCs/>
          <w:color w:val="000000" w:themeColor="text1"/>
          <w:lang w:val="en-GB"/>
        </w:rPr>
        <w:t>Education and Information Technologies, 26</w:t>
      </w:r>
      <w:r w:rsidRPr="00155160">
        <w:rPr>
          <w:rFonts w:ascii="Arial" w:hAnsi="Arial" w:cs="Arial"/>
          <w:color w:val="000000" w:themeColor="text1"/>
          <w:lang w:val="en-GB"/>
        </w:rPr>
        <w:t xml:space="preserve">(2), 1687–1719. </w:t>
      </w:r>
      <w:hyperlink r:id="rId78" w:tgtFrame="_blank" w:history="1">
        <w:r w:rsidRPr="00155160">
          <w:rPr>
            <w:rStyle w:val="Hyperlink"/>
            <w:rFonts w:ascii="Arial" w:hAnsi="Arial" w:cs="Arial"/>
            <w:color w:val="000000" w:themeColor="text1"/>
            <w:lang w:val="en-GB"/>
          </w:rPr>
          <w:t>https://doi.org/10.1007/s10639-020-10329-7</w:t>
        </w:r>
      </w:hyperlink>
    </w:p>
    <w:p w14:paraId="6D104A2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Georgeson, J., Mamas, C., &amp; Swain, J. (2015). Not the right kind of ‘digital capital’? An examination of the complex relationship between disabled students, their technologies and higher education institutions. </w:t>
      </w:r>
      <w:r w:rsidRPr="00155160">
        <w:rPr>
          <w:rFonts w:ascii="Arial" w:hAnsi="Arial" w:cs="Arial"/>
          <w:i/>
          <w:iCs/>
          <w:color w:val="000000" w:themeColor="text1"/>
          <w:lang w:val="en-GB"/>
        </w:rPr>
        <w:t>Computers &amp; Education, 82</w:t>
      </w:r>
      <w:r w:rsidRPr="00155160">
        <w:rPr>
          <w:rFonts w:ascii="Arial" w:hAnsi="Arial" w:cs="Arial"/>
          <w:color w:val="000000" w:themeColor="text1"/>
          <w:lang w:val="en-GB"/>
        </w:rPr>
        <w:t xml:space="preserve">, 118–128. </w:t>
      </w:r>
      <w:hyperlink r:id="rId79" w:tgtFrame="_blank" w:history="1">
        <w:r w:rsidRPr="00155160">
          <w:rPr>
            <w:rStyle w:val="Hyperlink"/>
            <w:rFonts w:ascii="Arial" w:hAnsi="Arial" w:cs="Arial"/>
            <w:color w:val="000000" w:themeColor="text1"/>
            <w:lang w:val="en-GB"/>
          </w:rPr>
          <w:t>https://doi.org/10.1016/j.compedu.2014.11.007</w:t>
        </w:r>
      </w:hyperlink>
    </w:p>
    <w:p w14:paraId="24F9AE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Seale, J., Gibson, S., &amp; O’Connor, A. (2020). </w:t>
      </w:r>
      <w:r w:rsidRPr="00155160">
        <w:rPr>
          <w:rFonts w:ascii="Arial" w:hAnsi="Arial" w:cs="Arial"/>
          <w:i/>
          <w:iCs/>
          <w:color w:val="000000" w:themeColor="text1"/>
          <w:lang w:val="en-GB"/>
        </w:rPr>
        <w:t xml:space="preserve">Designing for inclusion: A practical guide to </w:t>
      </w:r>
      <w:proofErr w:type="spellStart"/>
      <w:r w:rsidRPr="00155160">
        <w:rPr>
          <w:rFonts w:ascii="Arial" w:hAnsi="Arial" w:cs="Arial"/>
          <w:i/>
          <w:iCs/>
          <w:color w:val="000000" w:themeColor="text1"/>
          <w:lang w:val="en-GB"/>
        </w:rPr>
        <w:t>UDL</w:t>
      </w:r>
      <w:proofErr w:type="spellEnd"/>
      <w:r w:rsidRPr="00155160">
        <w:rPr>
          <w:rFonts w:ascii="Arial" w:hAnsi="Arial" w:cs="Arial"/>
          <w:i/>
          <w:iCs/>
          <w:color w:val="000000" w:themeColor="text1"/>
          <w:lang w:val="en-GB"/>
        </w:rPr>
        <w:t xml:space="preserve"> in UK higher education</w:t>
      </w:r>
      <w:r w:rsidRPr="00155160">
        <w:rPr>
          <w:rFonts w:ascii="Arial" w:hAnsi="Arial" w:cs="Arial"/>
          <w:color w:val="000000" w:themeColor="text1"/>
          <w:lang w:val="en-GB"/>
        </w:rPr>
        <w:t>. Advance HE.</w:t>
      </w:r>
    </w:p>
    <w:p w14:paraId="199555A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Seery, C., Bourke, A. P., O'Rourke, K., &amp; </w:t>
      </w:r>
      <w:proofErr w:type="spellStart"/>
      <w:r w:rsidRPr="00155160">
        <w:rPr>
          <w:rFonts w:ascii="Arial" w:hAnsi="Arial" w:cs="Arial"/>
          <w:color w:val="000000" w:themeColor="text1"/>
          <w:lang w:val="en-GB"/>
        </w:rPr>
        <w:t>MacCarthaigh</w:t>
      </w:r>
      <w:proofErr w:type="spellEnd"/>
      <w:r w:rsidRPr="00155160">
        <w:rPr>
          <w:rFonts w:ascii="Arial" w:hAnsi="Arial" w:cs="Arial"/>
          <w:color w:val="000000" w:themeColor="text1"/>
          <w:lang w:val="en-GB"/>
        </w:rPr>
        <w:t xml:space="preserve">, E. (2024). Exploring the experiences of neurodivergent students in Irish higher education. </w:t>
      </w:r>
      <w:r w:rsidRPr="00155160">
        <w:rPr>
          <w:rFonts w:ascii="Arial" w:hAnsi="Arial" w:cs="Arial"/>
          <w:i/>
          <w:iCs/>
          <w:color w:val="000000" w:themeColor="text1"/>
          <w:lang w:val="en-GB"/>
        </w:rPr>
        <w:t>Disability &amp; Society, 39</w:t>
      </w:r>
      <w:r w:rsidRPr="00155160">
        <w:rPr>
          <w:rFonts w:ascii="Arial" w:hAnsi="Arial" w:cs="Arial"/>
          <w:color w:val="000000" w:themeColor="text1"/>
          <w:lang w:val="en-GB"/>
        </w:rPr>
        <w:t xml:space="preserve">(5), 1014–1035. </w:t>
      </w:r>
      <w:hyperlink r:id="rId80" w:tgtFrame="_blank" w:history="1">
        <w:r w:rsidRPr="00155160">
          <w:rPr>
            <w:rStyle w:val="Hyperlink"/>
            <w:rFonts w:ascii="Arial" w:hAnsi="Arial" w:cs="Arial"/>
            <w:color w:val="000000" w:themeColor="text1"/>
            <w:lang w:val="en-GB"/>
          </w:rPr>
          <w:t>https://doi.org/10.1080/09687599.2023.2209736</w:t>
        </w:r>
      </w:hyperlink>
    </w:p>
    <w:p w14:paraId="11048440" w14:textId="43563338"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Smith, F. G., Rao, K., &amp; Smith, L. (2022). The impact of universal design for learning on student satisfaction and academic outcomes: A systematic review. </w:t>
      </w:r>
      <w:r w:rsidRPr="00155160">
        <w:rPr>
          <w:rFonts w:ascii="Arial" w:hAnsi="Arial" w:cs="Arial"/>
          <w:i/>
          <w:iCs/>
          <w:color w:val="000000" w:themeColor="text1"/>
          <w:lang w:val="en-GB"/>
        </w:rPr>
        <w:t>Journal of Further and Higher Education, 46</w:t>
      </w:r>
      <w:r w:rsidRPr="00155160">
        <w:rPr>
          <w:rFonts w:ascii="Arial" w:hAnsi="Arial" w:cs="Arial"/>
          <w:color w:val="000000" w:themeColor="text1"/>
          <w:lang w:val="en-GB"/>
        </w:rPr>
        <w:t xml:space="preserve">(7), 963–977. </w:t>
      </w:r>
      <w:hyperlink r:id="rId81" w:tgtFrame="_blank" w:history="1">
        <w:r w:rsidRPr="00155160">
          <w:rPr>
            <w:rStyle w:val="Hyperlink"/>
            <w:rFonts w:ascii="Arial" w:hAnsi="Arial" w:cs="Arial"/>
            <w:color w:val="000000" w:themeColor="text1"/>
            <w:lang w:val="en-GB"/>
          </w:rPr>
          <w:t>https://doi.org/10.1080/0309877X.2021.1995893</w:t>
        </w:r>
      </w:hyperlink>
    </w:p>
    <w:p w14:paraId="755239C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Snyder, H. (2019). Literature review as a research methodology: An overview and guidelines. </w:t>
      </w:r>
      <w:r w:rsidRPr="00155160">
        <w:rPr>
          <w:rFonts w:ascii="Arial" w:hAnsi="Arial" w:cs="Arial"/>
          <w:i/>
          <w:iCs/>
          <w:color w:val="000000" w:themeColor="text1"/>
          <w:lang w:val="en-GB"/>
        </w:rPr>
        <w:t>Journal of Business Research, 104</w:t>
      </w:r>
      <w:r w:rsidRPr="00155160">
        <w:rPr>
          <w:rFonts w:ascii="Arial" w:hAnsi="Arial" w:cs="Arial"/>
          <w:color w:val="000000" w:themeColor="text1"/>
          <w:lang w:val="en-GB"/>
        </w:rPr>
        <w:t xml:space="preserve">, 333–339. </w:t>
      </w:r>
      <w:hyperlink r:id="rId82" w:tgtFrame="_blank" w:history="1">
        <w:r w:rsidRPr="00155160">
          <w:rPr>
            <w:rStyle w:val="Hyperlink"/>
            <w:rFonts w:ascii="Arial" w:hAnsi="Arial" w:cs="Arial"/>
            <w:color w:val="000000" w:themeColor="text1"/>
            <w:lang w:val="en-GB"/>
          </w:rPr>
          <w:t>https://doi.org/10.1016/j.jbusres.2019.07.039</w:t>
        </w:r>
      </w:hyperlink>
    </w:p>
    <w:p w14:paraId="6E7F7FC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Stentiford, L., &amp; </w:t>
      </w:r>
      <w:proofErr w:type="spellStart"/>
      <w:r w:rsidRPr="00155160">
        <w:rPr>
          <w:rFonts w:ascii="Arial" w:hAnsi="Arial" w:cs="Arial"/>
          <w:color w:val="000000" w:themeColor="text1"/>
          <w:lang w:val="en-GB"/>
        </w:rPr>
        <w:t>Koutsouris</w:t>
      </w:r>
      <w:proofErr w:type="spellEnd"/>
      <w:r w:rsidRPr="00155160">
        <w:rPr>
          <w:rFonts w:ascii="Arial" w:hAnsi="Arial" w:cs="Arial"/>
          <w:color w:val="000000" w:themeColor="text1"/>
          <w:lang w:val="en-GB"/>
        </w:rPr>
        <w:t xml:space="preserve">, G. (2022). What are the barriers to delivering inclusive higher education for disabled students in the UK? </w:t>
      </w:r>
      <w:r w:rsidRPr="00155160">
        <w:rPr>
          <w:rFonts w:ascii="Arial" w:hAnsi="Arial" w:cs="Arial"/>
          <w:i/>
          <w:iCs/>
          <w:color w:val="000000" w:themeColor="text1"/>
          <w:lang w:val="en-GB"/>
        </w:rPr>
        <w:t>Disability &amp; Society, 37</w:t>
      </w:r>
      <w:r w:rsidRPr="00155160">
        <w:rPr>
          <w:rFonts w:ascii="Arial" w:hAnsi="Arial" w:cs="Arial"/>
          <w:color w:val="000000" w:themeColor="text1"/>
          <w:lang w:val="en-GB"/>
        </w:rPr>
        <w:t xml:space="preserve">(7), 1146–1169. </w:t>
      </w:r>
      <w:hyperlink r:id="rId83" w:tgtFrame="_blank" w:history="1">
        <w:r w:rsidRPr="00155160">
          <w:rPr>
            <w:rStyle w:val="Hyperlink"/>
            <w:rFonts w:ascii="Arial" w:hAnsi="Arial" w:cs="Arial"/>
            <w:color w:val="000000" w:themeColor="text1"/>
            <w:lang w:val="en-GB"/>
          </w:rPr>
          <w:t>https://doi.org/10.1080/09687599.2021.1916327</w:t>
        </w:r>
      </w:hyperlink>
    </w:p>
    <w:p w14:paraId="2C55D221"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Stephens, T., &amp; Staddon, E. (2019). </w:t>
      </w:r>
      <w:r w:rsidRPr="00155160">
        <w:rPr>
          <w:rFonts w:ascii="Arial" w:hAnsi="Arial" w:cs="Arial"/>
          <w:i/>
          <w:iCs/>
          <w:color w:val="000000" w:themeColor="text1"/>
          <w:lang w:val="en-GB"/>
        </w:rPr>
        <w:t>Course Designer: Designing inclusive assessment</w:t>
      </w:r>
      <w:r w:rsidRPr="00155160">
        <w:rPr>
          <w:rFonts w:ascii="Arial" w:hAnsi="Arial" w:cs="Arial"/>
          <w:color w:val="000000" w:themeColor="text1"/>
          <w:lang w:val="en-GB"/>
        </w:rPr>
        <w:t xml:space="preserve">. Teaching, Learning and Employability Exchange, University of the Arts London. </w:t>
      </w:r>
      <w:hyperlink r:id="rId84" w:tgtFrame="_blank" w:history="1">
        <w:r w:rsidRPr="00155160">
          <w:rPr>
            <w:rStyle w:val="Hyperlink"/>
            <w:rFonts w:ascii="Arial" w:hAnsi="Arial" w:cs="Arial"/>
            <w:color w:val="000000" w:themeColor="text1"/>
            <w:lang w:val="en-GB"/>
          </w:rPr>
          <w:t>https://ualresearchonline.arts.ac.uk/id/eprint/18273/</w:t>
        </w:r>
      </w:hyperlink>
    </w:p>
    <w:p w14:paraId="736B17EC" w14:textId="77777777" w:rsidR="00155160" w:rsidRDefault="00155160" w:rsidP="005E276E">
      <w:pPr>
        <w:spacing w:line="360" w:lineRule="auto"/>
        <w:ind w:left="720" w:hanging="720"/>
      </w:pPr>
      <w:r w:rsidRPr="00155160">
        <w:rPr>
          <w:rFonts w:ascii="Arial" w:hAnsi="Arial" w:cs="Arial"/>
          <w:color w:val="000000" w:themeColor="text1"/>
          <w:lang w:val="en-GB"/>
        </w:rPr>
        <w:t xml:space="preserve">Student Minds. (2024). </w:t>
      </w:r>
      <w:r w:rsidRPr="00155160">
        <w:rPr>
          <w:rFonts w:ascii="Arial" w:hAnsi="Arial" w:cs="Arial"/>
          <w:i/>
          <w:iCs/>
          <w:color w:val="000000" w:themeColor="text1"/>
          <w:lang w:val="en-GB"/>
        </w:rPr>
        <w:t>The University Mental Health Charter</w:t>
      </w:r>
      <w:r w:rsidRPr="00155160">
        <w:rPr>
          <w:rFonts w:ascii="Arial" w:hAnsi="Arial" w:cs="Arial"/>
          <w:color w:val="000000" w:themeColor="text1"/>
          <w:lang w:val="en-GB"/>
        </w:rPr>
        <w:t xml:space="preserve">. </w:t>
      </w:r>
      <w:hyperlink r:id="rId85" w:tgtFrame="_blank" w:history="1">
        <w:r w:rsidRPr="00155160">
          <w:rPr>
            <w:rStyle w:val="Hyperlink"/>
            <w:rFonts w:ascii="Arial" w:hAnsi="Arial" w:cs="Arial"/>
            <w:color w:val="000000" w:themeColor="text1"/>
            <w:lang w:val="en-GB"/>
          </w:rPr>
          <w:t>https://www.studentminds.org.uk/universitymentalhealthcharter.html</w:t>
        </w:r>
      </w:hyperlink>
    </w:p>
    <w:p w14:paraId="7E5BD749" w14:textId="74F3031B" w:rsidR="00F91366" w:rsidRPr="00155160" w:rsidRDefault="00F91366" w:rsidP="005E276E">
      <w:pPr>
        <w:spacing w:line="360" w:lineRule="auto"/>
        <w:ind w:left="720" w:hanging="720"/>
        <w:rPr>
          <w:rFonts w:ascii="Arial" w:hAnsi="Arial" w:cs="Arial"/>
          <w:color w:val="000000" w:themeColor="text1"/>
          <w:lang w:val="en-GB"/>
        </w:rPr>
      </w:pPr>
      <w:proofErr w:type="spellStart"/>
      <w:r w:rsidRPr="00F91366">
        <w:rPr>
          <w:rFonts w:ascii="Arial" w:hAnsi="Arial" w:cs="Arial"/>
          <w:color w:val="000000" w:themeColor="text1"/>
        </w:rPr>
        <w:t>Tarconish</w:t>
      </w:r>
      <w:proofErr w:type="spellEnd"/>
      <w:r w:rsidRPr="00F91366">
        <w:rPr>
          <w:rFonts w:ascii="Arial" w:hAnsi="Arial" w:cs="Arial"/>
          <w:color w:val="000000" w:themeColor="text1"/>
        </w:rPr>
        <w:t xml:space="preserve">, N. E., Scott, L. A., Banerjee, M., &amp; Lombardi, A. (2023). Universal design for learning in postsecondary STEM education for students with disabilities: A systematic literature review. </w:t>
      </w:r>
      <w:r w:rsidRPr="00F91366">
        <w:rPr>
          <w:rFonts w:ascii="Arial" w:hAnsi="Arial" w:cs="Arial"/>
          <w:i/>
          <w:iCs/>
          <w:color w:val="000000" w:themeColor="text1"/>
        </w:rPr>
        <w:t>Journal of Postsecondary Education and Disability, 36</w:t>
      </w:r>
      <w:r w:rsidRPr="00F91366">
        <w:rPr>
          <w:rFonts w:ascii="Arial" w:hAnsi="Arial" w:cs="Arial"/>
          <w:color w:val="000000" w:themeColor="text1"/>
        </w:rPr>
        <w:t xml:space="preserve">(1), 41–56. </w:t>
      </w:r>
      <w:hyperlink r:id="rId86" w:tgtFrame="_blank" w:history="1">
        <w:r w:rsidRPr="00F91366">
          <w:rPr>
            <w:rStyle w:val="Hyperlink"/>
            <w:rFonts w:ascii="Arial" w:hAnsi="Arial" w:cs="Arial"/>
            <w:color w:val="000000" w:themeColor="text1"/>
          </w:rPr>
          <w:t>https://www.ahead.org/professional-resources/publications/jped/jped-volume-36-issue-1</w:t>
        </w:r>
      </w:hyperlink>
    </w:p>
    <w:p w14:paraId="6E81B410"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The Open University. (2022, April 1). </w:t>
      </w:r>
      <w:r w:rsidRPr="00155160">
        <w:rPr>
          <w:rFonts w:ascii="Arial" w:hAnsi="Arial" w:cs="Arial"/>
          <w:i/>
          <w:iCs/>
          <w:color w:val="000000" w:themeColor="text1"/>
          <w:lang w:val="en-GB"/>
        </w:rPr>
        <w:t>Student accessibility policy</w:t>
      </w:r>
      <w:r w:rsidRPr="00155160">
        <w:rPr>
          <w:rFonts w:ascii="Arial" w:hAnsi="Arial" w:cs="Arial"/>
          <w:color w:val="000000" w:themeColor="text1"/>
          <w:lang w:val="en-GB"/>
        </w:rPr>
        <w:t xml:space="preserve">. </w:t>
      </w:r>
      <w:hyperlink r:id="rId87" w:tgtFrame="_blank" w:history="1">
        <w:r w:rsidRPr="00155160">
          <w:rPr>
            <w:rStyle w:val="Hyperlink"/>
            <w:rFonts w:ascii="Arial" w:hAnsi="Arial" w:cs="Arial"/>
            <w:color w:val="000000" w:themeColor="text1"/>
            <w:lang w:val="en-GB"/>
          </w:rPr>
          <w:t>https://help.open.ac.uk/documents/policies/accessibility/files/42/student-accessibility-policy.pdf</w:t>
        </w:r>
      </w:hyperlink>
    </w:p>
    <w:p w14:paraId="00E5C96B"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Thomas, L., &amp; May, H. (2020). </w:t>
      </w:r>
      <w:r w:rsidRPr="00155160">
        <w:rPr>
          <w:rFonts w:ascii="Arial" w:hAnsi="Arial" w:cs="Arial"/>
          <w:i/>
          <w:iCs/>
          <w:color w:val="000000" w:themeColor="text1"/>
          <w:lang w:val="en-GB"/>
        </w:rPr>
        <w:t>Inclusive teaching and learning in higher education</w:t>
      </w:r>
      <w:r w:rsidRPr="00155160">
        <w:rPr>
          <w:rFonts w:ascii="Arial" w:hAnsi="Arial" w:cs="Arial"/>
          <w:color w:val="000000" w:themeColor="text1"/>
          <w:lang w:val="en-GB"/>
        </w:rPr>
        <w:t xml:space="preserve">. Advance HE. </w:t>
      </w:r>
      <w:hyperlink r:id="rId88" w:tgtFrame="_blank" w:history="1">
        <w:r w:rsidRPr="00155160">
          <w:rPr>
            <w:rStyle w:val="Hyperlink"/>
            <w:rFonts w:ascii="Arial" w:hAnsi="Arial" w:cs="Arial"/>
            <w:color w:val="000000" w:themeColor="text1"/>
            <w:lang w:val="en-GB"/>
          </w:rPr>
          <w:t>https://www.advance-he.ac.uk/knowledge-hub/inclusive-teaching-and-learning-higher-education</w:t>
        </w:r>
      </w:hyperlink>
    </w:p>
    <w:p w14:paraId="0A6CCE3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UCAS. (2024). </w:t>
      </w:r>
      <w:r w:rsidRPr="00155160">
        <w:rPr>
          <w:rFonts w:ascii="Arial" w:hAnsi="Arial" w:cs="Arial"/>
          <w:i/>
          <w:iCs/>
          <w:color w:val="000000" w:themeColor="text1"/>
          <w:lang w:val="en-GB"/>
        </w:rPr>
        <w:t>January deadline: Application figures</w:t>
      </w:r>
      <w:r w:rsidRPr="00155160">
        <w:rPr>
          <w:rFonts w:ascii="Arial" w:hAnsi="Arial" w:cs="Arial"/>
          <w:color w:val="000000" w:themeColor="text1"/>
          <w:lang w:val="en-GB"/>
        </w:rPr>
        <w:t xml:space="preserve">. </w:t>
      </w:r>
      <w:hyperlink r:id="rId89" w:tgtFrame="_blank" w:history="1">
        <w:r w:rsidRPr="00155160">
          <w:rPr>
            <w:rStyle w:val="Hyperlink"/>
            <w:rFonts w:ascii="Arial" w:hAnsi="Arial" w:cs="Arial"/>
            <w:color w:val="000000" w:themeColor="text1"/>
            <w:lang w:val="en-GB"/>
          </w:rPr>
          <w:t>https://www.ucas.com/data-and-analysis/undergraduate-statistics-and-reports/ucas-undergraduate-releases/2024-ucas-undergraduate-january-deadline-application-figures</w:t>
        </w:r>
      </w:hyperlink>
    </w:p>
    <w:p w14:paraId="0B30AEC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UNESCO Technical Cooperation Group. (2023). </w:t>
      </w:r>
      <w:r w:rsidRPr="00155160">
        <w:rPr>
          <w:rFonts w:ascii="Arial" w:hAnsi="Arial" w:cs="Arial"/>
          <w:i/>
          <w:iCs/>
          <w:color w:val="000000" w:themeColor="text1"/>
          <w:lang w:val="en-GB"/>
        </w:rPr>
        <w:t>Official list of SDG 4 indicators (September 2023)</w:t>
      </w:r>
      <w:r w:rsidRPr="00155160">
        <w:rPr>
          <w:rFonts w:ascii="Arial" w:hAnsi="Arial" w:cs="Arial"/>
          <w:color w:val="000000" w:themeColor="text1"/>
          <w:lang w:val="en-GB"/>
        </w:rPr>
        <w:t xml:space="preserve">. </w:t>
      </w:r>
      <w:hyperlink r:id="rId90" w:tgtFrame="_blank" w:history="1">
        <w:r w:rsidRPr="00155160">
          <w:rPr>
            <w:rStyle w:val="Hyperlink"/>
            <w:rFonts w:ascii="Arial" w:hAnsi="Arial" w:cs="Arial"/>
            <w:color w:val="000000" w:themeColor="text1"/>
            <w:lang w:val="en-GB"/>
          </w:rPr>
          <w:t>https://tcg.uis.unesco.org/wp-content/uploads/sites/4/2020/09/sdg4_indicator_list.pdf</w:t>
        </w:r>
      </w:hyperlink>
    </w:p>
    <w:p w14:paraId="65AD417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UNESCO. (n.d.). </w:t>
      </w:r>
      <w:r w:rsidRPr="00155160">
        <w:rPr>
          <w:rFonts w:ascii="Arial" w:hAnsi="Arial" w:cs="Arial"/>
          <w:i/>
          <w:iCs/>
          <w:color w:val="000000" w:themeColor="text1"/>
          <w:lang w:val="en-GB"/>
        </w:rPr>
        <w:t>SDG 4: Quality education</w:t>
      </w:r>
      <w:r w:rsidRPr="00155160">
        <w:rPr>
          <w:rFonts w:ascii="Arial" w:hAnsi="Arial" w:cs="Arial"/>
          <w:color w:val="000000" w:themeColor="text1"/>
          <w:lang w:val="en-GB"/>
        </w:rPr>
        <w:t xml:space="preserve">. Retrieved August 15, 2025, from </w:t>
      </w:r>
      <w:hyperlink r:id="rId91" w:tgtFrame="_blank" w:history="1">
        <w:r w:rsidRPr="00155160">
          <w:rPr>
            <w:rStyle w:val="Hyperlink"/>
            <w:rFonts w:ascii="Arial" w:hAnsi="Arial" w:cs="Arial"/>
            <w:color w:val="000000" w:themeColor="text1"/>
            <w:lang w:val="en-GB"/>
          </w:rPr>
          <w:t>https://www.unesco.org/en/education/sdgs</w:t>
        </w:r>
      </w:hyperlink>
    </w:p>
    <w:p w14:paraId="42B4A95D"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(2015). </w:t>
      </w:r>
      <w:r w:rsidRPr="00155160">
        <w:rPr>
          <w:rFonts w:ascii="Arial" w:hAnsi="Arial" w:cs="Arial"/>
          <w:i/>
          <w:iCs/>
          <w:color w:val="000000" w:themeColor="text1"/>
          <w:lang w:val="en-GB"/>
        </w:rPr>
        <w:t>Transforming our world: The 2030 Agenda for Sustainable Development</w:t>
      </w:r>
      <w:r w:rsidRPr="00155160">
        <w:rPr>
          <w:rFonts w:ascii="Arial" w:hAnsi="Arial" w:cs="Arial"/>
          <w:color w:val="000000" w:themeColor="text1"/>
          <w:lang w:val="en-GB"/>
        </w:rPr>
        <w:t xml:space="preserve">. </w:t>
      </w:r>
      <w:hyperlink r:id="rId92" w:tgtFrame="_blank" w:history="1">
        <w:r w:rsidRPr="00155160">
          <w:rPr>
            <w:rStyle w:val="Hyperlink"/>
            <w:rFonts w:ascii="Arial" w:hAnsi="Arial" w:cs="Arial"/>
            <w:color w:val="000000" w:themeColor="text1"/>
            <w:lang w:val="en-GB"/>
          </w:rPr>
          <w:t>https://sdgs.un.org/2030agenda</w:t>
        </w:r>
      </w:hyperlink>
    </w:p>
    <w:p w14:paraId="27D22902"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(n.d.-a). </w:t>
      </w:r>
      <w:r w:rsidRPr="00155160">
        <w:rPr>
          <w:rFonts w:ascii="Arial" w:hAnsi="Arial" w:cs="Arial"/>
          <w:i/>
          <w:iCs/>
          <w:color w:val="000000" w:themeColor="text1"/>
          <w:lang w:val="en-GB"/>
        </w:rPr>
        <w:t>Goal 4: Quality education</w:t>
      </w:r>
      <w:r w:rsidRPr="00155160">
        <w:rPr>
          <w:rFonts w:ascii="Arial" w:hAnsi="Arial" w:cs="Arial"/>
          <w:color w:val="000000" w:themeColor="text1"/>
          <w:lang w:val="en-GB"/>
        </w:rPr>
        <w:t xml:space="preserve">. Retrieved August 15, 2025, from </w:t>
      </w:r>
      <w:hyperlink r:id="rId93" w:tgtFrame="_blank" w:history="1">
        <w:r w:rsidRPr="00155160">
          <w:rPr>
            <w:rStyle w:val="Hyperlink"/>
            <w:rFonts w:ascii="Arial" w:hAnsi="Arial" w:cs="Arial"/>
            <w:color w:val="000000" w:themeColor="text1"/>
            <w:lang w:val="en-GB"/>
          </w:rPr>
          <w:t>https://sdgs.un.org/goals/goal4</w:t>
        </w:r>
      </w:hyperlink>
    </w:p>
    <w:p w14:paraId="447BEB7F"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United Nations. (n.d.-b). </w:t>
      </w:r>
      <w:r w:rsidRPr="00155160">
        <w:rPr>
          <w:rFonts w:ascii="Arial" w:hAnsi="Arial" w:cs="Arial"/>
          <w:i/>
          <w:iCs/>
          <w:color w:val="000000" w:themeColor="text1"/>
          <w:lang w:val="en-GB"/>
        </w:rPr>
        <w:t>Goal 10: Reduce inequality within and among countries</w:t>
      </w:r>
      <w:r w:rsidRPr="00155160">
        <w:rPr>
          <w:rFonts w:ascii="Arial" w:hAnsi="Arial" w:cs="Arial"/>
          <w:color w:val="000000" w:themeColor="text1"/>
          <w:lang w:val="en-GB"/>
        </w:rPr>
        <w:t xml:space="preserve">. Retrieved August 15, 2025, from </w:t>
      </w:r>
      <w:hyperlink r:id="rId94" w:tgtFrame="_blank" w:history="1">
        <w:r w:rsidRPr="00155160">
          <w:rPr>
            <w:rStyle w:val="Hyperlink"/>
            <w:rFonts w:ascii="Arial" w:hAnsi="Arial" w:cs="Arial"/>
            <w:color w:val="000000" w:themeColor="text1"/>
            <w:lang w:val="en-GB"/>
          </w:rPr>
          <w:t>https://sdgs.un.org/goals/goal10</w:t>
        </w:r>
      </w:hyperlink>
    </w:p>
    <w:p w14:paraId="610642B3" w14:textId="2DD150A5" w:rsidR="00155160" w:rsidRPr="00155160" w:rsidRDefault="00540A5C" w:rsidP="005E276E">
      <w:pPr>
        <w:spacing w:line="360" w:lineRule="auto"/>
        <w:ind w:left="720" w:hanging="720"/>
        <w:rPr>
          <w:rFonts w:ascii="Arial" w:hAnsi="Arial" w:cs="Arial"/>
          <w:color w:val="000000" w:themeColor="text1"/>
          <w:lang w:val="en-GB"/>
        </w:rPr>
      </w:pPr>
      <w:r>
        <w:rPr>
          <w:rFonts w:ascii="Arial" w:hAnsi="Arial" w:cs="Arial"/>
          <w:color w:val="000000" w:themeColor="text1"/>
          <w:lang w:val="en-GB"/>
        </w:rPr>
        <w:t>UUK,</w:t>
      </w:r>
      <w:r w:rsidR="00155160" w:rsidRPr="00155160">
        <w:rPr>
          <w:rFonts w:ascii="Arial" w:hAnsi="Arial" w:cs="Arial"/>
          <w:color w:val="000000" w:themeColor="text1"/>
          <w:lang w:val="en-GB"/>
        </w:rPr>
        <w:t xml:space="preserve"> (202</w:t>
      </w:r>
      <w:r>
        <w:rPr>
          <w:rFonts w:ascii="Arial" w:hAnsi="Arial" w:cs="Arial"/>
          <w:color w:val="000000" w:themeColor="text1"/>
          <w:lang w:val="en-GB"/>
        </w:rPr>
        <w:t>2</w:t>
      </w:r>
      <w:r w:rsidR="00155160" w:rsidRPr="00155160">
        <w:rPr>
          <w:rFonts w:ascii="Arial" w:hAnsi="Arial" w:cs="Arial"/>
          <w:color w:val="000000" w:themeColor="text1"/>
          <w:lang w:val="en-GB"/>
        </w:rPr>
        <w:t xml:space="preserve">). </w:t>
      </w:r>
      <w:r w:rsidR="00155160" w:rsidRPr="00155160">
        <w:rPr>
          <w:rFonts w:ascii="Arial" w:hAnsi="Arial" w:cs="Arial"/>
          <w:i/>
          <w:iCs/>
          <w:color w:val="000000" w:themeColor="text1"/>
          <w:lang w:val="en-GB"/>
        </w:rPr>
        <w:t>International student recruitment: The role of agents</w:t>
      </w:r>
      <w:r w:rsidR="00155160" w:rsidRPr="00155160">
        <w:rPr>
          <w:rFonts w:ascii="Arial" w:hAnsi="Arial" w:cs="Arial"/>
          <w:color w:val="000000" w:themeColor="text1"/>
          <w:lang w:val="en-GB"/>
        </w:rPr>
        <w:t xml:space="preserve">. </w:t>
      </w:r>
      <w:hyperlink r:id="rId95" w:tgtFrame="_blank" w:history="1">
        <w:r w:rsidR="00155160" w:rsidRPr="00155160">
          <w:rPr>
            <w:rStyle w:val="Hyperlink"/>
            <w:rFonts w:ascii="Arial" w:hAnsi="Arial" w:cs="Arial"/>
            <w:color w:val="000000" w:themeColor="text1"/>
            <w:lang w:val="en-GB"/>
          </w:rPr>
          <w:t>https://www.hepi.ac.uk/2023/11/16/international-student-recruitment-the-role-of-agents-2/</w:t>
        </w:r>
      </w:hyperlink>
    </w:p>
    <w:p w14:paraId="4839A584"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University of Leeds. (2022, September 7). </w:t>
      </w:r>
      <w:r w:rsidRPr="00155160">
        <w:rPr>
          <w:rFonts w:ascii="Arial" w:hAnsi="Arial" w:cs="Arial"/>
          <w:i/>
          <w:iCs/>
          <w:color w:val="000000" w:themeColor="text1"/>
          <w:lang w:val="en-GB"/>
        </w:rPr>
        <w:t>Inclusive baseline standards</w:t>
      </w:r>
      <w:r w:rsidRPr="00155160">
        <w:rPr>
          <w:rFonts w:ascii="Arial" w:hAnsi="Arial" w:cs="Arial"/>
          <w:color w:val="000000" w:themeColor="text1"/>
          <w:lang w:val="en-GB"/>
        </w:rPr>
        <w:t xml:space="preserve">. </w:t>
      </w:r>
      <w:hyperlink r:id="rId96" w:tgtFrame="_blank" w:history="1">
        <w:r w:rsidRPr="00155160">
          <w:rPr>
            <w:rStyle w:val="Hyperlink"/>
            <w:rFonts w:ascii="Arial" w:hAnsi="Arial" w:cs="Arial"/>
            <w:color w:val="000000" w:themeColor="text1"/>
            <w:lang w:val="en-GB"/>
          </w:rPr>
          <w:t>https://inclusiveteaching.leeds.ac.uk/embedding-inclusivity/inclusive-baseline-standards/</w:t>
        </w:r>
      </w:hyperlink>
    </w:p>
    <w:p w14:paraId="668FA6A5"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University of the Arts London. (n.d.). </w:t>
      </w:r>
      <w:r w:rsidRPr="00155160">
        <w:rPr>
          <w:rFonts w:ascii="Arial" w:hAnsi="Arial" w:cs="Arial"/>
          <w:i/>
          <w:iCs/>
          <w:color w:val="000000" w:themeColor="text1"/>
          <w:lang w:val="en-GB"/>
        </w:rPr>
        <w:t>Assessment and marking criteria</w:t>
      </w:r>
      <w:r w:rsidRPr="00155160">
        <w:rPr>
          <w:rFonts w:ascii="Arial" w:hAnsi="Arial" w:cs="Arial"/>
          <w:color w:val="000000" w:themeColor="text1"/>
          <w:lang w:val="en-GB"/>
        </w:rPr>
        <w:t xml:space="preserve">. Retrieved August 15, 2025, from </w:t>
      </w:r>
      <w:hyperlink r:id="rId97" w:tgtFrame="_blank" w:history="1">
        <w:r w:rsidRPr="00155160">
          <w:rPr>
            <w:rStyle w:val="Hyperlink"/>
            <w:rFonts w:ascii="Arial" w:hAnsi="Arial" w:cs="Arial"/>
            <w:color w:val="000000" w:themeColor="text1"/>
            <w:lang w:val="en-GB"/>
          </w:rPr>
          <w:t>https://www.arts.ac.uk/study-at-ual/course-regulations/assessment</w:t>
        </w:r>
      </w:hyperlink>
    </w:p>
    <w:p w14:paraId="2FF90526"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Veytia Bucheli, M. G., García-Holgado, A., &amp; García-</w:t>
      </w:r>
      <w:proofErr w:type="spellStart"/>
      <w:r w:rsidRPr="00155160">
        <w:rPr>
          <w:rFonts w:ascii="Arial" w:hAnsi="Arial" w:cs="Arial"/>
          <w:color w:val="000000" w:themeColor="text1"/>
          <w:lang w:val="en-GB"/>
        </w:rPr>
        <w:t>Peñalvo</w:t>
      </w:r>
      <w:proofErr w:type="spellEnd"/>
      <w:r w:rsidRPr="00155160">
        <w:rPr>
          <w:rFonts w:ascii="Arial" w:hAnsi="Arial" w:cs="Arial"/>
          <w:color w:val="000000" w:themeColor="text1"/>
          <w:lang w:val="en-GB"/>
        </w:rPr>
        <w:t xml:space="preserve">, F. J. (2024). Digital technologies as enablers of </w:t>
      </w:r>
      <w:proofErr w:type="spellStart"/>
      <w:r w:rsidRPr="00155160">
        <w:rPr>
          <w:rFonts w:ascii="Arial" w:hAnsi="Arial" w:cs="Arial"/>
          <w:color w:val="000000" w:themeColor="text1"/>
          <w:lang w:val="en-GB"/>
        </w:rPr>
        <w:t>UDL</w:t>
      </w:r>
      <w:proofErr w:type="spellEnd"/>
      <w:r w:rsidRPr="00155160">
        <w:rPr>
          <w:rFonts w:ascii="Arial" w:hAnsi="Arial" w:cs="Arial"/>
          <w:color w:val="000000" w:themeColor="text1"/>
          <w:lang w:val="en-GB"/>
        </w:rPr>
        <w:t xml:space="preserve"> in higher education. </w:t>
      </w:r>
      <w:r w:rsidRPr="00155160">
        <w:rPr>
          <w:rFonts w:ascii="Arial" w:hAnsi="Arial" w:cs="Arial"/>
          <w:i/>
          <w:iCs/>
          <w:color w:val="000000" w:themeColor="text1"/>
          <w:lang w:val="en-GB"/>
        </w:rPr>
        <w:t>Education and Information Technologies, 29</w:t>
      </w:r>
      <w:r w:rsidRPr="00155160">
        <w:rPr>
          <w:rFonts w:ascii="Arial" w:hAnsi="Arial" w:cs="Arial"/>
          <w:color w:val="000000" w:themeColor="text1"/>
          <w:lang w:val="en-GB"/>
        </w:rPr>
        <w:t xml:space="preserve">, 3545–3564. </w:t>
      </w:r>
      <w:hyperlink r:id="rId98" w:tgtFrame="_blank" w:history="1">
        <w:r w:rsidRPr="00155160">
          <w:rPr>
            <w:rStyle w:val="Hyperlink"/>
            <w:rFonts w:ascii="Arial" w:hAnsi="Arial" w:cs="Arial"/>
            <w:color w:val="000000" w:themeColor="text1"/>
            <w:lang w:val="en-GB"/>
          </w:rPr>
          <w:t>https://doi.org/10.1007/s10639-023-12275-z</w:t>
        </w:r>
      </w:hyperlink>
    </w:p>
    <w:p w14:paraId="6CF9B74C"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Watson, S. (2024, February 9). </w:t>
      </w:r>
      <w:r w:rsidRPr="00155160">
        <w:rPr>
          <w:rFonts w:ascii="Arial" w:hAnsi="Arial" w:cs="Arial"/>
          <w:i/>
          <w:iCs/>
          <w:color w:val="000000" w:themeColor="text1"/>
          <w:lang w:val="en-GB"/>
        </w:rPr>
        <w:t>The financial challenges facing UK universities</w:t>
      </w:r>
      <w:r w:rsidRPr="00155160">
        <w:rPr>
          <w:rFonts w:ascii="Arial" w:hAnsi="Arial" w:cs="Arial"/>
          <w:color w:val="000000" w:themeColor="text1"/>
          <w:lang w:val="en-GB"/>
        </w:rPr>
        <w:t xml:space="preserve"> (Briefing Paper No. 9800). House of Commons Library. </w:t>
      </w:r>
      <w:hyperlink r:id="rId99" w:tgtFrame="_blank" w:history="1">
        <w:r w:rsidRPr="00155160">
          <w:rPr>
            <w:rStyle w:val="Hyperlink"/>
            <w:rFonts w:ascii="Arial" w:hAnsi="Arial" w:cs="Arial"/>
            <w:color w:val="000000" w:themeColor="text1"/>
            <w:lang w:val="en-GB"/>
          </w:rPr>
          <w:t>https://commonslibrary.parliament.uk/research-briefings/cbp-9800/</w:t>
        </w:r>
      </w:hyperlink>
    </w:p>
    <w:p w14:paraId="42F9C44A"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lastRenderedPageBreak/>
        <w:t xml:space="preserve">Whittemore, R., &amp; </w:t>
      </w:r>
      <w:proofErr w:type="spellStart"/>
      <w:r w:rsidRPr="00155160">
        <w:rPr>
          <w:rFonts w:ascii="Arial" w:hAnsi="Arial" w:cs="Arial"/>
          <w:color w:val="000000" w:themeColor="text1"/>
          <w:lang w:val="en-GB"/>
        </w:rPr>
        <w:t>Knafl</w:t>
      </w:r>
      <w:proofErr w:type="spellEnd"/>
      <w:r w:rsidRPr="00155160">
        <w:rPr>
          <w:rFonts w:ascii="Arial" w:hAnsi="Arial" w:cs="Arial"/>
          <w:color w:val="000000" w:themeColor="text1"/>
          <w:lang w:val="en-GB"/>
        </w:rPr>
        <w:t xml:space="preserve">, K. (2005). The integrative review: Updated methodology. </w:t>
      </w:r>
      <w:r w:rsidRPr="00155160">
        <w:rPr>
          <w:rFonts w:ascii="Arial" w:hAnsi="Arial" w:cs="Arial"/>
          <w:i/>
          <w:iCs/>
          <w:color w:val="000000" w:themeColor="text1"/>
          <w:lang w:val="en-GB"/>
        </w:rPr>
        <w:t>Journal of Advanced Nursing, 52</w:t>
      </w:r>
      <w:r w:rsidRPr="00155160">
        <w:rPr>
          <w:rFonts w:ascii="Arial" w:hAnsi="Arial" w:cs="Arial"/>
          <w:color w:val="000000" w:themeColor="text1"/>
          <w:lang w:val="en-GB"/>
        </w:rPr>
        <w:t xml:space="preserve">(5), 546–553. </w:t>
      </w:r>
      <w:hyperlink r:id="rId100" w:tgtFrame="_blank" w:history="1">
        <w:r w:rsidRPr="00155160">
          <w:rPr>
            <w:rStyle w:val="Hyperlink"/>
            <w:rFonts w:ascii="Arial" w:hAnsi="Arial" w:cs="Arial"/>
            <w:color w:val="000000" w:themeColor="text1"/>
            <w:lang w:val="en-GB"/>
          </w:rPr>
          <w:t>https://doi.org/10.1111/j.1365-2648.2005.03621.x</w:t>
        </w:r>
      </w:hyperlink>
    </w:p>
    <w:p w14:paraId="02EC1118" w14:textId="77777777" w:rsidR="00155160" w:rsidRPr="00155160" w:rsidRDefault="00155160" w:rsidP="005E276E">
      <w:pPr>
        <w:spacing w:line="360" w:lineRule="auto"/>
        <w:ind w:left="720" w:hanging="720"/>
        <w:rPr>
          <w:rFonts w:ascii="Arial" w:hAnsi="Arial" w:cs="Arial"/>
          <w:color w:val="000000" w:themeColor="text1"/>
          <w:lang w:val="en-GB"/>
        </w:rPr>
      </w:pPr>
      <w:proofErr w:type="spellStart"/>
      <w:r w:rsidRPr="00155160">
        <w:rPr>
          <w:rFonts w:ascii="Arial" w:hAnsi="Arial" w:cs="Arial"/>
          <w:color w:val="000000" w:themeColor="text1"/>
          <w:lang w:val="en-GB"/>
        </w:rPr>
        <w:t>Woelert</w:t>
      </w:r>
      <w:proofErr w:type="spellEnd"/>
      <w:r w:rsidRPr="00155160">
        <w:rPr>
          <w:rFonts w:ascii="Arial" w:hAnsi="Arial" w:cs="Arial"/>
          <w:color w:val="000000" w:themeColor="text1"/>
          <w:lang w:val="en-GB"/>
        </w:rPr>
        <w:t xml:space="preserve">, P. (2023). The administrative burden of diversity work in higher education. </w:t>
      </w:r>
      <w:r w:rsidRPr="00155160">
        <w:rPr>
          <w:rFonts w:ascii="Arial" w:hAnsi="Arial" w:cs="Arial"/>
          <w:i/>
          <w:iCs/>
          <w:color w:val="000000" w:themeColor="text1"/>
          <w:lang w:val="en-GB"/>
        </w:rPr>
        <w:t>Higher Education Research &amp; Development, 42</w:t>
      </w:r>
      <w:r w:rsidRPr="00155160">
        <w:rPr>
          <w:rFonts w:ascii="Arial" w:hAnsi="Arial" w:cs="Arial"/>
          <w:color w:val="000000" w:themeColor="text1"/>
          <w:lang w:val="en-GB"/>
        </w:rPr>
        <w:t xml:space="preserve">(6), 1367–1381. </w:t>
      </w:r>
      <w:hyperlink r:id="rId101" w:tgtFrame="_blank" w:history="1">
        <w:r w:rsidRPr="00155160">
          <w:rPr>
            <w:rStyle w:val="Hyperlink"/>
            <w:rFonts w:ascii="Arial" w:hAnsi="Arial" w:cs="Arial"/>
            <w:color w:val="000000" w:themeColor="text1"/>
            <w:lang w:val="en-GB"/>
          </w:rPr>
          <w:t>https://doi.org/10.1080/07294360.2022.213271</w:t>
        </w:r>
      </w:hyperlink>
    </w:p>
    <w:p w14:paraId="355880C3"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Woodley, C., Wright, D., &amp; Adesola, A. (2024). Anticipatory inclusion: A framework for supporting neurodivergent students in higher education. </w:t>
      </w:r>
      <w:r w:rsidRPr="00155160">
        <w:rPr>
          <w:rFonts w:ascii="Arial" w:hAnsi="Arial" w:cs="Arial"/>
          <w:i/>
          <w:iCs/>
          <w:color w:val="000000" w:themeColor="text1"/>
          <w:lang w:val="en-GB"/>
        </w:rPr>
        <w:t>Journal of Inclusive Practice in Further and Higher Education, 16</w:t>
      </w:r>
      <w:r w:rsidRPr="00155160">
        <w:rPr>
          <w:rFonts w:ascii="Arial" w:hAnsi="Arial" w:cs="Arial"/>
          <w:color w:val="000000" w:themeColor="text1"/>
          <w:lang w:val="en-GB"/>
        </w:rPr>
        <w:t xml:space="preserve">(1), 6–21. </w:t>
      </w:r>
      <w:hyperlink r:id="rId102" w:tgtFrame="_blank" w:history="1">
        <w:r w:rsidRPr="00155160">
          <w:rPr>
            <w:rStyle w:val="Hyperlink"/>
            <w:rFonts w:ascii="Arial" w:hAnsi="Arial" w:cs="Arial"/>
            <w:color w:val="000000" w:themeColor="text1"/>
            <w:lang w:val="en-GB"/>
          </w:rPr>
          <w:t>https://nadp-uk.org/wp-content/uploads/2024/04/JIPFHE-16.1-Spring-2024-Woodley-et-al.pdf</w:t>
        </w:r>
      </w:hyperlink>
    </w:p>
    <w:p w14:paraId="1F5097C7" w14:textId="77777777" w:rsidR="00155160" w:rsidRPr="00155160" w:rsidRDefault="00155160" w:rsidP="005E276E">
      <w:pPr>
        <w:spacing w:line="360" w:lineRule="auto"/>
        <w:ind w:left="720" w:hanging="720"/>
        <w:rPr>
          <w:rFonts w:ascii="Arial" w:hAnsi="Arial" w:cs="Arial"/>
          <w:color w:val="000000" w:themeColor="text1"/>
          <w:lang w:val="en-GB"/>
        </w:rPr>
      </w:pPr>
      <w:r w:rsidRPr="00155160">
        <w:rPr>
          <w:rFonts w:ascii="Arial" w:hAnsi="Arial" w:cs="Arial"/>
          <w:color w:val="000000" w:themeColor="text1"/>
          <w:lang w:val="en-GB"/>
        </w:rPr>
        <w:t xml:space="preserve">Zorec, K., Desmond, D., Boland, T., McNicholl, A., O’Connor, A., Stafford, G., &amp; Gallagher, P. (2024). A whole-campus approach to technology and inclusion of students with disabilities in higher education in Ireland. </w:t>
      </w:r>
      <w:r w:rsidRPr="00155160">
        <w:rPr>
          <w:rFonts w:ascii="Arial" w:hAnsi="Arial" w:cs="Arial"/>
          <w:i/>
          <w:iCs/>
          <w:color w:val="000000" w:themeColor="text1"/>
          <w:lang w:val="en-GB"/>
        </w:rPr>
        <w:t>Disability &amp; Society, 39</w:t>
      </w:r>
      <w:r w:rsidRPr="00155160">
        <w:rPr>
          <w:rFonts w:ascii="Arial" w:hAnsi="Arial" w:cs="Arial"/>
          <w:color w:val="000000" w:themeColor="text1"/>
          <w:lang w:val="en-GB"/>
        </w:rPr>
        <w:t xml:space="preserve">(5), 1147–1172. </w:t>
      </w:r>
      <w:hyperlink r:id="rId103" w:tgtFrame="_blank" w:history="1">
        <w:r w:rsidRPr="00155160">
          <w:rPr>
            <w:rStyle w:val="Hyperlink"/>
            <w:rFonts w:ascii="Arial" w:hAnsi="Arial" w:cs="Arial"/>
            <w:color w:val="000000" w:themeColor="text1"/>
            <w:lang w:val="en-GB"/>
          </w:rPr>
          <w:t>https://doi.org/10.1080/09687599.2022.2114885</w:t>
        </w:r>
      </w:hyperlink>
    </w:p>
    <w:p w14:paraId="6E2FD132" w14:textId="77777777" w:rsidR="000E2B82" w:rsidRDefault="000E2B82" w:rsidP="000B59C1">
      <w:pPr>
        <w:rPr>
          <w:rFonts w:ascii="Times New Roman" w:eastAsia="Times New Roman" w:hAnsi="Times New Roman" w:cs="Times New Roman"/>
          <w:color w:val="EE0000"/>
          <w:sz w:val="24"/>
          <w:szCs w:val="24"/>
          <w:lang w:val="en-GB" w:eastAsia="en-GB"/>
        </w:rPr>
      </w:pPr>
    </w:p>
    <w:p w14:paraId="50E58A61" w14:textId="77777777" w:rsidR="00B370A7" w:rsidRDefault="00B370A7" w:rsidP="000B59C1">
      <w:pPr>
        <w:rPr>
          <w:rFonts w:ascii="Times New Roman" w:eastAsia="Times New Roman" w:hAnsi="Times New Roman" w:cs="Times New Roman"/>
          <w:color w:val="EE0000"/>
          <w:sz w:val="24"/>
          <w:szCs w:val="24"/>
          <w:lang w:val="en-GB" w:eastAsia="en-GB"/>
        </w:rPr>
      </w:pPr>
    </w:p>
    <w:p w14:paraId="76517C1D" w14:textId="77777777" w:rsidR="00B370A7" w:rsidRDefault="00B370A7" w:rsidP="000B59C1">
      <w:pPr>
        <w:rPr>
          <w:rFonts w:ascii="Times New Roman" w:eastAsia="Times New Roman" w:hAnsi="Times New Roman" w:cs="Times New Roman"/>
          <w:color w:val="EE0000"/>
          <w:sz w:val="24"/>
          <w:szCs w:val="24"/>
          <w:lang w:val="en-GB" w:eastAsia="en-GB"/>
        </w:rPr>
      </w:pPr>
    </w:p>
    <w:p w14:paraId="7969F158" w14:textId="77777777" w:rsidR="00B370A7" w:rsidRDefault="00B370A7" w:rsidP="000B59C1">
      <w:pPr>
        <w:rPr>
          <w:rFonts w:ascii="Times New Roman" w:eastAsia="Times New Roman" w:hAnsi="Times New Roman" w:cs="Times New Roman"/>
          <w:color w:val="EE0000"/>
          <w:sz w:val="24"/>
          <w:szCs w:val="24"/>
          <w:lang w:val="en-GB" w:eastAsia="en-GB"/>
        </w:rPr>
      </w:pPr>
    </w:p>
    <w:p w14:paraId="08D4B7D8" w14:textId="77777777" w:rsidR="00B370A7" w:rsidRDefault="00B370A7" w:rsidP="000B59C1">
      <w:pPr>
        <w:rPr>
          <w:rFonts w:ascii="Times New Roman" w:eastAsia="Times New Roman" w:hAnsi="Times New Roman" w:cs="Times New Roman"/>
          <w:color w:val="EE0000"/>
          <w:sz w:val="24"/>
          <w:szCs w:val="24"/>
          <w:lang w:val="en-GB" w:eastAsia="en-GB"/>
        </w:rPr>
      </w:pPr>
    </w:p>
    <w:p w14:paraId="7BAF7B43" w14:textId="77777777" w:rsidR="00B370A7" w:rsidRDefault="00B370A7" w:rsidP="000B59C1">
      <w:pPr>
        <w:rPr>
          <w:rFonts w:ascii="Times New Roman" w:eastAsia="Times New Roman" w:hAnsi="Times New Roman" w:cs="Times New Roman"/>
          <w:color w:val="EE0000"/>
          <w:sz w:val="24"/>
          <w:szCs w:val="24"/>
          <w:lang w:val="en-GB" w:eastAsia="en-GB"/>
        </w:rPr>
      </w:pPr>
    </w:p>
    <w:p w14:paraId="3C1E3FB8" w14:textId="77777777" w:rsidR="00B370A7" w:rsidRDefault="00B370A7" w:rsidP="000B59C1">
      <w:pPr>
        <w:rPr>
          <w:rFonts w:ascii="Times New Roman" w:eastAsia="Times New Roman" w:hAnsi="Times New Roman" w:cs="Times New Roman"/>
          <w:color w:val="EE0000"/>
          <w:sz w:val="24"/>
          <w:szCs w:val="24"/>
          <w:lang w:val="en-GB" w:eastAsia="en-GB"/>
        </w:rPr>
      </w:pPr>
    </w:p>
    <w:p w14:paraId="63C6143E" w14:textId="77777777" w:rsidR="00B370A7" w:rsidRDefault="00B370A7" w:rsidP="000B59C1">
      <w:pPr>
        <w:rPr>
          <w:rFonts w:ascii="Times New Roman" w:eastAsia="Times New Roman" w:hAnsi="Times New Roman" w:cs="Times New Roman"/>
          <w:color w:val="EE0000"/>
          <w:sz w:val="24"/>
          <w:szCs w:val="24"/>
          <w:lang w:val="en-GB" w:eastAsia="en-GB"/>
        </w:rPr>
      </w:pPr>
    </w:p>
    <w:p w14:paraId="498E94F6" w14:textId="77777777" w:rsidR="00B370A7" w:rsidRDefault="00B370A7" w:rsidP="000B59C1">
      <w:pPr>
        <w:rPr>
          <w:rFonts w:ascii="Times New Roman" w:eastAsia="Times New Roman" w:hAnsi="Times New Roman" w:cs="Times New Roman"/>
          <w:color w:val="EE0000"/>
          <w:sz w:val="24"/>
          <w:szCs w:val="24"/>
          <w:lang w:val="en-GB" w:eastAsia="en-GB"/>
        </w:rPr>
      </w:pPr>
    </w:p>
    <w:p w14:paraId="0D096E89" w14:textId="77777777" w:rsidR="00B370A7" w:rsidRDefault="00B370A7" w:rsidP="000B59C1">
      <w:pPr>
        <w:rPr>
          <w:rFonts w:ascii="Times New Roman" w:eastAsia="Times New Roman" w:hAnsi="Times New Roman" w:cs="Times New Roman"/>
          <w:color w:val="EE0000"/>
          <w:sz w:val="24"/>
          <w:szCs w:val="24"/>
          <w:lang w:val="en-GB" w:eastAsia="en-GB"/>
        </w:rPr>
      </w:pPr>
    </w:p>
    <w:p w14:paraId="7F64F9CD" w14:textId="77777777" w:rsidR="00B370A7" w:rsidRDefault="00B370A7" w:rsidP="000B59C1">
      <w:pPr>
        <w:rPr>
          <w:rFonts w:ascii="Times New Roman" w:eastAsia="Times New Roman" w:hAnsi="Times New Roman" w:cs="Times New Roman"/>
          <w:color w:val="EE0000"/>
          <w:sz w:val="24"/>
          <w:szCs w:val="24"/>
          <w:lang w:val="en-GB" w:eastAsia="en-GB"/>
        </w:rPr>
      </w:pPr>
    </w:p>
    <w:p w14:paraId="254E0399" w14:textId="77777777" w:rsidR="00B370A7" w:rsidRDefault="00B370A7" w:rsidP="000B59C1">
      <w:pPr>
        <w:rPr>
          <w:rFonts w:ascii="Times New Roman" w:eastAsia="Times New Roman" w:hAnsi="Times New Roman" w:cs="Times New Roman"/>
          <w:color w:val="EE0000"/>
          <w:sz w:val="24"/>
          <w:szCs w:val="24"/>
          <w:lang w:val="en-GB" w:eastAsia="en-GB"/>
        </w:rPr>
      </w:pPr>
    </w:p>
    <w:p w14:paraId="1869FDCE" w14:textId="77777777" w:rsidR="00B370A7" w:rsidRDefault="00B370A7" w:rsidP="000B59C1">
      <w:pPr>
        <w:rPr>
          <w:rFonts w:ascii="Times New Roman" w:eastAsia="Times New Roman" w:hAnsi="Times New Roman" w:cs="Times New Roman"/>
          <w:color w:val="EE0000"/>
          <w:sz w:val="24"/>
          <w:szCs w:val="24"/>
          <w:lang w:val="en-GB" w:eastAsia="en-GB"/>
        </w:rPr>
      </w:pPr>
    </w:p>
    <w:p w14:paraId="4674EF68" w14:textId="5436776B" w:rsidR="00C92A6D" w:rsidRPr="000B59C1" w:rsidRDefault="00543052" w:rsidP="00A44044">
      <w:pPr>
        <w:pStyle w:val="Heading1"/>
        <w:rPr>
          <w:color w:val="EE0000"/>
        </w:rPr>
      </w:pPr>
      <w:bookmarkStart w:id="29" w:name="_Toc206171149"/>
      <w:r w:rsidRPr="000B1BD2">
        <w:rPr>
          <w:lang w:val="en-GB" w:eastAsia="en-GB"/>
        </w:rPr>
        <w:lastRenderedPageBreak/>
        <w:t>Appendices</w:t>
      </w:r>
      <w:bookmarkEnd w:id="29"/>
    </w:p>
    <w:p w14:paraId="25F5DFD1" w14:textId="2665DFA5" w:rsidR="00543052" w:rsidRPr="000B1BD2" w:rsidRDefault="00C92A6D" w:rsidP="00A44044">
      <w:pPr>
        <w:pStyle w:val="Heading2"/>
        <w:rPr>
          <w:lang w:val="en-GB" w:eastAsia="en-GB"/>
        </w:rPr>
      </w:pPr>
      <w:bookmarkStart w:id="30" w:name="_Toc206171150"/>
      <w:r w:rsidRPr="000B1BD2">
        <w:rPr>
          <w:lang w:val="en-GB" w:eastAsia="en-GB"/>
        </w:rPr>
        <w:t xml:space="preserve">Appendix A: </w:t>
      </w:r>
      <w:r w:rsidR="000B1BD2" w:rsidRPr="000B1BD2">
        <w:rPr>
          <w:lang w:val="en-GB" w:eastAsia="en-GB"/>
        </w:rPr>
        <w:t>UN SDG 4</w:t>
      </w:r>
      <w:r w:rsidR="007C3A42">
        <w:rPr>
          <w:lang w:val="en-GB" w:eastAsia="en-GB"/>
        </w:rPr>
        <w:t xml:space="preserve"> - </w:t>
      </w:r>
      <w:r w:rsidR="007C3A42" w:rsidRPr="007C3A42">
        <w:rPr>
          <w:lang w:val="en-GB" w:eastAsia="en-GB"/>
        </w:rPr>
        <w:t>Quality Education</w:t>
      </w:r>
      <w:bookmarkEnd w:id="30"/>
      <w:r w:rsidR="000B1BD2">
        <w:rPr>
          <w:lang w:val="en-GB" w:eastAsia="en-GB"/>
        </w:rPr>
        <w:t xml:space="preserve"> </w:t>
      </w:r>
      <w:r w:rsidR="007C2F16">
        <w:rPr>
          <w:lang w:val="en-GB" w:eastAsia="en-GB"/>
        </w:rPr>
        <w:br/>
      </w:r>
    </w:p>
    <w:tbl>
      <w:tblPr>
        <w:tblStyle w:val="TableGrid"/>
        <w:tblW w:w="9203" w:type="dxa"/>
        <w:tblInd w:w="-5" w:type="dxa"/>
        <w:tblLook w:val="04A0" w:firstRow="1" w:lastRow="0" w:firstColumn="1" w:lastColumn="0" w:noHBand="0" w:noVBand="1"/>
      </w:tblPr>
      <w:tblGrid>
        <w:gridCol w:w="1818"/>
        <w:gridCol w:w="7385"/>
      </w:tblGrid>
      <w:tr w:rsidR="00543052" w14:paraId="383A4A7C" w14:textId="77777777" w:rsidTr="00543052">
        <w:trPr>
          <w:trHeight w:val="290"/>
        </w:trPr>
        <w:tc>
          <w:tcPr>
            <w:tcW w:w="1818" w:type="dxa"/>
            <w:shd w:val="clear" w:color="auto" w:fill="D9D9D9" w:themeFill="background1" w:themeFillShade="D9"/>
          </w:tcPr>
          <w:p w14:paraId="214BEA35" w14:textId="6AFBE875" w:rsidR="00543052" w:rsidRPr="000B1BD2" w:rsidRDefault="00543052" w:rsidP="0054305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SDG 4 target</w:t>
            </w:r>
          </w:p>
        </w:tc>
        <w:tc>
          <w:tcPr>
            <w:tcW w:w="7385" w:type="dxa"/>
            <w:shd w:val="clear" w:color="auto" w:fill="D9D9D9" w:themeFill="background1" w:themeFillShade="D9"/>
          </w:tcPr>
          <w:p w14:paraId="7864B078" w14:textId="3E2C551E" w:rsidR="00543052" w:rsidRPr="000B1BD2" w:rsidRDefault="00543052" w:rsidP="0054305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 xml:space="preserve">Target focus </w:t>
            </w:r>
          </w:p>
        </w:tc>
      </w:tr>
      <w:tr w:rsidR="00543052" w14:paraId="58CFD496" w14:textId="77777777" w:rsidTr="00543052">
        <w:trPr>
          <w:trHeight w:val="567"/>
        </w:trPr>
        <w:tc>
          <w:tcPr>
            <w:tcW w:w="1818" w:type="dxa"/>
            <w:vAlign w:val="center"/>
          </w:tcPr>
          <w:p w14:paraId="2F484F9D" w14:textId="0337EA41"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4.1</w:t>
            </w:r>
          </w:p>
        </w:tc>
        <w:tc>
          <w:tcPr>
            <w:tcW w:w="7385" w:type="dxa"/>
            <w:vAlign w:val="center"/>
          </w:tcPr>
          <w:p w14:paraId="04230857" w14:textId="13227F3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children complete free, equitable, quality primary &amp; secondary education</w:t>
            </w:r>
          </w:p>
        </w:tc>
      </w:tr>
      <w:tr w:rsidR="00543052" w14:paraId="5C4A6155" w14:textId="77777777" w:rsidTr="00543052">
        <w:trPr>
          <w:trHeight w:val="567"/>
        </w:trPr>
        <w:tc>
          <w:tcPr>
            <w:tcW w:w="1818" w:type="dxa"/>
            <w:vAlign w:val="center"/>
          </w:tcPr>
          <w:p w14:paraId="381B5FC0" w14:textId="6490FE39"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4.2</w:t>
            </w:r>
          </w:p>
        </w:tc>
        <w:tc>
          <w:tcPr>
            <w:tcW w:w="7385" w:type="dxa"/>
            <w:vAlign w:val="center"/>
          </w:tcPr>
          <w:p w14:paraId="0D3519C0" w14:textId="2975AC32"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children access quality early childhood development, care &amp; pre-primary</w:t>
            </w:r>
          </w:p>
        </w:tc>
      </w:tr>
      <w:tr w:rsidR="00543052" w14:paraId="330086C5" w14:textId="77777777" w:rsidTr="000B1BD2">
        <w:trPr>
          <w:trHeight w:val="567"/>
        </w:trPr>
        <w:tc>
          <w:tcPr>
            <w:tcW w:w="1818" w:type="dxa"/>
            <w:shd w:val="clear" w:color="auto" w:fill="FFFFFF" w:themeFill="background1"/>
            <w:vAlign w:val="center"/>
          </w:tcPr>
          <w:p w14:paraId="2C84E8A0" w14:textId="36A1EA64"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4.3</w:t>
            </w:r>
          </w:p>
        </w:tc>
        <w:tc>
          <w:tcPr>
            <w:tcW w:w="7385" w:type="dxa"/>
            <w:shd w:val="clear" w:color="auto" w:fill="FFFFFF" w:themeFill="background1"/>
            <w:vAlign w:val="center"/>
          </w:tcPr>
          <w:p w14:paraId="01DD0770" w14:textId="7CA9D4C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women and men have equal access to affordable, quality TVET and tertiary education</w:t>
            </w:r>
          </w:p>
        </w:tc>
      </w:tr>
      <w:tr w:rsidR="00543052" w14:paraId="14C4F74C" w14:textId="77777777" w:rsidTr="000B1BD2">
        <w:trPr>
          <w:trHeight w:val="567"/>
        </w:trPr>
        <w:tc>
          <w:tcPr>
            <w:tcW w:w="1818" w:type="dxa"/>
            <w:shd w:val="clear" w:color="auto" w:fill="FFFFFF" w:themeFill="background1"/>
            <w:vAlign w:val="center"/>
          </w:tcPr>
          <w:p w14:paraId="363EFEDF" w14:textId="587B68A1"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4.4</w:t>
            </w:r>
          </w:p>
        </w:tc>
        <w:tc>
          <w:tcPr>
            <w:tcW w:w="7385" w:type="dxa"/>
            <w:shd w:val="clear" w:color="auto" w:fill="FFFFFF" w:themeFill="background1"/>
            <w:vAlign w:val="center"/>
          </w:tcPr>
          <w:p w14:paraId="29C4798B" w14:textId="1169D330"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more youth/adults gain relevant skills for employment and entrepreneurship</w:t>
            </w:r>
          </w:p>
        </w:tc>
      </w:tr>
      <w:tr w:rsidR="00543052" w14:paraId="42F6F443" w14:textId="77777777" w:rsidTr="000B1BD2">
        <w:trPr>
          <w:trHeight w:val="567"/>
        </w:trPr>
        <w:tc>
          <w:tcPr>
            <w:tcW w:w="1818" w:type="dxa"/>
            <w:shd w:val="clear" w:color="auto" w:fill="FFFFFF" w:themeFill="background1"/>
            <w:vAlign w:val="center"/>
          </w:tcPr>
          <w:p w14:paraId="634FE32B" w14:textId="22E5363A"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4.5</w:t>
            </w:r>
          </w:p>
        </w:tc>
        <w:tc>
          <w:tcPr>
            <w:tcW w:w="7385" w:type="dxa"/>
            <w:shd w:val="clear" w:color="auto" w:fill="FFFFFF" w:themeFill="background1"/>
            <w:vAlign w:val="center"/>
          </w:tcPr>
          <w:p w14:paraId="0ACACA2E" w14:textId="4E5E24DD"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eliminate gender disparities and widen access for vulnerable groups (incl. disability)</w:t>
            </w:r>
          </w:p>
        </w:tc>
      </w:tr>
      <w:tr w:rsidR="00543052" w14:paraId="2C0005A5" w14:textId="77777777" w:rsidTr="00543052">
        <w:trPr>
          <w:trHeight w:val="567"/>
        </w:trPr>
        <w:tc>
          <w:tcPr>
            <w:tcW w:w="1818" w:type="dxa"/>
            <w:vAlign w:val="center"/>
          </w:tcPr>
          <w:p w14:paraId="18A56AD4" w14:textId="31F35AB8"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4.6</w:t>
            </w:r>
          </w:p>
        </w:tc>
        <w:tc>
          <w:tcPr>
            <w:tcW w:w="7385" w:type="dxa"/>
            <w:vAlign w:val="center"/>
          </w:tcPr>
          <w:p w14:paraId="1CFFF3C0" w14:textId="5FEC2533"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 xml:space="preserve">By 2030, </w:t>
            </w:r>
            <w:proofErr w:type="gramStart"/>
            <w:r w:rsidRPr="00543052">
              <w:rPr>
                <w:rFonts w:ascii="Arial" w:hAnsi="Arial" w:cs="Arial"/>
              </w:rPr>
              <w:t>increase</w:t>
            </w:r>
            <w:proofErr w:type="gramEnd"/>
            <w:r w:rsidRPr="00543052">
              <w:rPr>
                <w:rFonts w:ascii="Arial" w:hAnsi="Arial" w:cs="Arial"/>
              </w:rPr>
              <w:t xml:space="preserve"> adult literacy and numeracy</w:t>
            </w:r>
          </w:p>
        </w:tc>
      </w:tr>
      <w:tr w:rsidR="00543052" w14:paraId="428350A6" w14:textId="77777777" w:rsidTr="00543052">
        <w:trPr>
          <w:trHeight w:val="567"/>
        </w:trPr>
        <w:tc>
          <w:tcPr>
            <w:tcW w:w="1818" w:type="dxa"/>
            <w:vAlign w:val="center"/>
          </w:tcPr>
          <w:p w14:paraId="17E55DD1" w14:textId="425ED3C4"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4.7</w:t>
            </w:r>
          </w:p>
        </w:tc>
        <w:tc>
          <w:tcPr>
            <w:tcW w:w="7385" w:type="dxa"/>
            <w:vAlign w:val="center"/>
          </w:tcPr>
          <w:p w14:paraId="554CCA5B" w14:textId="4AEECEA9"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By 2030, all learners acquire knowledge/skills for sustainable development and global citizenship</w:t>
            </w:r>
          </w:p>
        </w:tc>
      </w:tr>
      <w:tr w:rsidR="00543052" w14:paraId="4475A83E" w14:textId="77777777" w:rsidTr="00543052">
        <w:trPr>
          <w:trHeight w:val="567"/>
        </w:trPr>
        <w:tc>
          <w:tcPr>
            <w:tcW w:w="1818" w:type="dxa"/>
            <w:vAlign w:val="center"/>
          </w:tcPr>
          <w:p w14:paraId="42B9D0BD" w14:textId="77E76A16"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4.a</w:t>
            </w:r>
          </w:p>
        </w:tc>
        <w:tc>
          <w:tcPr>
            <w:tcW w:w="7385" w:type="dxa"/>
            <w:vAlign w:val="center"/>
          </w:tcPr>
          <w:p w14:paraId="6D89B3BB" w14:textId="03DDCE0C"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Build/upgrade safe, inclusive, effective learning environments</w:t>
            </w:r>
          </w:p>
        </w:tc>
      </w:tr>
      <w:tr w:rsidR="00543052" w14:paraId="7C1655E9" w14:textId="77777777" w:rsidTr="00543052">
        <w:trPr>
          <w:trHeight w:val="567"/>
        </w:trPr>
        <w:tc>
          <w:tcPr>
            <w:tcW w:w="1818" w:type="dxa"/>
            <w:vAlign w:val="center"/>
          </w:tcPr>
          <w:p w14:paraId="70C4223F" w14:textId="14FA6839"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4.b</w:t>
            </w:r>
          </w:p>
        </w:tc>
        <w:tc>
          <w:tcPr>
            <w:tcW w:w="7385" w:type="dxa"/>
            <w:vAlign w:val="center"/>
          </w:tcPr>
          <w:p w14:paraId="2F62AEEB" w14:textId="657D1C0F"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Expand scholarships for learners from developing countries</w:t>
            </w:r>
          </w:p>
        </w:tc>
      </w:tr>
      <w:tr w:rsidR="00543052" w14:paraId="5F3C8090" w14:textId="77777777" w:rsidTr="00543052">
        <w:trPr>
          <w:trHeight w:val="567"/>
        </w:trPr>
        <w:tc>
          <w:tcPr>
            <w:tcW w:w="1818" w:type="dxa"/>
            <w:vAlign w:val="center"/>
          </w:tcPr>
          <w:p w14:paraId="7FEAC8D9" w14:textId="22F0E2DA" w:rsidR="00543052" w:rsidRPr="00543052" w:rsidRDefault="00543052" w:rsidP="00543052">
            <w:pPr>
              <w:spacing w:before="100" w:beforeAutospacing="1" w:after="100" w:afterAutospacing="1"/>
              <w:jc w:val="center"/>
              <w:rPr>
                <w:rFonts w:ascii="Arial" w:eastAsia="Times New Roman" w:hAnsi="Arial" w:cs="Arial"/>
                <w:b/>
                <w:bCs/>
                <w:sz w:val="28"/>
                <w:szCs w:val="28"/>
                <w:lang w:val="en-GB" w:eastAsia="en-GB"/>
              </w:rPr>
            </w:pPr>
            <w:r w:rsidRPr="00543052">
              <w:rPr>
                <w:rFonts w:ascii="Arial" w:hAnsi="Arial" w:cs="Arial"/>
                <w:b/>
                <w:bCs/>
                <w:sz w:val="28"/>
                <w:szCs w:val="28"/>
              </w:rPr>
              <w:t>4.c</w:t>
            </w:r>
          </w:p>
        </w:tc>
        <w:tc>
          <w:tcPr>
            <w:tcW w:w="7385" w:type="dxa"/>
            <w:vAlign w:val="center"/>
          </w:tcPr>
          <w:p w14:paraId="6D281AC0" w14:textId="0E3B8DBB" w:rsidR="00543052" w:rsidRPr="00543052" w:rsidRDefault="00543052" w:rsidP="00543052">
            <w:pPr>
              <w:spacing w:before="100" w:beforeAutospacing="1" w:after="100" w:afterAutospacing="1"/>
              <w:rPr>
                <w:rFonts w:ascii="Arial" w:eastAsia="Times New Roman" w:hAnsi="Arial" w:cs="Arial"/>
                <w:sz w:val="24"/>
                <w:szCs w:val="24"/>
                <w:lang w:val="en-GB" w:eastAsia="en-GB"/>
              </w:rPr>
            </w:pPr>
            <w:r w:rsidRPr="00543052">
              <w:rPr>
                <w:rFonts w:ascii="Arial" w:hAnsi="Arial" w:cs="Arial"/>
              </w:rPr>
              <w:t>Increase the supply of qualified teachers and improve teacher training</w:t>
            </w:r>
          </w:p>
        </w:tc>
      </w:tr>
    </w:tbl>
    <w:p w14:paraId="2FDD6D6F" w14:textId="0B8B447B" w:rsidR="00543052" w:rsidRDefault="000B1BD2" w:rsidP="00795651">
      <w:pPr>
        <w:spacing w:before="100" w:beforeAutospacing="1" w:after="100" w:afterAutospacing="1"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(UN, 2025a)</w:t>
      </w:r>
    </w:p>
    <w:p w14:paraId="403D045D"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629B16F0"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11D779F0" w14:textId="77777777" w:rsidR="00543052" w:rsidRDefault="00543052" w:rsidP="00795651">
      <w:pPr>
        <w:spacing w:before="100" w:beforeAutospacing="1" w:after="100" w:afterAutospacing="1" w:line="240" w:lineRule="auto"/>
        <w:rPr>
          <w:rFonts w:ascii="Arial" w:eastAsia="Times New Roman" w:hAnsi="Arial" w:cs="Arial"/>
          <w:sz w:val="24"/>
          <w:szCs w:val="24"/>
          <w:lang w:val="en-GB" w:eastAsia="en-GB"/>
        </w:rPr>
      </w:pPr>
    </w:p>
    <w:p w14:paraId="7346A6C3"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43C4989A"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0D35EA7D"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64B3B2BC" w14:textId="77777777" w:rsidR="00A44044" w:rsidRDefault="00A44044" w:rsidP="00795651">
      <w:pPr>
        <w:spacing w:before="100" w:beforeAutospacing="1" w:after="100" w:afterAutospacing="1" w:line="240" w:lineRule="auto"/>
        <w:rPr>
          <w:rFonts w:ascii="Arial" w:eastAsia="Times New Roman" w:hAnsi="Arial" w:cs="Arial"/>
          <w:sz w:val="24"/>
          <w:szCs w:val="24"/>
          <w:lang w:val="en-GB" w:eastAsia="en-GB"/>
        </w:rPr>
      </w:pPr>
    </w:p>
    <w:p w14:paraId="0DF6D0F9" w14:textId="77777777"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p>
    <w:p w14:paraId="45977B79" w14:textId="77777777"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p>
    <w:p w14:paraId="0E79905C" w14:textId="6AA06594" w:rsidR="000B1BD2" w:rsidRPr="007C3A42" w:rsidRDefault="00543052" w:rsidP="00A44044">
      <w:pPr>
        <w:pStyle w:val="Heading2"/>
        <w:rPr>
          <w:lang w:val="en-GB" w:eastAsia="en-GB"/>
        </w:rPr>
      </w:pPr>
      <w:bookmarkStart w:id="31" w:name="_Toc206171151"/>
      <w:r w:rsidRPr="000B1BD2">
        <w:rPr>
          <w:lang w:val="en-GB" w:eastAsia="en-GB"/>
        </w:rPr>
        <w:lastRenderedPageBreak/>
        <w:t xml:space="preserve">Appendix B: </w:t>
      </w:r>
      <w:r w:rsidR="000B1BD2" w:rsidRPr="000B1BD2">
        <w:rPr>
          <w:lang w:val="en-GB" w:eastAsia="en-GB"/>
        </w:rPr>
        <w:t xml:space="preserve">UN SDG </w:t>
      </w:r>
      <w:r w:rsidR="007C3A42">
        <w:rPr>
          <w:lang w:val="en-GB" w:eastAsia="en-GB"/>
        </w:rPr>
        <w:t xml:space="preserve">- </w:t>
      </w:r>
      <w:r w:rsidR="007C3A42" w:rsidRPr="007C3A42">
        <w:rPr>
          <w:lang w:eastAsia="en-GB"/>
        </w:rPr>
        <w:t>Reduced Inequalities</w:t>
      </w:r>
      <w:r w:rsidR="007C3A42">
        <w:rPr>
          <w:lang w:eastAsia="en-GB"/>
        </w:rPr>
        <w:t xml:space="preserve"> </w:t>
      </w:r>
      <w:r w:rsidR="007C3A42" w:rsidRPr="007C3A42">
        <w:rPr>
          <w:lang w:eastAsia="en-GB"/>
        </w:rPr>
        <w:t>(</w:t>
      </w:r>
      <w:r w:rsidR="007C3A42">
        <w:rPr>
          <w:lang w:eastAsia="en-GB"/>
        </w:rPr>
        <w:t>W</w:t>
      </w:r>
      <w:r w:rsidR="007C3A42" w:rsidRPr="007C3A42">
        <w:rPr>
          <w:lang w:eastAsia="en-GB"/>
        </w:rPr>
        <w:t>ithin and among countries)</w:t>
      </w:r>
      <w:bookmarkEnd w:id="31"/>
      <w:r w:rsidR="007C2F16">
        <w:rPr>
          <w:lang w:eastAsia="en-GB"/>
        </w:rPr>
        <w:br/>
      </w:r>
    </w:p>
    <w:tbl>
      <w:tblPr>
        <w:tblStyle w:val="TableGrid"/>
        <w:tblW w:w="9209" w:type="dxa"/>
        <w:tblLook w:val="04A0" w:firstRow="1" w:lastRow="0" w:firstColumn="1" w:lastColumn="0" w:noHBand="0" w:noVBand="1"/>
      </w:tblPr>
      <w:tblGrid>
        <w:gridCol w:w="1980"/>
        <w:gridCol w:w="7229"/>
      </w:tblGrid>
      <w:tr w:rsidR="000B1BD2" w14:paraId="00A65766" w14:textId="77777777" w:rsidTr="007C3A42">
        <w:trPr>
          <w:trHeight w:val="296"/>
        </w:trPr>
        <w:tc>
          <w:tcPr>
            <w:tcW w:w="1980" w:type="dxa"/>
            <w:shd w:val="clear" w:color="auto" w:fill="D9D9D9" w:themeFill="background1" w:themeFillShade="D9"/>
            <w:vAlign w:val="center"/>
          </w:tcPr>
          <w:p w14:paraId="3B6BA9C5" w14:textId="0C01CFAD" w:rsidR="000B1BD2" w:rsidRPr="000B1BD2" w:rsidRDefault="000B1BD2" w:rsidP="000B1BD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SDG 10 target</w:t>
            </w:r>
          </w:p>
        </w:tc>
        <w:tc>
          <w:tcPr>
            <w:tcW w:w="7229" w:type="dxa"/>
            <w:shd w:val="clear" w:color="auto" w:fill="D9D9D9" w:themeFill="background1" w:themeFillShade="D9"/>
            <w:vAlign w:val="center"/>
          </w:tcPr>
          <w:p w14:paraId="2C5CB0A0" w14:textId="2EC250C4" w:rsidR="000B1BD2" w:rsidRPr="000B1BD2" w:rsidRDefault="000B1BD2" w:rsidP="000B1BD2">
            <w:pPr>
              <w:spacing w:before="100" w:beforeAutospacing="1" w:after="100" w:afterAutospacing="1"/>
              <w:rPr>
                <w:rFonts w:ascii="Arial" w:eastAsia="Times New Roman" w:hAnsi="Arial" w:cs="Arial"/>
                <w:b/>
                <w:bCs/>
                <w:sz w:val="24"/>
                <w:szCs w:val="24"/>
                <w:lang w:val="en-GB" w:eastAsia="en-GB"/>
              </w:rPr>
            </w:pPr>
            <w:r w:rsidRPr="000B1BD2">
              <w:rPr>
                <w:rFonts w:ascii="Arial" w:hAnsi="Arial" w:cs="Arial"/>
                <w:b/>
                <w:bCs/>
                <w:sz w:val="24"/>
                <w:szCs w:val="24"/>
              </w:rPr>
              <w:t xml:space="preserve">Target focus </w:t>
            </w:r>
          </w:p>
        </w:tc>
      </w:tr>
      <w:tr w:rsidR="000B1BD2" w14:paraId="621E1A03" w14:textId="77777777" w:rsidTr="007C3A42">
        <w:trPr>
          <w:trHeight w:val="567"/>
        </w:trPr>
        <w:tc>
          <w:tcPr>
            <w:tcW w:w="1980" w:type="dxa"/>
            <w:vAlign w:val="center"/>
          </w:tcPr>
          <w:p w14:paraId="08739C2E" w14:textId="49115D2D"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10.1</w:t>
            </w:r>
          </w:p>
        </w:tc>
        <w:tc>
          <w:tcPr>
            <w:tcW w:w="7229" w:type="dxa"/>
            <w:vAlign w:val="center"/>
          </w:tcPr>
          <w:p w14:paraId="563B460F" w14:textId="3A3060BD"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Faster income growth for the bottom 40% of the population</w:t>
            </w:r>
          </w:p>
        </w:tc>
      </w:tr>
      <w:tr w:rsidR="000B1BD2" w14:paraId="69A9118D" w14:textId="77777777" w:rsidTr="007C3A42">
        <w:trPr>
          <w:trHeight w:val="567"/>
        </w:trPr>
        <w:tc>
          <w:tcPr>
            <w:tcW w:w="1980" w:type="dxa"/>
            <w:vAlign w:val="center"/>
          </w:tcPr>
          <w:p w14:paraId="4483D195" w14:textId="1ABAD038"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10.2</w:t>
            </w:r>
          </w:p>
        </w:tc>
        <w:tc>
          <w:tcPr>
            <w:tcW w:w="7229" w:type="dxa"/>
            <w:vAlign w:val="center"/>
          </w:tcPr>
          <w:p w14:paraId="100C2756" w14:textId="0BD2C06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Inclusion of all in social, economic, and political life</w:t>
            </w:r>
          </w:p>
        </w:tc>
      </w:tr>
      <w:tr w:rsidR="000B1BD2" w14:paraId="052FD7D0" w14:textId="77777777" w:rsidTr="007C3A42">
        <w:trPr>
          <w:trHeight w:val="567"/>
        </w:trPr>
        <w:tc>
          <w:tcPr>
            <w:tcW w:w="1980" w:type="dxa"/>
            <w:vAlign w:val="center"/>
          </w:tcPr>
          <w:p w14:paraId="7C5E3FEE" w14:textId="3E0606E5"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10.3</w:t>
            </w:r>
          </w:p>
        </w:tc>
        <w:tc>
          <w:tcPr>
            <w:tcW w:w="7229" w:type="dxa"/>
            <w:vAlign w:val="center"/>
          </w:tcPr>
          <w:p w14:paraId="46C780ED" w14:textId="0843553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Equal opportunity; end discriminatory laws/policies/practices</w:t>
            </w:r>
          </w:p>
        </w:tc>
      </w:tr>
      <w:tr w:rsidR="000B1BD2" w14:paraId="66E5BEF4" w14:textId="77777777" w:rsidTr="007C3A42">
        <w:trPr>
          <w:trHeight w:val="567"/>
        </w:trPr>
        <w:tc>
          <w:tcPr>
            <w:tcW w:w="1980" w:type="dxa"/>
            <w:vAlign w:val="center"/>
          </w:tcPr>
          <w:p w14:paraId="48BAAABE" w14:textId="286143BC"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10.4</w:t>
            </w:r>
          </w:p>
        </w:tc>
        <w:tc>
          <w:tcPr>
            <w:tcW w:w="7229" w:type="dxa"/>
            <w:vAlign w:val="center"/>
          </w:tcPr>
          <w:p w14:paraId="3C35152A" w14:textId="36703E6B"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Fiscal, wage, and social-protection policies that promote equality</w:t>
            </w:r>
          </w:p>
        </w:tc>
      </w:tr>
      <w:tr w:rsidR="000B1BD2" w14:paraId="2A263E64" w14:textId="77777777" w:rsidTr="007C3A42">
        <w:trPr>
          <w:trHeight w:val="567"/>
        </w:trPr>
        <w:tc>
          <w:tcPr>
            <w:tcW w:w="1980" w:type="dxa"/>
            <w:vAlign w:val="center"/>
          </w:tcPr>
          <w:p w14:paraId="2B7F89F9" w14:textId="1827ED2F"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10.5</w:t>
            </w:r>
          </w:p>
        </w:tc>
        <w:tc>
          <w:tcPr>
            <w:tcW w:w="7229" w:type="dxa"/>
            <w:vAlign w:val="center"/>
          </w:tcPr>
          <w:p w14:paraId="56DCDD61" w14:textId="4EC2F226"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Stronger regulation/monitoring of financial markets and institutions</w:t>
            </w:r>
          </w:p>
        </w:tc>
      </w:tr>
      <w:tr w:rsidR="000B1BD2" w14:paraId="364381F8" w14:textId="77777777" w:rsidTr="007C3A42">
        <w:trPr>
          <w:trHeight w:val="567"/>
        </w:trPr>
        <w:tc>
          <w:tcPr>
            <w:tcW w:w="1980" w:type="dxa"/>
            <w:vAlign w:val="center"/>
          </w:tcPr>
          <w:p w14:paraId="181352F9" w14:textId="04CABAC5"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10.6</w:t>
            </w:r>
          </w:p>
        </w:tc>
        <w:tc>
          <w:tcPr>
            <w:tcW w:w="7229" w:type="dxa"/>
            <w:vAlign w:val="center"/>
          </w:tcPr>
          <w:p w14:paraId="3862D26E" w14:textId="706BD155"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Greater representation/voice for developing countries in global economic institutions</w:t>
            </w:r>
          </w:p>
        </w:tc>
      </w:tr>
      <w:tr w:rsidR="000B1BD2" w14:paraId="5B5FFB49" w14:textId="77777777" w:rsidTr="007C3A42">
        <w:trPr>
          <w:trHeight w:val="567"/>
        </w:trPr>
        <w:tc>
          <w:tcPr>
            <w:tcW w:w="1980" w:type="dxa"/>
            <w:vAlign w:val="center"/>
          </w:tcPr>
          <w:p w14:paraId="409A1309" w14:textId="12ADD67B"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10.7</w:t>
            </w:r>
          </w:p>
        </w:tc>
        <w:tc>
          <w:tcPr>
            <w:tcW w:w="7229" w:type="dxa"/>
            <w:vAlign w:val="center"/>
          </w:tcPr>
          <w:p w14:paraId="71D911A4" w14:textId="3209DBAA"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Safe, orderly, regular migration and mobility</w:t>
            </w:r>
          </w:p>
        </w:tc>
      </w:tr>
      <w:tr w:rsidR="000B1BD2" w14:paraId="71CA306C" w14:textId="77777777" w:rsidTr="007C3A42">
        <w:trPr>
          <w:trHeight w:val="567"/>
        </w:trPr>
        <w:tc>
          <w:tcPr>
            <w:tcW w:w="1980" w:type="dxa"/>
            <w:vAlign w:val="center"/>
          </w:tcPr>
          <w:p w14:paraId="6048E44C" w14:textId="1D2A00A1"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10.a</w:t>
            </w:r>
          </w:p>
        </w:tc>
        <w:tc>
          <w:tcPr>
            <w:tcW w:w="7229" w:type="dxa"/>
            <w:vAlign w:val="center"/>
          </w:tcPr>
          <w:p w14:paraId="676B2108" w14:textId="6F66D83B"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Special and differential treatment for developing countries (WTO)</w:t>
            </w:r>
          </w:p>
        </w:tc>
      </w:tr>
      <w:tr w:rsidR="000B1BD2" w14:paraId="0ACD79F4" w14:textId="77777777" w:rsidTr="007C3A42">
        <w:trPr>
          <w:trHeight w:val="567"/>
        </w:trPr>
        <w:tc>
          <w:tcPr>
            <w:tcW w:w="1980" w:type="dxa"/>
            <w:vAlign w:val="center"/>
          </w:tcPr>
          <w:p w14:paraId="6F9E02BC" w14:textId="3E04E8A7"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10.b</w:t>
            </w:r>
          </w:p>
        </w:tc>
        <w:tc>
          <w:tcPr>
            <w:tcW w:w="7229" w:type="dxa"/>
            <w:vAlign w:val="center"/>
          </w:tcPr>
          <w:p w14:paraId="1BDBCBFA" w14:textId="5D5E12DA"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 xml:space="preserve">Direct resources to the countries/regions with greatest need (ODA, </w:t>
            </w:r>
            <w:proofErr w:type="spellStart"/>
            <w:r w:rsidRPr="000B1BD2">
              <w:rPr>
                <w:rFonts w:ascii="Arial" w:hAnsi="Arial" w:cs="Arial"/>
              </w:rPr>
              <w:t>FDI</w:t>
            </w:r>
            <w:proofErr w:type="spellEnd"/>
            <w:r w:rsidRPr="000B1BD2">
              <w:rPr>
                <w:rFonts w:ascii="Arial" w:hAnsi="Arial" w:cs="Arial"/>
              </w:rPr>
              <w:t>, other flows)</w:t>
            </w:r>
          </w:p>
        </w:tc>
      </w:tr>
      <w:tr w:rsidR="000B1BD2" w14:paraId="5080CD61" w14:textId="77777777" w:rsidTr="007C3A42">
        <w:trPr>
          <w:trHeight w:val="567"/>
        </w:trPr>
        <w:tc>
          <w:tcPr>
            <w:tcW w:w="1980" w:type="dxa"/>
            <w:vAlign w:val="center"/>
          </w:tcPr>
          <w:p w14:paraId="6E833747" w14:textId="6E2ACA8A" w:rsidR="000B1BD2" w:rsidRPr="000B1BD2" w:rsidRDefault="000B1BD2" w:rsidP="000B1BD2">
            <w:pPr>
              <w:spacing w:before="100" w:beforeAutospacing="1" w:after="100" w:afterAutospacing="1"/>
              <w:jc w:val="center"/>
              <w:rPr>
                <w:rFonts w:ascii="Arial" w:eastAsia="Times New Roman" w:hAnsi="Arial" w:cs="Arial"/>
                <w:b/>
                <w:bCs/>
                <w:sz w:val="28"/>
                <w:szCs w:val="28"/>
                <w:lang w:val="en-GB" w:eastAsia="en-GB"/>
              </w:rPr>
            </w:pPr>
            <w:r w:rsidRPr="000B1BD2">
              <w:rPr>
                <w:rFonts w:ascii="Arial" w:hAnsi="Arial" w:cs="Arial"/>
                <w:b/>
                <w:bCs/>
                <w:sz w:val="28"/>
                <w:szCs w:val="28"/>
              </w:rPr>
              <w:t>10.c</w:t>
            </w:r>
          </w:p>
        </w:tc>
        <w:tc>
          <w:tcPr>
            <w:tcW w:w="7229" w:type="dxa"/>
            <w:vAlign w:val="center"/>
          </w:tcPr>
          <w:p w14:paraId="3AECA36B" w14:textId="7AA90B89" w:rsidR="000B1BD2" w:rsidRPr="000B1BD2" w:rsidRDefault="000B1BD2" w:rsidP="000B1BD2">
            <w:pPr>
              <w:spacing w:before="100" w:beforeAutospacing="1" w:after="100" w:afterAutospacing="1"/>
              <w:rPr>
                <w:rFonts w:ascii="Arial" w:eastAsia="Times New Roman" w:hAnsi="Arial" w:cs="Arial"/>
                <w:sz w:val="24"/>
                <w:szCs w:val="24"/>
                <w:lang w:val="en-GB" w:eastAsia="en-GB"/>
              </w:rPr>
            </w:pPr>
            <w:r w:rsidRPr="000B1BD2">
              <w:rPr>
                <w:rFonts w:ascii="Arial" w:hAnsi="Arial" w:cs="Arial"/>
              </w:rPr>
              <w:t>Lower remittance costs (&lt;3%) and remove costly corridors (&gt;5%)</w:t>
            </w:r>
          </w:p>
        </w:tc>
      </w:tr>
    </w:tbl>
    <w:p w14:paraId="49E94068" w14:textId="551D97D1" w:rsidR="000B1BD2" w:rsidRDefault="000B1BD2" w:rsidP="00795651">
      <w:pPr>
        <w:spacing w:before="100" w:beforeAutospacing="1" w:after="100" w:afterAutospacing="1"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(UN, 2025b)</w:t>
      </w:r>
    </w:p>
    <w:sectPr w:rsidR="000B1BD2" w:rsidSect="00A92172">
      <w:footerReference w:type="default" r:id="rId104"/>
      <w:pgSz w:w="12240" w:h="15840"/>
      <w:pgMar w:top="1440" w:right="14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6B150" w14:textId="77777777" w:rsidR="005E1141" w:rsidRDefault="005E1141" w:rsidP="00F7336F">
      <w:pPr>
        <w:spacing w:after="0" w:line="240" w:lineRule="auto"/>
      </w:pPr>
      <w:r>
        <w:separator/>
      </w:r>
    </w:p>
  </w:endnote>
  <w:endnote w:type="continuationSeparator" w:id="0">
    <w:p w14:paraId="2D253954" w14:textId="77777777" w:rsidR="005E1141" w:rsidRDefault="005E1141" w:rsidP="00F73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881582"/>
      <w:docPartObj>
        <w:docPartGallery w:val="Page Numbers (Bottom of Page)"/>
        <w:docPartUnique/>
      </w:docPartObj>
    </w:sdtPr>
    <w:sdtEndPr>
      <w:rPr>
        <w:noProof/>
      </w:rPr>
    </w:sdtEndPr>
    <w:sdtContent>
      <w:p w14:paraId="4F52E607" w14:textId="2D158946" w:rsidR="00F7336F" w:rsidRDefault="00F7336F">
        <w:pPr>
          <w:pStyle w:val="Footer"/>
          <w:jc w:val="right"/>
        </w:pPr>
        <w:r w:rsidRPr="00527F35">
          <w:rPr>
            <w:rFonts w:ascii="Arial" w:hAnsi="Arial" w:cs="Arial"/>
          </w:rPr>
          <w:fldChar w:fldCharType="begin"/>
        </w:r>
        <w:r w:rsidRPr="00527F35">
          <w:rPr>
            <w:rFonts w:ascii="Arial" w:hAnsi="Arial" w:cs="Arial"/>
          </w:rPr>
          <w:instrText xml:space="preserve"> PAGE   \* MERGEFORMAT </w:instrText>
        </w:r>
        <w:r w:rsidRPr="00527F35">
          <w:rPr>
            <w:rFonts w:ascii="Arial" w:hAnsi="Arial" w:cs="Arial"/>
          </w:rPr>
          <w:fldChar w:fldCharType="separate"/>
        </w:r>
        <w:r w:rsidRPr="00527F35">
          <w:rPr>
            <w:rFonts w:ascii="Arial" w:hAnsi="Arial" w:cs="Arial"/>
            <w:noProof/>
          </w:rPr>
          <w:t>2</w:t>
        </w:r>
        <w:r w:rsidRPr="00527F35">
          <w:rPr>
            <w:rFonts w:ascii="Arial" w:hAnsi="Arial" w:cs="Arial"/>
            <w:noProof/>
          </w:rPr>
          <w:fldChar w:fldCharType="end"/>
        </w:r>
      </w:p>
    </w:sdtContent>
  </w:sdt>
  <w:p w14:paraId="68B83741" w14:textId="77777777" w:rsidR="00F7336F" w:rsidRDefault="00F73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AF6EE" w14:textId="77777777" w:rsidR="005E1141" w:rsidRDefault="005E1141" w:rsidP="00F7336F">
      <w:pPr>
        <w:spacing w:after="0" w:line="240" w:lineRule="auto"/>
      </w:pPr>
      <w:r>
        <w:separator/>
      </w:r>
    </w:p>
  </w:footnote>
  <w:footnote w:type="continuationSeparator" w:id="0">
    <w:p w14:paraId="1B5C872E" w14:textId="77777777" w:rsidR="005E1141" w:rsidRDefault="005E1141" w:rsidP="00F73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2A5F6E"/>
    <w:multiLevelType w:val="multilevel"/>
    <w:tmpl w:val="A678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4D57ED"/>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BC3731"/>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9D2D0D"/>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FA20EA"/>
    <w:multiLevelType w:val="multilevel"/>
    <w:tmpl w:val="E304C3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451EC"/>
    <w:multiLevelType w:val="multilevel"/>
    <w:tmpl w:val="0C5E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659DB"/>
    <w:multiLevelType w:val="multilevel"/>
    <w:tmpl w:val="DECA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AA09B9"/>
    <w:multiLevelType w:val="multilevel"/>
    <w:tmpl w:val="3FA8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3670F7"/>
    <w:multiLevelType w:val="multilevel"/>
    <w:tmpl w:val="2780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74E70"/>
    <w:multiLevelType w:val="hybridMultilevel"/>
    <w:tmpl w:val="BFB88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0A5C34"/>
    <w:multiLevelType w:val="multilevel"/>
    <w:tmpl w:val="1604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47770"/>
    <w:multiLevelType w:val="hybridMultilevel"/>
    <w:tmpl w:val="CF16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137218"/>
    <w:multiLevelType w:val="multilevel"/>
    <w:tmpl w:val="C10E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62396"/>
    <w:multiLevelType w:val="multilevel"/>
    <w:tmpl w:val="DE2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D50B51"/>
    <w:multiLevelType w:val="hybridMultilevel"/>
    <w:tmpl w:val="8204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715A6A"/>
    <w:multiLevelType w:val="hybridMultilevel"/>
    <w:tmpl w:val="DD26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843D7B"/>
    <w:multiLevelType w:val="multilevel"/>
    <w:tmpl w:val="A86A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6C774B"/>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4B4166"/>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0F2BBC"/>
    <w:multiLevelType w:val="hybridMultilevel"/>
    <w:tmpl w:val="F234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3F6097"/>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C827E9"/>
    <w:multiLevelType w:val="multilevel"/>
    <w:tmpl w:val="A52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582139"/>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544CED"/>
    <w:multiLevelType w:val="multilevel"/>
    <w:tmpl w:val="EF7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5B6E1B"/>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473A67"/>
    <w:multiLevelType w:val="multilevel"/>
    <w:tmpl w:val="9D16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5374D5"/>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5F49FC"/>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93714A"/>
    <w:multiLevelType w:val="hybridMultilevel"/>
    <w:tmpl w:val="FFEE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02585A"/>
    <w:multiLevelType w:val="hybridMultilevel"/>
    <w:tmpl w:val="8B023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5D26B8"/>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835AD2"/>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0513CD"/>
    <w:multiLevelType w:val="multilevel"/>
    <w:tmpl w:val="8D92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5922"/>
    <w:multiLevelType w:val="multilevel"/>
    <w:tmpl w:val="8F5C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1038BF"/>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A97568"/>
    <w:multiLevelType w:val="multilevel"/>
    <w:tmpl w:val="DAE0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E261F2"/>
    <w:multiLevelType w:val="hybridMultilevel"/>
    <w:tmpl w:val="B65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2E2070"/>
    <w:multiLevelType w:val="hybridMultilevel"/>
    <w:tmpl w:val="4CFE2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92717"/>
    <w:multiLevelType w:val="multilevel"/>
    <w:tmpl w:val="9D08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20899"/>
    <w:multiLevelType w:val="multilevel"/>
    <w:tmpl w:val="E6F4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FF743A"/>
    <w:multiLevelType w:val="multilevel"/>
    <w:tmpl w:val="334C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526464">
    <w:abstractNumId w:val="8"/>
  </w:num>
  <w:num w:numId="2" w16cid:durableId="1460221123">
    <w:abstractNumId w:val="6"/>
  </w:num>
  <w:num w:numId="3" w16cid:durableId="1708288168">
    <w:abstractNumId w:val="5"/>
  </w:num>
  <w:num w:numId="4" w16cid:durableId="980501033">
    <w:abstractNumId w:val="4"/>
  </w:num>
  <w:num w:numId="5" w16cid:durableId="1965649919">
    <w:abstractNumId w:val="7"/>
  </w:num>
  <w:num w:numId="6" w16cid:durableId="2082872361">
    <w:abstractNumId w:val="3"/>
  </w:num>
  <w:num w:numId="7" w16cid:durableId="6488564">
    <w:abstractNumId w:val="2"/>
  </w:num>
  <w:num w:numId="8" w16cid:durableId="789130378">
    <w:abstractNumId w:val="1"/>
  </w:num>
  <w:num w:numId="9" w16cid:durableId="1033189773">
    <w:abstractNumId w:val="0"/>
  </w:num>
  <w:num w:numId="10" w16cid:durableId="431820351">
    <w:abstractNumId w:val="24"/>
  </w:num>
  <w:num w:numId="11" w16cid:durableId="745226024">
    <w:abstractNumId w:val="34"/>
  </w:num>
  <w:num w:numId="12" w16cid:durableId="1533179866">
    <w:abstractNumId w:val="30"/>
  </w:num>
  <w:num w:numId="13" w16cid:durableId="1154225855">
    <w:abstractNumId w:val="41"/>
  </w:num>
  <w:num w:numId="14" w16cid:durableId="587540257">
    <w:abstractNumId w:val="37"/>
  </w:num>
  <w:num w:numId="15" w16cid:durableId="55975835">
    <w:abstractNumId w:val="23"/>
  </w:num>
  <w:num w:numId="16" w16cid:durableId="2045324695">
    <w:abstractNumId w:val="20"/>
  </w:num>
  <w:num w:numId="17" w16cid:durableId="1944536881">
    <w:abstractNumId w:val="14"/>
  </w:num>
  <w:num w:numId="18" w16cid:durableId="619646082">
    <w:abstractNumId w:val="46"/>
  </w:num>
  <w:num w:numId="19" w16cid:durableId="209221613">
    <w:abstractNumId w:val="47"/>
  </w:num>
  <w:num w:numId="20" w16cid:durableId="372735772">
    <w:abstractNumId w:val="17"/>
  </w:num>
  <w:num w:numId="21" w16cid:durableId="1708991038">
    <w:abstractNumId w:val="22"/>
  </w:num>
  <w:num w:numId="22" w16cid:durableId="1150319949">
    <w:abstractNumId w:val="36"/>
  </w:num>
  <w:num w:numId="23" w16cid:durableId="2079017439">
    <w:abstractNumId w:val="40"/>
  </w:num>
  <w:num w:numId="24" w16cid:durableId="682898744">
    <w:abstractNumId w:val="27"/>
  </w:num>
  <w:num w:numId="25" w16cid:durableId="492914950">
    <w:abstractNumId w:val="39"/>
  </w:num>
  <w:num w:numId="26" w16cid:durableId="1915309634">
    <w:abstractNumId w:val="35"/>
  </w:num>
  <w:num w:numId="27" w16cid:durableId="256908214">
    <w:abstractNumId w:val="12"/>
  </w:num>
  <w:num w:numId="28" w16cid:durableId="1417751446">
    <w:abstractNumId w:val="29"/>
  </w:num>
  <w:num w:numId="29" w16cid:durableId="855342288">
    <w:abstractNumId w:val="31"/>
  </w:num>
  <w:num w:numId="30" w16cid:durableId="1604336280">
    <w:abstractNumId w:val="11"/>
  </w:num>
  <w:num w:numId="31" w16cid:durableId="300817438">
    <w:abstractNumId w:val="43"/>
  </w:num>
  <w:num w:numId="32" w16cid:durableId="1336759935">
    <w:abstractNumId w:val="26"/>
  </w:num>
  <w:num w:numId="33" w16cid:durableId="1778983095">
    <w:abstractNumId w:val="33"/>
  </w:num>
  <w:num w:numId="34" w16cid:durableId="1654292329">
    <w:abstractNumId w:val="10"/>
  </w:num>
  <w:num w:numId="35" w16cid:durableId="430244682">
    <w:abstractNumId w:val="38"/>
  </w:num>
  <w:num w:numId="36" w16cid:durableId="2074161077">
    <w:abstractNumId w:val="16"/>
  </w:num>
  <w:num w:numId="37" w16cid:durableId="1143543312">
    <w:abstractNumId w:val="48"/>
  </w:num>
  <w:num w:numId="38" w16cid:durableId="2043896391">
    <w:abstractNumId w:val="19"/>
  </w:num>
  <w:num w:numId="39" w16cid:durableId="636447496">
    <w:abstractNumId w:val="49"/>
  </w:num>
  <w:num w:numId="40" w16cid:durableId="1085034149">
    <w:abstractNumId w:val="44"/>
  </w:num>
  <w:num w:numId="41" w16cid:durableId="1039935038">
    <w:abstractNumId w:val="42"/>
  </w:num>
  <w:num w:numId="42" w16cid:durableId="1280530495">
    <w:abstractNumId w:val="32"/>
  </w:num>
  <w:num w:numId="43" w16cid:durableId="1762675457">
    <w:abstractNumId w:val="25"/>
  </w:num>
  <w:num w:numId="44" w16cid:durableId="443232308">
    <w:abstractNumId w:val="15"/>
  </w:num>
  <w:num w:numId="45" w16cid:durableId="1611232175">
    <w:abstractNumId w:val="13"/>
  </w:num>
  <w:num w:numId="46" w16cid:durableId="1856843326">
    <w:abstractNumId w:val="28"/>
  </w:num>
  <w:num w:numId="47" w16cid:durableId="396170577">
    <w:abstractNumId w:val="45"/>
  </w:num>
  <w:num w:numId="48" w16cid:durableId="925261100">
    <w:abstractNumId w:val="18"/>
  </w:num>
  <w:num w:numId="49" w16cid:durableId="529807789">
    <w:abstractNumId w:val="9"/>
  </w:num>
  <w:num w:numId="50" w16cid:durableId="4792309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24A"/>
    <w:rsid w:val="00025DD8"/>
    <w:rsid w:val="00034616"/>
    <w:rsid w:val="00035401"/>
    <w:rsid w:val="00041A0E"/>
    <w:rsid w:val="0005306C"/>
    <w:rsid w:val="0006063C"/>
    <w:rsid w:val="000759BE"/>
    <w:rsid w:val="00085078"/>
    <w:rsid w:val="000B1BD2"/>
    <w:rsid w:val="000B59C1"/>
    <w:rsid w:val="000D0A3D"/>
    <w:rsid w:val="000E2B82"/>
    <w:rsid w:val="000E2C36"/>
    <w:rsid w:val="000F0412"/>
    <w:rsid w:val="00104094"/>
    <w:rsid w:val="00117893"/>
    <w:rsid w:val="001253A1"/>
    <w:rsid w:val="00127A0F"/>
    <w:rsid w:val="00137D93"/>
    <w:rsid w:val="0015074B"/>
    <w:rsid w:val="00155160"/>
    <w:rsid w:val="001552A0"/>
    <w:rsid w:val="00175D5D"/>
    <w:rsid w:val="00177885"/>
    <w:rsid w:val="00184AD4"/>
    <w:rsid w:val="00190B0C"/>
    <w:rsid w:val="00194ADF"/>
    <w:rsid w:val="001970DF"/>
    <w:rsid w:val="001A7A5D"/>
    <w:rsid w:val="001B2FFF"/>
    <w:rsid w:val="001B6086"/>
    <w:rsid w:val="001E42BE"/>
    <w:rsid w:val="001E4303"/>
    <w:rsid w:val="0022725F"/>
    <w:rsid w:val="0022763D"/>
    <w:rsid w:val="002534C5"/>
    <w:rsid w:val="00256843"/>
    <w:rsid w:val="00286AC1"/>
    <w:rsid w:val="0029639D"/>
    <w:rsid w:val="002B59C6"/>
    <w:rsid w:val="002C7714"/>
    <w:rsid w:val="002D32F4"/>
    <w:rsid w:val="002F0827"/>
    <w:rsid w:val="002F357A"/>
    <w:rsid w:val="003127BB"/>
    <w:rsid w:val="00314EB4"/>
    <w:rsid w:val="00315FA0"/>
    <w:rsid w:val="003253C4"/>
    <w:rsid w:val="00326F90"/>
    <w:rsid w:val="00364605"/>
    <w:rsid w:val="0038050C"/>
    <w:rsid w:val="0038455D"/>
    <w:rsid w:val="00392BAF"/>
    <w:rsid w:val="003A2A88"/>
    <w:rsid w:val="003B1388"/>
    <w:rsid w:val="003B2ACD"/>
    <w:rsid w:val="003D06B2"/>
    <w:rsid w:val="003D6A25"/>
    <w:rsid w:val="003D6E61"/>
    <w:rsid w:val="003F27AC"/>
    <w:rsid w:val="00435682"/>
    <w:rsid w:val="004523BF"/>
    <w:rsid w:val="00461D81"/>
    <w:rsid w:val="00476C00"/>
    <w:rsid w:val="004921AB"/>
    <w:rsid w:val="00494499"/>
    <w:rsid w:val="00497ECB"/>
    <w:rsid w:val="004B1BC1"/>
    <w:rsid w:val="004B517F"/>
    <w:rsid w:val="004C062E"/>
    <w:rsid w:val="004C0DD3"/>
    <w:rsid w:val="004C6A65"/>
    <w:rsid w:val="004C7AED"/>
    <w:rsid w:val="005114C4"/>
    <w:rsid w:val="00511D6B"/>
    <w:rsid w:val="00527F35"/>
    <w:rsid w:val="00540A5C"/>
    <w:rsid w:val="00543052"/>
    <w:rsid w:val="0054568C"/>
    <w:rsid w:val="005537CD"/>
    <w:rsid w:val="00561DED"/>
    <w:rsid w:val="005818C3"/>
    <w:rsid w:val="00583E44"/>
    <w:rsid w:val="00585BAF"/>
    <w:rsid w:val="00586234"/>
    <w:rsid w:val="005A58A8"/>
    <w:rsid w:val="005D1901"/>
    <w:rsid w:val="005E1141"/>
    <w:rsid w:val="005E2436"/>
    <w:rsid w:val="005E276E"/>
    <w:rsid w:val="00603219"/>
    <w:rsid w:val="006076EE"/>
    <w:rsid w:val="006170EE"/>
    <w:rsid w:val="00631222"/>
    <w:rsid w:val="00666FCC"/>
    <w:rsid w:val="00673F9C"/>
    <w:rsid w:val="00675481"/>
    <w:rsid w:val="006767E6"/>
    <w:rsid w:val="006A047D"/>
    <w:rsid w:val="006B4696"/>
    <w:rsid w:val="006C244D"/>
    <w:rsid w:val="006F3914"/>
    <w:rsid w:val="006F6989"/>
    <w:rsid w:val="00715305"/>
    <w:rsid w:val="00730B3A"/>
    <w:rsid w:val="0074149C"/>
    <w:rsid w:val="00744CE9"/>
    <w:rsid w:val="00744D09"/>
    <w:rsid w:val="0076406E"/>
    <w:rsid w:val="00770BBF"/>
    <w:rsid w:val="007758BD"/>
    <w:rsid w:val="007800F6"/>
    <w:rsid w:val="00792220"/>
    <w:rsid w:val="00795651"/>
    <w:rsid w:val="007B63D5"/>
    <w:rsid w:val="007C2F16"/>
    <w:rsid w:val="007C3A42"/>
    <w:rsid w:val="007D2D61"/>
    <w:rsid w:val="007F0E8E"/>
    <w:rsid w:val="007F255C"/>
    <w:rsid w:val="008172B4"/>
    <w:rsid w:val="008223C9"/>
    <w:rsid w:val="008329E2"/>
    <w:rsid w:val="00840D6B"/>
    <w:rsid w:val="00841459"/>
    <w:rsid w:val="00857D59"/>
    <w:rsid w:val="008665C9"/>
    <w:rsid w:val="0087257C"/>
    <w:rsid w:val="008872C4"/>
    <w:rsid w:val="008B08EB"/>
    <w:rsid w:val="008B4748"/>
    <w:rsid w:val="008E4B2D"/>
    <w:rsid w:val="009026DD"/>
    <w:rsid w:val="00912605"/>
    <w:rsid w:val="0092637B"/>
    <w:rsid w:val="009443BC"/>
    <w:rsid w:val="00953F32"/>
    <w:rsid w:val="0095630C"/>
    <w:rsid w:val="00987C99"/>
    <w:rsid w:val="009967E6"/>
    <w:rsid w:val="009A26BC"/>
    <w:rsid w:val="009D4E23"/>
    <w:rsid w:val="009E04F5"/>
    <w:rsid w:val="00A0517B"/>
    <w:rsid w:val="00A15EDE"/>
    <w:rsid w:val="00A17328"/>
    <w:rsid w:val="00A41623"/>
    <w:rsid w:val="00A44044"/>
    <w:rsid w:val="00A527DA"/>
    <w:rsid w:val="00A67072"/>
    <w:rsid w:val="00A92172"/>
    <w:rsid w:val="00A96B51"/>
    <w:rsid w:val="00AA1D8D"/>
    <w:rsid w:val="00AB1EE6"/>
    <w:rsid w:val="00AB7257"/>
    <w:rsid w:val="00AC6C2A"/>
    <w:rsid w:val="00AD7C07"/>
    <w:rsid w:val="00AE0272"/>
    <w:rsid w:val="00B01645"/>
    <w:rsid w:val="00B214E1"/>
    <w:rsid w:val="00B370A7"/>
    <w:rsid w:val="00B46F86"/>
    <w:rsid w:val="00B47730"/>
    <w:rsid w:val="00B71768"/>
    <w:rsid w:val="00B77EFF"/>
    <w:rsid w:val="00BA38C4"/>
    <w:rsid w:val="00BA5E2C"/>
    <w:rsid w:val="00BC2A2F"/>
    <w:rsid w:val="00BC66CC"/>
    <w:rsid w:val="00BD4EC5"/>
    <w:rsid w:val="00BE2335"/>
    <w:rsid w:val="00C056E5"/>
    <w:rsid w:val="00C2223B"/>
    <w:rsid w:val="00C301C0"/>
    <w:rsid w:val="00C4286B"/>
    <w:rsid w:val="00C7125E"/>
    <w:rsid w:val="00C92A6D"/>
    <w:rsid w:val="00CB0664"/>
    <w:rsid w:val="00CB3DC0"/>
    <w:rsid w:val="00CC32B0"/>
    <w:rsid w:val="00CD0053"/>
    <w:rsid w:val="00CD058F"/>
    <w:rsid w:val="00CF36F4"/>
    <w:rsid w:val="00D04E67"/>
    <w:rsid w:val="00D10255"/>
    <w:rsid w:val="00D31A08"/>
    <w:rsid w:val="00D83DD3"/>
    <w:rsid w:val="00D92776"/>
    <w:rsid w:val="00D96247"/>
    <w:rsid w:val="00DA45A3"/>
    <w:rsid w:val="00DB4886"/>
    <w:rsid w:val="00DF23B5"/>
    <w:rsid w:val="00E425D9"/>
    <w:rsid w:val="00E527BE"/>
    <w:rsid w:val="00E672B2"/>
    <w:rsid w:val="00E679CF"/>
    <w:rsid w:val="00E87F52"/>
    <w:rsid w:val="00EA5BAD"/>
    <w:rsid w:val="00EC4D23"/>
    <w:rsid w:val="00EE16F5"/>
    <w:rsid w:val="00F0289B"/>
    <w:rsid w:val="00F67E36"/>
    <w:rsid w:val="00F7336F"/>
    <w:rsid w:val="00F855AA"/>
    <w:rsid w:val="00F91366"/>
    <w:rsid w:val="00F94208"/>
    <w:rsid w:val="00FA7C46"/>
    <w:rsid w:val="00FB0A34"/>
    <w:rsid w:val="00FB6753"/>
    <w:rsid w:val="00FC5815"/>
    <w:rsid w:val="00FC693F"/>
    <w:rsid w:val="00FE7EC3"/>
    <w:rsid w:val="00FF0F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3E2F3"/>
  <w14:defaultImageDpi w14:val="300"/>
  <w15:docId w15:val="{38BA5229-FEA8-413C-8C85-0E0D5A1A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BD"/>
  </w:style>
  <w:style w:type="paragraph" w:styleId="Heading1">
    <w:name w:val="heading 1"/>
    <w:basedOn w:val="Normal"/>
    <w:next w:val="Normal"/>
    <w:link w:val="Heading1Char"/>
    <w:uiPriority w:val="9"/>
    <w:qFormat/>
    <w:rsid w:val="00A44044"/>
    <w:pPr>
      <w:keepNext/>
      <w:keepLines/>
      <w:spacing w:before="480" w:after="0"/>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A44044"/>
    <w:pPr>
      <w:keepNext/>
      <w:keepLines/>
      <w:spacing w:before="200" w:after="0"/>
      <w:outlineLvl w:val="1"/>
    </w:pPr>
    <w:rPr>
      <w:rFonts w:ascii="Arial" w:eastAsiaTheme="majorEastAsia" w:hAnsi="Arial" w:cstheme="majorBidi"/>
      <w:b/>
      <w:bCs/>
      <w:color w:val="000000" w:themeColor="text1"/>
      <w:szCs w:val="26"/>
    </w:rPr>
  </w:style>
  <w:style w:type="paragraph" w:styleId="Heading3">
    <w:name w:val="heading 3"/>
    <w:basedOn w:val="Normal"/>
    <w:next w:val="Normal"/>
    <w:link w:val="Heading3Char"/>
    <w:uiPriority w:val="9"/>
    <w:unhideWhenUsed/>
    <w:qFormat/>
    <w:rsid w:val="00A44044"/>
    <w:pPr>
      <w:keepNext/>
      <w:keepLines/>
      <w:spacing w:before="200" w:after="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44044"/>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A44044"/>
    <w:rPr>
      <w:rFonts w:ascii="Arial" w:eastAsiaTheme="majorEastAsia" w:hAnsi="Arial" w:cstheme="majorBidi"/>
      <w:b/>
      <w:bCs/>
      <w:color w:val="000000" w:themeColor="text1"/>
      <w:szCs w:val="26"/>
    </w:rPr>
  </w:style>
  <w:style w:type="character" w:customStyle="1" w:styleId="Heading3Char">
    <w:name w:val="Heading 3 Char"/>
    <w:basedOn w:val="DefaultParagraphFont"/>
    <w:link w:val="Heading3"/>
    <w:uiPriority w:val="9"/>
    <w:rsid w:val="00A44044"/>
    <w:rPr>
      <w:rFonts w:ascii="Arial" w:eastAsiaTheme="majorEastAsia" w:hAnsi="Arial" w:cstheme="majorBidi"/>
      <w:b/>
      <w:bCs/>
      <w:color w:val="000000" w:themeColor="tex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E04F5"/>
    <w:rPr>
      <w:color w:val="0000FF" w:themeColor="hyperlink"/>
      <w:u w:val="single"/>
    </w:rPr>
  </w:style>
  <w:style w:type="character" w:styleId="UnresolvedMention">
    <w:name w:val="Unresolved Mention"/>
    <w:basedOn w:val="DefaultParagraphFont"/>
    <w:uiPriority w:val="99"/>
    <w:semiHidden/>
    <w:unhideWhenUsed/>
    <w:rsid w:val="009E04F5"/>
    <w:rPr>
      <w:color w:val="605E5C"/>
      <w:shd w:val="clear" w:color="auto" w:fill="E1DFDD"/>
    </w:rPr>
  </w:style>
  <w:style w:type="character" w:styleId="FollowedHyperlink">
    <w:name w:val="FollowedHyperlink"/>
    <w:basedOn w:val="DefaultParagraphFont"/>
    <w:uiPriority w:val="99"/>
    <w:semiHidden/>
    <w:unhideWhenUsed/>
    <w:rsid w:val="009E04F5"/>
    <w:rPr>
      <w:color w:val="800080" w:themeColor="followedHyperlink"/>
      <w:u w:val="single"/>
    </w:rPr>
  </w:style>
  <w:style w:type="paragraph" w:styleId="NormalWeb">
    <w:name w:val="Normal (Web)"/>
    <w:basedOn w:val="Normal"/>
    <w:uiPriority w:val="99"/>
    <w:semiHidden/>
    <w:unhideWhenUsed/>
    <w:rsid w:val="00675481"/>
    <w:rPr>
      <w:rFonts w:ascii="Times New Roman" w:hAnsi="Times New Roman" w:cs="Times New Roman"/>
      <w:sz w:val="24"/>
      <w:szCs w:val="24"/>
    </w:rPr>
  </w:style>
  <w:style w:type="table" w:customStyle="1" w:styleId="TableGrid1">
    <w:name w:val="Table Grid1"/>
    <w:basedOn w:val="TableNormal"/>
    <w:next w:val="TableGrid"/>
    <w:uiPriority w:val="39"/>
    <w:rsid w:val="00BA5E2C"/>
    <w:pPr>
      <w:spacing w:after="0" w:line="240" w:lineRule="auto"/>
    </w:pPr>
    <w:rPr>
      <w:rFonts w:ascii="Times New Roman" w:eastAsia="Times New Roman" w:hAnsi="Times New Roman" w:cs="Times New Roman"/>
      <w:sz w:val="20"/>
      <w:szCs w:val="20"/>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44044"/>
    <w:pPr>
      <w:spacing w:after="100"/>
    </w:pPr>
  </w:style>
  <w:style w:type="paragraph" w:styleId="TOC2">
    <w:name w:val="toc 2"/>
    <w:basedOn w:val="Normal"/>
    <w:next w:val="Normal"/>
    <w:autoRedefine/>
    <w:uiPriority w:val="39"/>
    <w:unhideWhenUsed/>
    <w:rsid w:val="00A44044"/>
    <w:pPr>
      <w:spacing w:after="100"/>
      <w:ind w:left="220"/>
    </w:pPr>
  </w:style>
  <w:style w:type="paragraph" w:styleId="TOC3">
    <w:name w:val="toc 3"/>
    <w:basedOn w:val="Normal"/>
    <w:next w:val="Normal"/>
    <w:autoRedefine/>
    <w:uiPriority w:val="39"/>
    <w:unhideWhenUsed/>
    <w:rsid w:val="00A440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sabledstudents.co.uk/research/access-insights-2023-report/" TargetMode="External"/><Relationship Id="rId21" Type="http://schemas.openxmlformats.org/officeDocument/2006/relationships/hyperlink" Target="https://doi.org/10.15173/ijsap.v7i2.5312" TargetMode="External"/><Relationship Id="rId42" Type="http://schemas.openxmlformats.org/officeDocument/2006/relationships/hyperlink" Target="https://doi.org/10.5206/cjsotl-rcacea.2022.1.13588" TargetMode="External"/><Relationship Id="rId47" Type="http://schemas.openxmlformats.org/officeDocument/2006/relationships/hyperlink" Target="https://doi.org/10.53761/1.21.1.09" TargetMode="External"/><Relationship Id="rId63" Type="http://schemas.openxmlformats.org/officeDocument/2006/relationships/hyperlink" Target="https://www.officeforstudents.org.uk/publications/update-on-regulating-student-outcomes-condition-b3/" TargetMode="External"/><Relationship Id="rId68" Type="http://schemas.openxmlformats.org/officeDocument/2006/relationships/hyperlink" Target="https://doi.org/10.3390/educsci14030257" TargetMode="External"/><Relationship Id="rId84" Type="http://schemas.openxmlformats.org/officeDocument/2006/relationships/hyperlink" Target="https://ualresearchonline.arts.ac.uk/id/eprint/18273/" TargetMode="External"/><Relationship Id="rId89" Type="http://schemas.openxmlformats.org/officeDocument/2006/relationships/hyperlink" Target="https://www.ucas.com/data-and-analysis/undergraduate-statistics-and-reports/ucas-undergraduate-releases/2024-ucas-undergraduate-january-deadline-application-figures" TargetMode="External"/><Relationship Id="rId16" Type="http://schemas.openxmlformats.org/officeDocument/2006/relationships/hyperlink" Target="https://teachingexcellence.leeds.ac.uk/wp-content/uploads/sites/89/2022/06/Baseline-Standards-of-Inclusive-Learning-and-Teaching-Report-Spring-2022-updated.pdf" TargetMode="External"/><Relationship Id="rId11" Type="http://schemas.openxmlformats.org/officeDocument/2006/relationships/hyperlink" Target="https://doi.org/10.14434/josotl.v16i3.19299" TargetMode="External"/><Relationship Id="rId32" Type="http://schemas.openxmlformats.org/officeDocument/2006/relationships/hyperlink" Target="https://www.economicsobservatory.com/how-has-the-value-of-university-tuition-fees-in-england-changed-over-time" TargetMode="External"/><Relationship Id="rId37" Type="http://schemas.openxmlformats.org/officeDocument/2006/relationships/hyperlink" Target="https://gds.blog.gov.uk/2018/08/31/making-your-service-more-inclusive/" TargetMode="External"/><Relationship Id="rId53" Type="http://schemas.openxmlformats.org/officeDocument/2006/relationships/hyperlink" Target="https://wonkhe.com/blogs/how-bad-is-the-uk-recruitment-situation-really/" TargetMode="External"/><Relationship Id="rId58" Type="http://schemas.openxmlformats.org/officeDocument/2006/relationships/hyperlink" Target="https://doi.org/10.5539/hes.v10n3p66" TargetMode="External"/><Relationship Id="rId74" Type="http://schemas.openxmlformats.org/officeDocument/2006/relationships/hyperlink" Target="https://doi.org/10.1177/0741932520909821" TargetMode="External"/><Relationship Id="rId79" Type="http://schemas.openxmlformats.org/officeDocument/2006/relationships/hyperlink" Target="https://doi.org/10.1016/j.compedu.2014.11.007" TargetMode="External"/><Relationship Id="rId102" Type="http://schemas.openxmlformats.org/officeDocument/2006/relationships/hyperlink" Target="https://nadp-uk.org/wp-content/uploads/2024/04/JIPFHE-16.1-Spring-2024-Woodley-et-al.pdf" TargetMode="External"/><Relationship Id="rId5" Type="http://schemas.openxmlformats.org/officeDocument/2006/relationships/webSettings" Target="webSettings.xml"/><Relationship Id="rId90" Type="http://schemas.openxmlformats.org/officeDocument/2006/relationships/hyperlink" Target="https://tcg.uis.unesco.org/wp-content/uploads/sites/4/2020/09/sdg4_indicator_list.pdf" TargetMode="External"/><Relationship Id="rId95" Type="http://schemas.openxmlformats.org/officeDocument/2006/relationships/hyperlink" Target="https://www.hepi.ac.uk/2023/11/16/international-student-recruitment-the-role-of-agents-2/" TargetMode="External"/><Relationship Id="rId22" Type="http://schemas.openxmlformats.org/officeDocument/2006/relationships/hyperlink" Target="https://doi.org/10.1007/s10734-020-00513-6" TargetMode="External"/><Relationship Id="rId27" Type="http://schemas.openxmlformats.org/officeDocument/2006/relationships/hyperlink" Target="https://disabledstudents.co.uk/manifesto/" TargetMode="External"/><Relationship Id="rId43" Type="http://schemas.openxmlformats.org/officeDocument/2006/relationships/hyperlink" Target="https://www.advance-he.ac.uk/knowledge-hub/inclusive-learning-and-teaching-higher-education-synthesis-research" TargetMode="External"/><Relationship Id="rId48" Type="http://schemas.openxmlformats.org/officeDocument/2006/relationships/hyperlink" Target="https://researchbriefings.files.parliament.uk/documents/CBP-8716/CBP-8716.pdf" TargetMode="External"/><Relationship Id="rId64" Type="http://schemas.openxmlformats.org/officeDocument/2006/relationships/hyperlink" Target="https://doi.org/10.1920/re.ifs.2024.0277" TargetMode="External"/><Relationship Id="rId69" Type="http://schemas.openxmlformats.org/officeDocument/2006/relationships/hyperlink" Target="https://www.qaa.ac.uk/docs/qaa/members/belonging-through-assessment-pipelines-of-compassion-final-report.pdf" TargetMode="External"/><Relationship Id="rId80" Type="http://schemas.openxmlformats.org/officeDocument/2006/relationships/hyperlink" Target="https://doi.org/10.1080/09687599.2023.2209736" TargetMode="External"/><Relationship Id="rId85" Type="http://schemas.openxmlformats.org/officeDocument/2006/relationships/hyperlink" Target="https://www.studentminds.org.uk/universitymentalhealthcharter.html" TargetMode="External"/><Relationship Id="rId12" Type="http://schemas.openxmlformats.org/officeDocument/2006/relationships/hyperlink" Target="https://doi.org/10.1080/2331186X.2023.2218191" TargetMode="External"/><Relationship Id="rId17" Type="http://schemas.openxmlformats.org/officeDocument/2006/relationships/hyperlink" Target="https://doi.org/10.1111/bjet.13328" TargetMode="External"/><Relationship Id="rId33" Type="http://schemas.openxmlformats.org/officeDocument/2006/relationships/hyperlink" Target="https://doi.org/10.3390/educsci13090920" TargetMode="External"/><Relationship Id="rId38" Type="http://schemas.openxmlformats.org/officeDocument/2006/relationships/hyperlink" Target="https://doi.org/10.1080/0309877X.2021.1902573" TargetMode="External"/><Relationship Id="rId59" Type="http://schemas.openxmlformats.org/officeDocument/2006/relationships/hyperlink" Target="https://doi.org/10.1080/08856257.2019.1635204" TargetMode="External"/><Relationship Id="rId103" Type="http://schemas.openxmlformats.org/officeDocument/2006/relationships/hyperlink" Target="https://doi.org/10.1080/09687599.2022.2114885" TargetMode="External"/><Relationship Id="rId20" Type="http://schemas.openxmlformats.org/officeDocument/2006/relationships/hyperlink" Target="https://www.cast.org/impact/universal-design-for-learning-udl" TargetMode="External"/><Relationship Id="rId41" Type="http://schemas.openxmlformats.org/officeDocument/2006/relationships/hyperlink" Target="https://www.hepi.ac.uk/2024/01/18/the-financial-health-of-the-uk-higher-education-sector-it-is-worse-than-people-think/" TargetMode="External"/><Relationship Id="rId54" Type="http://schemas.openxmlformats.org/officeDocument/2006/relationships/hyperlink" Target="https://www.advance-he.ac.uk/knowledge-hub/review-evidence-base-inclusive-learning-and-teaching-disabled-students-higher" TargetMode="External"/><Relationship Id="rId62" Type="http://schemas.openxmlformats.org/officeDocument/2006/relationships/hyperlink" Target="https://www.officeforstudents.org.uk/for-providers/the-register-and-conditions/conditions-of-registration/b-conditions-quality-and-standards/condition-b3/" TargetMode="External"/><Relationship Id="rId70" Type="http://schemas.openxmlformats.org/officeDocument/2006/relationships/hyperlink" Target="https://doi.org/10.1007/s10734-023-01050-5" TargetMode="External"/><Relationship Id="rId75" Type="http://schemas.openxmlformats.org/officeDocument/2006/relationships/hyperlink" Target="https://www.ahead.org/professional-resources/publications/jped/jped-volume-37/jped-37-1" TargetMode="External"/><Relationship Id="rId83" Type="http://schemas.openxmlformats.org/officeDocument/2006/relationships/hyperlink" Target="https://doi.org/10.1080/09687599.2021.1916327" TargetMode="External"/><Relationship Id="rId88" Type="http://schemas.openxmlformats.org/officeDocument/2006/relationships/hyperlink" Target="https://www.advance-he.ac.uk/knowledge-hub/inclusive-teaching-and-learning-higher-education" TargetMode="External"/><Relationship Id="rId91" Type="http://schemas.openxmlformats.org/officeDocument/2006/relationships/hyperlink" Target="https://www.unesco.org/en/education/sdgs" TargetMode="External"/><Relationship Id="rId96" Type="http://schemas.openxmlformats.org/officeDocument/2006/relationships/hyperlink" Target="https://inclusiveteaching.leeds.ac.uk/embedding-inclusivity/inclusive-baseline-standard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14782103241255428" TargetMode="External"/><Relationship Id="rId23" Type="http://schemas.openxmlformats.org/officeDocument/2006/relationships/hyperlink" Target="https://doi.org/10.1080/08856257.2023.2295328" TargetMode="External"/><Relationship Id="rId28" Type="http://schemas.openxmlformats.org/officeDocument/2006/relationships/hyperlink" Target="https://disabledstudents.co.uk/research/the-2024-access-insights-report/" TargetMode="External"/><Relationship Id="rId36" Type="http://schemas.openxmlformats.org/officeDocument/2006/relationships/hyperlink" Target="https://www.legislation.gov.uk/uksi/2018/952/contents/made" TargetMode="External"/><Relationship Id="rId49" Type="http://schemas.openxmlformats.org/officeDocument/2006/relationships/hyperlink" Target="https://doi.org/10.3390/app13010476" TargetMode="External"/><Relationship Id="rId57" Type="http://schemas.openxmlformats.org/officeDocument/2006/relationships/hyperlink" Target="https://udl-irn.org/wp-content/uploads/2021/08/UDL-Theory-and-Practice-CAST-2014.pdf" TargetMode="External"/><Relationship Id="rId106" Type="http://schemas.openxmlformats.org/officeDocument/2006/relationships/theme" Target="theme/theme1.xml"/><Relationship Id="rId10" Type="http://schemas.openxmlformats.org/officeDocument/2006/relationships/hyperlink" Target="https://doi.org/10.1108/JARHE-07-2021-0259" TargetMode="External"/><Relationship Id="rId31" Type="http://schemas.openxmlformats.org/officeDocument/2006/relationships/hyperlink" Target="https://files.eric.ed.gov/fulltext/EJ1186255.pdf" TargetMode="External"/><Relationship Id="rId44" Type="http://schemas.openxmlformats.org/officeDocument/2006/relationships/hyperlink" Target="https://doi.org/10.1080/03075079.2021.1943869" TargetMode="External"/><Relationship Id="rId52" Type="http://schemas.openxmlformats.org/officeDocument/2006/relationships/hyperlink" Target="https://doi.org/10.1080/2331186X.2016.1256142" TargetMode="External"/><Relationship Id="rId60" Type="http://schemas.openxmlformats.org/officeDocument/2006/relationships/hyperlink" Target="https://doi.org/10.1080/07294360.2020.1811640" TargetMode="External"/><Relationship Id="rId65" Type="http://schemas.openxmlformats.org/officeDocument/2006/relationships/hyperlink" Target="https://www.open.ac.uk/blogs/opentel/universal-design-for-learning-at-the-first-open-inclusive-sig/" TargetMode="External"/><Relationship Id="rId73" Type="http://schemas.openxmlformats.org/officeDocument/2006/relationships/hyperlink" Target="https://www.qaa.ac.uk/docs/qaa/guidance/hallmarks-of-success-in-inclusive-curriculum-design.pdf" TargetMode="External"/><Relationship Id="rId78" Type="http://schemas.openxmlformats.org/officeDocument/2006/relationships/hyperlink" Target="https://doi.org/10.1007/s10639-020-10329-7" TargetMode="External"/><Relationship Id="rId81" Type="http://schemas.openxmlformats.org/officeDocument/2006/relationships/hyperlink" Target="https://doi.org/10.1080/0309877X.2021.1995893" TargetMode="External"/><Relationship Id="rId86" Type="http://schemas.openxmlformats.org/officeDocument/2006/relationships/hyperlink" Target="https://www.google.com/url?sa=E&amp;source=gmail&amp;q=https://www.ahead.org/professional-resources/publications/jped/jped-volume-36-issue-1" TargetMode="External"/><Relationship Id="rId94" Type="http://schemas.openxmlformats.org/officeDocument/2006/relationships/hyperlink" Target="https://sdgs.un.org/goals/goal10" TargetMode="External"/><Relationship Id="rId99" Type="http://schemas.openxmlformats.org/officeDocument/2006/relationships/hyperlink" Target="https://commonslibrary.parliament.uk/research-briefings/cbp-9800/" TargetMode="External"/><Relationship Id="rId101" Type="http://schemas.openxmlformats.org/officeDocument/2006/relationships/hyperlink" Target="https://www.google.com/search?q=https://doi.org/10.1080/07294360.2022.213271" TargetMode="External"/><Relationship Id="rId4" Type="http://schemas.openxmlformats.org/officeDocument/2006/relationships/settings" Target="settings.xml"/><Relationship Id="rId9" Type="http://schemas.openxmlformats.org/officeDocument/2006/relationships/hyperlink" Target="https://www.advance-he.ac.uk/knowledge-hub/framework-inclusive-learning-and-teaching" TargetMode="External"/><Relationship Id="rId13" Type="http://schemas.openxmlformats.org/officeDocument/2006/relationships/hyperlink" Target="https://doi.org/10.1016/j.euroecorev.2023.104639" TargetMode="External"/><Relationship Id="rId18" Type="http://schemas.openxmlformats.org/officeDocument/2006/relationships/hyperlink" Target="https://doi.org/10.1037/edu0000476" TargetMode="External"/><Relationship Id="rId39" Type="http://schemas.openxmlformats.org/officeDocument/2006/relationships/hyperlink" Target="https://doi.org/10.1111/j.1471-1842.2009.00848.x" TargetMode="External"/><Relationship Id="rId34" Type="http://schemas.openxmlformats.org/officeDocument/2006/relationships/hyperlink" Target="https://doi.org/10.1057/s41307-022-00277-x" TargetMode="External"/><Relationship Id="rId50" Type="http://schemas.openxmlformats.org/officeDocument/2006/relationships/hyperlink" Target="https://beta.jisc.ac.uk/reports/investigating-the-impact-of-universal-design-for-learning" TargetMode="External"/><Relationship Id="rId55" Type="http://schemas.openxmlformats.org/officeDocument/2006/relationships/hyperlink" Target="https://files.eric.ed.gov/fulltext/EJ1294242.pdf" TargetMode="External"/><Relationship Id="rId76" Type="http://schemas.openxmlformats.org/officeDocument/2006/relationships/hyperlink" Target="https://doi.org/10.1186/s13643-020-01542-z" TargetMode="External"/><Relationship Id="rId97" Type="http://schemas.openxmlformats.org/officeDocument/2006/relationships/hyperlink" Target="https://www.arts.ac.uk/study-at-ual/course-regulations/assessment"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177/10283153221124231" TargetMode="External"/><Relationship Id="rId92" Type="http://schemas.openxmlformats.org/officeDocument/2006/relationships/hyperlink" Target="https://sdgs.un.org/2030agenda" TargetMode="External"/><Relationship Id="rId2" Type="http://schemas.openxmlformats.org/officeDocument/2006/relationships/numbering" Target="numbering.xml"/><Relationship Id="rId29" Type="http://schemas.openxmlformats.org/officeDocument/2006/relationships/hyperlink" Target="https://doi.org/10.1002/berj.3793" TargetMode="External"/><Relationship Id="rId24" Type="http://schemas.openxmlformats.org/officeDocument/2006/relationships/hyperlink" Target="https://assets.publishing.service.gov.uk/media/5a802f43e5274a2e8ab4ead7/Inclusive_Teaching_and_Learning_in_Higher_Education_as_a_route_to-excellence.pdf" TargetMode="External"/><Relationship Id="rId40" Type="http://schemas.openxmlformats.org/officeDocument/2006/relationships/hyperlink" Target="https://doi.org/10.1080/07294360.2019.1692576" TargetMode="External"/><Relationship Id="rId45" Type="http://schemas.openxmlformats.org/officeDocument/2006/relationships/hyperlink" Target="http://mixedmethodsappraisaltoolpublic.pbworks.com/w/file/fetch/127916259/MMAT_2018_criteria-manual_2018-08-01_ENG.pdf" TargetMode="External"/><Relationship Id="rId66" Type="http://schemas.openxmlformats.org/officeDocument/2006/relationships/hyperlink" Target="https://doi.org/10.1111/jebm.12266" TargetMode="External"/><Relationship Id="rId87" Type="http://schemas.openxmlformats.org/officeDocument/2006/relationships/hyperlink" Target="https://help.open.ac.uk/documents/policies/accessibility/files/42/student-accessibility-policy.pdf" TargetMode="External"/><Relationship Id="rId61" Type="http://schemas.openxmlformats.org/officeDocument/2006/relationships/hyperlink" Target="https://www.officeforstudents.org.uk/for-providers/the-register-and-conditions/conditions-of-registration/b-conditions-quality-and-standards/" TargetMode="External"/><Relationship Id="rId82" Type="http://schemas.openxmlformats.org/officeDocument/2006/relationships/hyperlink" Target="https://doi.org/10.1016/j.jbusres.2019.07.039" TargetMode="External"/><Relationship Id="rId19" Type="http://schemas.openxmlformats.org/officeDocument/2006/relationships/hyperlink" Target="http://udlguidelines.cast.org" TargetMode="External"/><Relationship Id="rId14" Type="http://schemas.openxmlformats.org/officeDocument/2006/relationships/hyperlink" Target="https://doi.org/10.1007/s10734-019-00453-4" TargetMode="External"/><Relationship Id="rId30" Type="http://schemas.openxmlformats.org/officeDocument/2006/relationships/hyperlink" Target="https://oro.open.ac.uk/24938/" TargetMode="External"/><Relationship Id="rId35" Type="http://schemas.openxmlformats.org/officeDocument/2006/relationships/hyperlink" Target="https://doi.org/10.21427/H4RK-NC66" TargetMode="External"/><Relationship Id="rId56" Type="http://schemas.openxmlformats.org/officeDocument/2006/relationships/hyperlink" Target="https://doi.org/10.1080/01425692.2021.1994862" TargetMode="External"/><Relationship Id="rId77" Type="http://schemas.openxmlformats.org/officeDocument/2006/relationships/hyperlink" Target="https://doi.org/10.1080/00131911.2019.1566217" TargetMode="External"/><Relationship Id="rId100" Type="http://schemas.openxmlformats.org/officeDocument/2006/relationships/hyperlink" Target="https://doi.org/10.1111/j.1365-2648.2005.03621.x"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24059/olj.v27i1.3080" TargetMode="External"/><Relationship Id="rId72" Type="http://schemas.openxmlformats.org/officeDocument/2006/relationships/hyperlink" Target="https://www.qaa.ac.uk/membership/collaborative-enhancement-projects/assessment/developing-a-set-of-inclusive-assessment-design-attributes-for-use-across-the-he-sector" TargetMode="External"/><Relationship Id="rId93" Type="http://schemas.openxmlformats.org/officeDocument/2006/relationships/hyperlink" Target="https://sdgs.un.org/goals/goal4" TargetMode="External"/><Relationship Id="rId98" Type="http://schemas.openxmlformats.org/officeDocument/2006/relationships/hyperlink" Target="https://doi.org/10.1007/s10639-023-12275-z" TargetMode="External"/><Relationship Id="rId3" Type="http://schemas.openxmlformats.org/officeDocument/2006/relationships/styles" Target="styles.xml"/><Relationship Id="rId25" Type="http://schemas.openxmlformats.org/officeDocument/2006/relationships/hyperlink" Target="https://doi.org/10.1080/13562517.2022.2144883" TargetMode="External"/><Relationship Id="rId46" Type="http://schemas.openxmlformats.org/officeDocument/2006/relationships/hyperlink" Target="https://doi.org/10.1186/s13012-019-0947-9" TargetMode="External"/><Relationship Id="rId67" Type="http://schemas.openxmlformats.org/officeDocument/2006/relationships/hyperlink" Target="https://doi.org/10.1136/bmj.n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44</Pages>
  <Words>10719</Words>
  <Characters>71179</Characters>
  <Application>Microsoft Office Word</Application>
  <DocSecurity>0</DocSecurity>
  <Lines>1318</Lines>
  <Paragraphs>487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81411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(Kaz) Williams</dc:creator>
  <cp:keywords/>
  <dc:description>Kaz Working Final</dc:description>
  <cp:lastModifiedBy>Karine Williams</cp:lastModifiedBy>
  <cp:revision>21</cp:revision>
  <cp:lastPrinted>2025-08-14T19:32:00Z</cp:lastPrinted>
  <dcterms:created xsi:type="dcterms:W3CDTF">2025-08-15T14:20:00Z</dcterms:created>
  <dcterms:modified xsi:type="dcterms:W3CDTF">2025-08-15T22:19:00Z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9ab03567-5227-4fed-9b58-58aa16927c88</vt:lpwstr>
  </property>
</Properties>
</file>