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9917653"/>
        <w:docPartObj>
          <w:docPartGallery w:val="Cover Pages"/>
          <w:docPartUnique/>
        </w:docPartObj>
      </w:sdtPr>
      <w:sdtContent>
        <w:p w14:paraId="2C44A4F6" w14:textId="7C03888A" w:rsidR="00194C6A" w:rsidRDefault="00194C6A">
          <w:r>
            <w:rPr>
              <w:noProof/>
            </w:rPr>
            <mc:AlternateContent>
              <mc:Choice Requires="wpg">
                <w:drawing>
                  <wp:anchor distT="0" distB="0" distL="114300" distR="114300" simplePos="0" relativeHeight="251662336" behindDoc="0" locked="0" layoutInCell="1" allowOverlap="1" wp14:anchorId="60794B81" wp14:editId="2852816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29676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1C9D9BA" wp14:editId="2336A17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5E7879" w14:textId="66BFF977" w:rsidR="00194C6A" w:rsidRDefault="00000000" w:rsidP="00EE76DC">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E76DC" w:rsidRPr="00EE76DC">
                                      <w:rPr>
                                        <w:caps/>
                                        <w:color w:val="156082" w:themeColor="accent1"/>
                                        <w:sz w:val="64"/>
                                        <w:szCs w:val="64"/>
                                      </w:rPr>
                                      <w:t xml:space="preserve">Securing the Modern Enterprise: </w:t>
                                    </w:r>
                                    <w:r w:rsidR="00EE76DC">
                                      <w:rPr>
                                        <w:caps/>
                                        <w:color w:val="156082" w:themeColor="accent1"/>
                                        <w:sz w:val="64"/>
                                        <w:szCs w:val="64"/>
                                      </w:rPr>
                                      <w:br/>
                                    </w:r>
                                    <w:r w:rsidR="00EE76DC" w:rsidRPr="00EE76DC">
                                      <w:rPr>
                                        <w:caps/>
                                        <w:color w:val="156082" w:themeColor="accent1"/>
                                        <w:sz w:val="64"/>
                                        <w:szCs w:val="64"/>
                                      </w:rPr>
                                      <w:t>From Zero Trust to AI Governance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4086D5" w14:textId="19DFBB12" w:rsidR="00194C6A" w:rsidRDefault="00EE76DC">
                                    <w:pPr>
                                      <w:jc w:val="right"/>
                                      <w:rPr>
                                        <w:smallCaps/>
                                        <w:color w:val="404040" w:themeColor="text1" w:themeTint="BF"/>
                                        <w:sz w:val="36"/>
                                        <w:szCs w:val="36"/>
                                      </w:rPr>
                                    </w:pPr>
                                    <w:r w:rsidRPr="00EE76DC">
                                      <w:rPr>
                                        <w:color w:val="404040" w:themeColor="text1" w:themeTint="BF"/>
                                        <w:sz w:val="36"/>
                                        <w:szCs w:val="36"/>
                                      </w:rPr>
                                      <w:t>CISO Proposal and Implementation Plan for Aegis FinTech Innovations Ltd.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1C9D9BA"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05E7879" w14:textId="66BFF977" w:rsidR="00194C6A" w:rsidRDefault="00000000" w:rsidP="00EE76DC">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E76DC" w:rsidRPr="00EE76DC">
                                <w:rPr>
                                  <w:caps/>
                                  <w:color w:val="156082" w:themeColor="accent1"/>
                                  <w:sz w:val="64"/>
                                  <w:szCs w:val="64"/>
                                </w:rPr>
                                <w:t xml:space="preserve">Securing the Modern Enterprise: </w:t>
                              </w:r>
                              <w:r w:rsidR="00EE76DC">
                                <w:rPr>
                                  <w:caps/>
                                  <w:color w:val="156082" w:themeColor="accent1"/>
                                  <w:sz w:val="64"/>
                                  <w:szCs w:val="64"/>
                                </w:rPr>
                                <w:br/>
                              </w:r>
                              <w:r w:rsidR="00EE76DC" w:rsidRPr="00EE76DC">
                                <w:rPr>
                                  <w:caps/>
                                  <w:color w:val="156082" w:themeColor="accent1"/>
                                  <w:sz w:val="64"/>
                                  <w:szCs w:val="64"/>
                                </w:rPr>
                                <w:t>From Zero Trust to AI Governance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4086D5" w14:textId="19DFBB12" w:rsidR="00194C6A" w:rsidRDefault="00EE76DC">
                              <w:pPr>
                                <w:jc w:val="right"/>
                                <w:rPr>
                                  <w:smallCaps/>
                                  <w:color w:val="404040" w:themeColor="text1" w:themeTint="BF"/>
                                  <w:sz w:val="36"/>
                                  <w:szCs w:val="36"/>
                                </w:rPr>
                              </w:pPr>
                              <w:r w:rsidRPr="00EE76DC">
                                <w:rPr>
                                  <w:color w:val="404040" w:themeColor="text1" w:themeTint="BF"/>
                                  <w:sz w:val="36"/>
                                  <w:szCs w:val="36"/>
                                </w:rPr>
                                <w:t>CISO Proposal and Implementation Plan for Aegis FinTech Innovations Ltd.</w:t>
                              </w:r>
                            </w:p>
                          </w:sdtContent>
                        </w:sdt>
                      </w:txbxContent>
                    </v:textbox>
                    <w10:wrap type="square" anchorx="page" anchory="page"/>
                  </v:shape>
                </w:pict>
              </mc:Fallback>
            </mc:AlternateContent>
          </w:r>
        </w:p>
        <w:p w14:paraId="3C032E7F" w14:textId="73C64455" w:rsidR="001D715F" w:rsidRDefault="0068701A" w:rsidP="00815F7D">
          <w:r>
            <w:rPr>
              <w:noProof/>
            </w:rPr>
            <mc:AlternateContent>
              <mc:Choice Requires="wps">
                <w:drawing>
                  <wp:anchor distT="0" distB="0" distL="114300" distR="114300" simplePos="0" relativeHeight="251660288" behindDoc="0" locked="0" layoutInCell="1" allowOverlap="1" wp14:anchorId="003B620E" wp14:editId="0197E23E">
                    <wp:simplePos x="0" y="0"/>
                    <wp:positionH relativeFrom="page">
                      <wp:posOffset>853313</wp:posOffset>
                    </wp:positionH>
                    <wp:positionV relativeFrom="page">
                      <wp:posOffset>9659874</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ED887C" w14:textId="21B571D0" w:rsidR="00194C6A" w:rsidRDefault="00194C6A">
                                    <w:pPr>
                                      <w:pStyle w:val="NoSpacing"/>
                                      <w:jc w:val="right"/>
                                      <w:rPr>
                                        <w:color w:val="595959" w:themeColor="text1" w:themeTint="A6"/>
                                        <w:sz w:val="28"/>
                                        <w:szCs w:val="28"/>
                                      </w:rPr>
                                    </w:pPr>
                                    <w:r>
                                      <w:rPr>
                                        <w:color w:val="595959" w:themeColor="text1" w:themeTint="A6"/>
                                        <w:sz w:val="28"/>
                                        <w:szCs w:val="28"/>
                                      </w:rPr>
                                      <w:t>Brandon Curran (2427494)</w:t>
                                    </w:r>
                                  </w:p>
                                </w:sdtContent>
                              </w:sdt>
                              <w:p w14:paraId="4799B8EA" w14:textId="46323EB5" w:rsidR="00194C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149DB">
                                      <w:rPr>
                                        <w:color w:val="595959" w:themeColor="text1" w:themeTint="A6"/>
                                        <w:sz w:val="18"/>
                                        <w:szCs w:val="18"/>
                                      </w:rPr>
                                      <w:t>2427494@student.uwtsd.ac.uk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03B620E" id="Text Box 159" o:spid="_x0000_s1027" type="#_x0000_t202" style="position:absolute;margin-left:67.2pt;margin-top:760.6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ED887C" w14:textId="21B571D0" w:rsidR="00194C6A" w:rsidRDefault="00194C6A">
                              <w:pPr>
                                <w:pStyle w:val="NoSpacing"/>
                                <w:jc w:val="right"/>
                                <w:rPr>
                                  <w:color w:val="595959" w:themeColor="text1" w:themeTint="A6"/>
                                  <w:sz w:val="28"/>
                                  <w:szCs w:val="28"/>
                                </w:rPr>
                              </w:pPr>
                              <w:r>
                                <w:rPr>
                                  <w:color w:val="595959" w:themeColor="text1" w:themeTint="A6"/>
                                  <w:sz w:val="28"/>
                                  <w:szCs w:val="28"/>
                                </w:rPr>
                                <w:t>Brandon Curran (2427494)</w:t>
                              </w:r>
                            </w:p>
                          </w:sdtContent>
                        </w:sdt>
                        <w:p w14:paraId="4799B8EA" w14:textId="46323EB5" w:rsidR="00194C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149DB">
                                <w:rPr>
                                  <w:color w:val="595959" w:themeColor="text1" w:themeTint="A6"/>
                                  <w:sz w:val="18"/>
                                  <w:szCs w:val="18"/>
                                </w:rPr>
                                <w:t>2427494@student.uwtsd.ac.uk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4406572" wp14:editId="6CB3442C">
                    <wp:simplePos x="0" y="0"/>
                    <wp:positionH relativeFrom="margin">
                      <wp:align>center</wp:align>
                    </wp:positionH>
                    <wp:positionV relativeFrom="page">
                      <wp:posOffset>7182993</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9B67D8" w14:textId="77777777" w:rsidR="00194C6A" w:rsidRDefault="00194C6A" w:rsidP="0068701A">
                                <w:pPr>
                                  <w:pStyle w:val="NoSpacing"/>
                                  <w:rPr>
                                    <w:color w:val="156082" w:themeColor="accent1"/>
                                    <w:sz w:val="28"/>
                                    <w:szCs w:val="28"/>
                                  </w:rPr>
                                </w:pPr>
                                <w:r>
                                  <w:rPr>
                                    <w:color w:val="156082" w:themeColor="accent1"/>
                                    <w:sz w:val="28"/>
                                    <w:szCs w:val="28"/>
                                  </w:rPr>
                                  <w:t>Abstract</w:t>
                                </w:r>
                              </w:p>
                              <w:p w14:paraId="7171EA3E" w14:textId="77777777" w:rsidR="0068701A" w:rsidRPr="002E1E10" w:rsidRDefault="0068701A" w:rsidP="0068701A">
                                <w:r w:rsidRPr="002E1E10">
                                  <w:t xml:space="preserve">This paper critically evaluates </w:t>
                                </w:r>
                                <w:r>
                                  <w:t>Zero Trust Architecture</w:t>
                                </w:r>
                                <w:r w:rsidRPr="002E1E10">
                                  <w:t xml:space="preserve"> as a security and compliance model for a cloud-based fintech organisation operating across SaaS, APIs, remote working and AI-powered analytics. It argues that Zero Trust reduces implicit trust, identity compromise, lateral movement and compliance evidence gaps, but only when implemented as a governance-led operating model supported by identity governance, asset visibility, segmentation, monitoring, automation and tested recovery. The findings provide the evidence base for the CISO proposal in Task 2.</w:t>
                                </w:r>
                              </w:p>
                              <w:p w14:paraId="05EB7502" w14:textId="5BC6B746" w:rsidR="00194C6A" w:rsidRPr="0068701A" w:rsidRDefault="00194C6A" w:rsidP="0068701A">
                                <w:pPr>
                                  <w:pStyle w:val="NoSpacing"/>
                                  <w:jc w:val="right"/>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406572" id="Text Box 161" o:spid="_x0000_s1028" type="#_x0000_t202" style="position:absolute;margin-left:0;margin-top:565.6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" filled="f" stroked="f" strokeweight=".5pt">
                    <v:textbox style="mso-fit-shape-to-text:t" inset="126pt,0,54pt,0">
                      <w:txbxContent>
                        <w:p w14:paraId="159B67D8" w14:textId="77777777" w:rsidR="00194C6A" w:rsidRDefault="00194C6A" w:rsidP="0068701A">
                          <w:pPr>
                            <w:pStyle w:val="NoSpacing"/>
                            <w:rPr>
                              <w:color w:val="156082" w:themeColor="accent1"/>
                              <w:sz w:val="28"/>
                              <w:szCs w:val="28"/>
                            </w:rPr>
                          </w:pPr>
                          <w:r>
                            <w:rPr>
                              <w:color w:val="156082" w:themeColor="accent1"/>
                              <w:sz w:val="28"/>
                              <w:szCs w:val="28"/>
                            </w:rPr>
                            <w:t>Abstract</w:t>
                          </w:r>
                        </w:p>
                        <w:p w14:paraId="7171EA3E" w14:textId="77777777" w:rsidR="0068701A" w:rsidRPr="002E1E10" w:rsidRDefault="0068701A" w:rsidP="0068701A">
                          <w:r w:rsidRPr="002E1E10">
                            <w:t xml:space="preserve">This paper critically evaluates </w:t>
                          </w:r>
                          <w:r>
                            <w:t>Zero Trust Architecture</w:t>
                          </w:r>
                          <w:r w:rsidRPr="002E1E10">
                            <w:t xml:space="preserve"> as a security and compliance model for a cloud-based fintech organisation operating across SaaS, APIs, remote working and AI-powered analytics. It argues that Zero Trust reduces implicit trust, identity compromise, lateral movement and compliance evidence gaps, but only when implemented as a governance-led operating model supported by identity governance, asset visibility, segmentation, monitoring, automation and tested recovery. The findings provide the evidence base for the CISO proposal in Task 2.</w:t>
                          </w:r>
                        </w:p>
                        <w:p w14:paraId="05EB7502" w14:textId="5BC6B746" w:rsidR="00194C6A" w:rsidRPr="0068701A" w:rsidRDefault="00194C6A" w:rsidP="0068701A">
                          <w:pPr>
                            <w:pStyle w:val="NoSpacing"/>
                            <w:jc w:val="right"/>
                            <w:rPr>
                              <w:color w:val="595959" w:themeColor="text1" w:themeTint="A6"/>
                              <w:sz w:val="20"/>
                              <w:szCs w:val="20"/>
                              <w:lang w:val="en-GB"/>
                            </w:rPr>
                          </w:pPr>
                        </w:p>
                      </w:txbxContent>
                    </v:textbox>
                    <w10:wrap type="square" anchorx="margin" anchory="page"/>
                  </v:shape>
                </w:pict>
              </mc:Fallback>
            </mc:AlternateContent>
          </w:r>
          <w:r w:rsidR="00194C6A">
            <w:br w:type="page"/>
          </w:r>
        </w:p>
      </w:sdtContent>
    </w:sdt>
    <w:p w14:paraId="7BA4D7D9" w14:textId="77777777" w:rsidR="001D715F" w:rsidRDefault="001D715F" w:rsidP="00815F7D"/>
    <w:p w14:paraId="6E54B5CE" w14:textId="77777777" w:rsidR="001D715F" w:rsidRDefault="001D715F" w:rsidP="00815F7D"/>
    <w:p w14:paraId="17BE593D" w14:textId="77777777" w:rsidR="00A149DB" w:rsidRDefault="00A149DB">
      <w:pPr>
        <w:pStyle w:val="TOCHeading"/>
        <w:sectPr w:rsidR="00A149DB" w:rsidSect="005A07E9">
          <w:type w:val="continuous"/>
          <w:pgSz w:w="11906" w:h="16838"/>
          <w:pgMar w:top="1440" w:right="1440" w:bottom="1440" w:left="1440" w:header="708" w:footer="708" w:gutter="0"/>
          <w:cols w:num="2" w:space="708"/>
          <w:docGrid w:linePitch="360"/>
        </w:sectPr>
      </w:pPr>
    </w:p>
    <w:sdt>
      <w:sdtPr>
        <w:rPr>
          <w:rFonts w:asciiTheme="minorHAnsi" w:eastAsiaTheme="minorHAnsi" w:hAnsiTheme="minorHAnsi" w:cstheme="minorBidi"/>
          <w:color w:val="auto"/>
          <w:kern w:val="2"/>
          <w:sz w:val="24"/>
          <w:szCs w:val="24"/>
          <w:lang w:val="en-GB"/>
          <w14:ligatures w14:val="standardContextual"/>
        </w:rPr>
        <w:id w:val="-3128980"/>
        <w:docPartObj>
          <w:docPartGallery w:val="Table of Contents"/>
          <w:docPartUnique/>
        </w:docPartObj>
      </w:sdtPr>
      <w:sdtEndPr>
        <w:rPr>
          <w:b/>
          <w:bCs/>
          <w:noProof/>
        </w:rPr>
      </w:sdtEndPr>
      <w:sdtContent>
        <w:p w14:paraId="7191F35B" w14:textId="315408F7" w:rsidR="00276DD4" w:rsidRDefault="00276DD4">
          <w:pPr>
            <w:pStyle w:val="TOCHeading"/>
          </w:pPr>
          <w:r>
            <w:t>Contents</w:t>
          </w:r>
        </w:p>
        <w:p w14:paraId="26BDDE6A" w14:textId="4145030A" w:rsidR="001A3442" w:rsidRDefault="00276DD4">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924613" w:history="1">
            <w:r w:rsidR="001A3442" w:rsidRPr="00991312">
              <w:rPr>
                <w:rStyle w:val="Hyperlink"/>
                <w:noProof/>
              </w:rPr>
              <w:t>Index Terms</w:t>
            </w:r>
            <w:r w:rsidR="001A3442">
              <w:rPr>
                <w:noProof/>
                <w:webHidden/>
              </w:rPr>
              <w:tab/>
            </w:r>
            <w:r w:rsidR="001A3442">
              <w:rPr>
                <w:noProof/>
                <w:webHidden/>
              </w:rPr>
              <w:fldChar w:fldCharType="begin"/>
            </w:r>
            <w:r w:rsidR="001A3442">
              <w:rPr>
                <w:noProof/>
                <w:webHidden/>
              </w:rPr>
              <w:instrText xml:space="preserve"> PAGEREF _Toc234924613 \h </w:instrText>
            </w:r>
            <w:r w:rsidR="001A3442">
              <w:rPr>
                <w:noProof/>
                <w:webHidden/>
              </w:rPr>
            </w:r>
            <w:r w:rsidR="001A3442">
              <w:rPr>
                <w:noProof/>
                <w:webHidden/>
              </w:rPr>
              <w:fldChar w:fldCharType="separate"/>
            </w:r>
            <w:r w:rsidR="001A3442">
              <w:rPr>
                <w:noProof/>
                <w:webHidden/>
              </w:rPr>
              <w:t>3</w:t>
            </w:r>
            <w:r w:rsidR="001A3442">
              <w:rPr>
                <w:noProof/>
                <w:webHidden/>
              </w:rPr>
              <w:fldChar w:fldCharType="end"/>
            </w:r>
          </w:hyperlink>
        </w:p>
        <w:p w14:paraId="5D0A4A71" w14:textId="7F258CCF" w:rsidR="001A3442" w:rsidRDefault="001A3442">
          <w:pPr>
            <w:pStyle w:val="TOC1"/>
            <w:tabs>
              <w:tab w:val="right" w:leader="dot" w:pos="9016"/>
            </w:tabs>
            <w:rPr>
              <w:rFonts w:eastAsiaTheme="minorEastAsia"/>
              <w:noProof/>
              <w:lang w:eastAsia="en-GB"/>
            </w:rPr>
          </w:pPr>
          <w:hyperlink w:anchor="_Toc234924614" w:history="1">
            <w:r w:rsidRPr="00991312">
              <w:rPr>
                <w:rStyle w:val="Hyperlink"/>
                <w:noProof/>
              </w:rPr>
              <w:t>Task 1</w:t>
            </w:r>
            <w:r>
              <w:rPr>
                <w:noProof/>
                <w:webHidden/>
              </w:rPr>
              <w:tab/>
            </w:r>
            <w:r>
              <w:rPr>
                <w:noProof/>
                <w:webHidden/>
              </w:rPr>
              <w:fldChar w:fldCharType="begin"/>
            </w:r>
            <w:r>
              <w:rPr>
                <w:noProof/>
                <w:webHidden/>
              </w:rPr>
              <w:instrText xml:space="preserve"> PAGEREF _Toc234924614 \h </w:instrText>
            </w:r>
            <w:r>
              <w:rPr>
                <w:noProof/>
                <w:webHidden/>
              </w:rPr>
            </w:r>
            <w:r>
              <w:rPr>
                <w:noProof/>
                <w:webHidden/>
              </w:rPr>
              <w:fldChar w:fldCharType="separate"/>
            </w:r>
            <w:r>
              <w:rPr>
                <w:noProof/>
                <w:webHidden/>
              </w:rPr>
              <w:t>3</w:t>
            </w:r>
            <w:r>
              <w:rPr>
                <w:noProof/>
                <w:webHidden/>
              </w:rPr>
              <w:fldChar w:fldCharType="end"/>
            </w:r>
          </w:hyperlink>
        </w:p>
        <w:p w14:paraId="6ED6CB42" w14:textId="0178B7B9" w:rsidR="001A3442" w:rsidRDefault="001A3442">
          <w:pPr>
            <w:pStyle w:val="TOC2"/>
            <w:tabs>
              <w:tab w:val="right" w:leader="dot" w:pos="9016"/>
            </w:tabs>
            <w:rPr>
              <w:rFonts w:eastAsiaTheme="minorEastAsia"/>
              <w:noProof/>
              <w:lang w:eastAsia="en-GB"/>
            </w:rPr>
          </w:pPr>
          <w:hyperlink w:anchor="_Toc234924615" w:history="1">
            <w:r w:rsidRPr="00991312">
              <w:rPr>
                <w:rStyle w:val="Hyperlink"/>
                <w:noProof/>
              </w:rPr>
              <w:t>1. Introduction</w:t>
            </w:r>
            <w:r>
              <w:rPr>
                <w:noProof/>
                <w:webHidden/>
              </w:rPr>
              <w:tab/>
            </w:r>
            <w:r>
              <w:rPr>
                <w:noProof/>
                <w:webHidden/>
              </w:rPr>
              <w:fldChar w:fldCharType="begin"/>
            </w:r>
            <w:r>
              <w:rPr>
                <w:noProof/>
                <w:webHidden/>
              </w:rPr>
              <w:instrText xml:space="preserve"> PAGEREF _Toc234924615 \h </w:instrText>
            </w:r>
            <w:r>
              <w:rPr>
                <w:noProof/>
                <w:webHidden/>
              </w:rPr>
            </w:r>
            <w:r>
              <w:rPr>
                <w:noProof/>
                <w:webHidden/>
              </w:rPr>
              <w:fldChar w:fldCharType="separate"/>
            </w:r>
            <w:r>
              <w:rPr>
                <w:noProof/>
                <w:webHidden/>
              </w:rPr>
              <w:t>3</w:t>
            </w:r>
            <w:r>
              <w:rPr>
                <w:noProof/>
                <w:webHidden/>
              </w:rPr>
              <w:fldChar w:fldCharType="end"/>
            </w:r>
          </w:hyperlink>
        </w:p>
        <w:p w14:paraId="414086A2" w14:textId="45F53673" w:rsidR="001A3442" w:rsidRDefault="001A3442">
          <w:pPr>
            <w:pStyle w:val="TOC2"/>
            <w:tabs>
              <w:tab w:val="right" w:leader="dot" w:pos="9016"/>
            </w:tabs>
            <w:rPr>
              <w:rFonts w:eastAsiaTheme="minorEastAsia"/>
              <w:noProof/>
              <w:lang w:eastAsia="en-GB"/>
            </w:rPr>
          </w:pPr>
          <w:hyperlink w:anchor="_Toc234924616" w:history="1">
            <w:r w:rsidRPr="00991312">
              <w:rPr>
                <w:rStyle w:val="Hyperlink"/>
                <w:noProof/>
              </w:rPr>
              <w:t>2. Background and Key Concepts</w:t>
            </w:r>
            <w:r>
              <w:rPr>
                <w:noProof/>
                <w:webHidden/>
              </w:rPr>
              <w:tab/>
            </w:r>
            <w:r>
              <w:rPr>
                <w:noProof/>
                <w:webHidden/>
              </w:rPr>
              <w:fldChar w:fldCharType="begin"/>
            </w:r>
            <w:r>
              <w:rPr>
                <w:noProof/>
                <w:webHidden/>
              </w:rPr>
              <w:instrText xml:space="preserve"> PAGEREF _Toc234924616 \h </w:instrText>
            </w:r>
            <w:r>
              <w:rPr>
                <w:noProof/>
                <w:webHidden/>
              </w:rPr>
            </w:r>
            <w:r>
              <w:rPr>
                <w:noProof/>
                <w:webHidden/>
              </w:rPr>
              <w:fldChar w:fldCharType="separate"/>
            </w:r>
            <w:r>
              <w:rPr>
                <w:noProof/>
                <w:webHidden/>
              </w:rPr>
              <w:t>4</w:t>
            </w:r>
            <w:r>
              <w:rPr>
                <w:noProof/>
                <w:webHidden/>
              </w:rPr>
              <w:fldChar w:fldCharType="end"/>
            </w:r>
          </w:hyperlink>
        </w:p>
        <w:p w14:paraId="6379BECE" w14:textId="2CCAB3A4" w:rsidR="001A3442" w:rsidRDefault="001A3442">
          <w:pPr>
            <w:pStyle w:val="TOC2"/>
            <w:tabs>
              <w:tab w:val="right" w:leader="dot" w:pos="9016"/>
            </w:tabs>
            <w:rPr>
              <w:rFonts w:eastAsiaTheme="minorEastAsia"/>
              <w:noProof/>
              <w:lang w:eastAsia="en-GB"/>
            </w:rPr>
          </w:pPr>
          <w:hyperlink w:anchor="_Toc234924617" w:history="1">
            <w:r w:rsidRPr="00991312">
              <w:rPr>
                <w:rStyle w:val="Hyperlink"/>
                <w:noProof/>
              </w:rPr>
              <w:t>3. Literature Review</w:t>
            </w:r>
            <w:r>
              <w:rPr>
                <w:noProof/>
                <w:webHidden/>
              </w:rPr>
              <w:tab/>
            </w:r>
            <w:r>
              <w:rPr>
                <w:noProof/>
                <w:webHidden/>
              </w:rPr>
              <w:fldChar w:fldCharType="begin"/>
            </w:r>
            <w:r>
              <w:rPr>
                <w:noProof/>
                <w:webHidden/>
              </w:rPr>
              <w:instrText xml:space="preserve"> PAGEREF _Toc234924617 \h </w:instrText>
            </w:r>
            <w:r>
              <w:rPr>
                <w:noProof/>
                <w:webHidden/>
              </w:rPr>
            </w:r>
            <w:r>
              <w:rPr>
                <w:noProof/>
                <w:webHidden/>
              </w:rPr>
              <w:fldChar w:fldCharType="separate"/>
            </w:r>
            <w:r>
              <w:rPr>
                <w:noProof/>
                <w:webHidden/>
              </w:rPr>
              <w:t>5</w:t>
            </w:r>
            <w:r>
              <w:rPr>
                <w:noProof/>
                <w:webHidden/>
              </w:rPr>
              <w:fldChar w:fldCharType="end"/>
            </w:r>
          </w:hyperlink>
        </w:p>
        <w:p w14:paraId="5099C964" w14:textId="63B2843B" w:rsidR="001A3442" w:rsidRDefault="001A3442">
          <w:pPr>
            <w:pStyle w:val="TOC2"/>
            <w:tabs>
              <w:tab w:val="right" w:leader="dot" w:pos="9016"/>
            </w:tabs>
            <w:rPr>
              <w:rFonts w:eastAsiaTheme="minorEastAsia"/>
              <w:noProof/>
              <w:lang w:eastAsia="en-GB"/>
            </w:rPr>
          </w:pPr>
          <w:hyperlink w:anchor="_Toc234924618" w:history="1">
            <w:r w:rsidRPr="00991312">
              <w:rPr>
                <w:rStyle w:val="Hyperlink"/>
                <w:noProof/>
              </w:rPr>
              <w:t>4. Critical Analysis of Zero Trust Principles</w:t>
            </w:r>
            <w:r>
              <w:rPr>
                <w:noProof/>
                <w:webHidden/>
              </w:rPr>
              <w:tab/>
            </w:r>
            <w:r>
              <w:rPr>
                <w:noProof/>
                <w:webHidden/>
              </w:rPr>
              <w:fldChar w:fldCharType="begin"/>
            </w:r>
            <w:r>
              <w:rPr>
                <w:noProof/>
                <w:webHidden/>
              </w:rPr>
              <w:instrText xml:space="preserve"> PAGEREF _Toc234924618 \h </w:instrText>
            </w:r>
            <w:r>
              <w:rPr>
                <w:noProof/>
                <w:webHidden/>
              </w:rPr>
            </w:r>
            <w:r>
              <w:rPr>
                <w:noProof/>
                <w:webHidden/>
              </w:rPr>
              <w:fldChar w:fldCharType="separate"/>
            </w:r>
            <w:r>
              <w:rPr>
                <w:noProof/>
                <w:webHidden/>
              </w:rPr>
              <w:t>6</w:t>
            </w:r>
            <w:r>
              <w:rPr>
                <w:noProof/>
                <w:webHidden/>
              </w:rPr>
              <w:fldChar w:fldCharType="end"/>
            </w:r>
          </w:hyperlink>
        </w:p>
        <w:p w14:paraId="36CFD207" w14:textId="3CFE1083" w:rsidR="001A3442" w:rsidRDefault="001A3442">
          <w:pPr>
            <w:pStyle w:val="TOC2"/>
            <w:tabs>
              <w:tab w:val="right" w:leader="dot" w:pos="9016"/>
            </w:tabs>
            <w:rPr>
              <w:rFonts w:eastAsiaTheme="minorEastAsia"/>
              <w:noProof/>
              <w:lang w:eastAsia="en-GB"/>
            </w:rPr>
          </w:pPr>
          <w:hyperlink w:anchor="_Toc234924619" w:history="1">
            <w:r w:rsidRPr="00991312">
              <w:rPr>
                <w:rStyle w:val="Hyperlink"/>
                <w:noProof/>
              </w:rPr>
              <w:t>5. Technological Enablers</w:t>
            </w:r>
            <w:r>
              <w:rPr>
                <w:noProof/>
                <w:webHidden/>
              </w:rPr>
              <w:tab/>
            </w:r>
            <w:r>
              <w:rPr>
                <w:noProof/>
                <w:webHidden/>
              </w:rPr>
              <w:fldChar w:fldCharType="begin"/>
            </w:r>
            <w:r>
              <w:rPr>
                <w:noProof/>
                <w:webHidden/>
              </w:rPr>
              <w:instrText xml:space="preserve"> PAGEREF _Toc234924619 \h </w:instrText>
            </w:r>
            <w:r>
              <w:rPr>
                <w:noProof/>
                <w:webHidden/>
              </w:rPr>
            </w:r>
            <w:r>
              <w:rPr>
                <w:noProof/>
                <w:webHidden/>
              </w:rPr>
              <w:fldChar w:fldCharType="separate"/>
            </w:r>
            <w:r>
              <w:rPr>
                <w:noProof/>
                <w:webHidden/>
              </w:rPr>
              <w:t>8</w:t>
            </w:r>
            <w:r>
              <w:rPr>
                <w:noProof/>
                <w:webHidden/>
              </w:rPr>
              <w:fldChar w:fldCharType="end"/>
            </w:r>
          </w:hyperlink>
        </w:p>
        <w:p w14:paraId="5DB92212" w14:textId="2A577096" w:rsidR="001A3442" w:rsidRDefault="001A3442">
          <w:pPr>
            <w:pStyle w:val="TOC2"/>
            <w:tabs>
              <w:tab w:val="right" w:leader="dot" w:pos="9016"/>
            </w:tabs>
            <w:rPr>
              <w:rFonts w:eastAsiaTheme="minorEastAsia"/>
              <w:noProof/>
              <w:lang w:eastAsia="en-GB"/>
            </w:rPr>
          </w:pPr>
          <w:hyperlink w:anchor="_Toc234924620" w:history="1">
            <w:r w:rsidRPr="00991312">
              <w:rPr>
                <w:rStyle w:val="Hyperlink"/>
                <w:noProof/>
              </w:rPr>
              <w:t>6. Challenges and Limitations</w:t>
            </w:r>
            <w:r>
              <w:rPr>
                <w:noProof/>
                <w:webHidden/>
              </w:rPr>
              <w:tab/>
            </w:r>
            <w:r>
              <w:rPr>
                <w:noProof/>
                <w:webHidden/>
              </w:rPr>
              <w:fldChar w:fldCharType="begin"/>
            </w:r>
            <w:r>
              <w:rPr>
                <w:noProof/>
                <w:webHidden/>
              </w:rPr>
              <w:instrText xml:space="preserve"> PAGEREF _Toc234924620 \h </w:instrText>
            </w:r>
            <w:r>
              <w:rPr>
                <w:noProof/>
                <w:webHidden/>
              </w:rPr>
            </w:r>
            <w:r>
              <w:rPr>
                <w:noProof/>
                <w:webHidden/>
              </w:rPr>
              <w:fldChar w:fldCharType="separate"/>
            </w:r>
            <w:r>
              <w:rPr>
                <w:noProof/>
                <w:webHidden/>
              </w:rPr>
              <w:t>9</w:t>
            </w:r>
            <w:r>
              <w:rPr>
                <w:noProof/>
                <w:webHidden/>
              </w:rPr>
              <w:fldChar w:fldCharType="end"/>
            </w:r>
          </w:hyperlink>
        </w:p>
        <w:p w14:paraId="225CE9FA" w14:textId="10E38C62" w:rsidR="001A3442" w:rsidRDefault="001A3442">
          <w:pPr>
            <w:pStyle w:val="TOC2"/>
            <w:tabs>
              <w:tab w:val="right" w:leader="dot" w:pos="9016"/>
            </w:tabs>
            <w:rPr>
              <w:rFonts w:eastAsiaTheme="minorEastAsia"/>
              <w:noProof/>
              <w:lang w:eastAsia="en-GB"/>
            </w:rPr>
          </w:pPr>
          <w:hyperlink w:anchor="_Toc234924621" w:history="1">
            <w:r w:rsidRPr="00991312">
              <w:rPr>
                <w:rStyle w:val="Hyperlink"/>
                <w:noProof/>
              </w:rPr>
              <w:t>7. Real-World Case Evidence</w:t>
            </w:r>
            <w:r>
              <w:rPr>
                <w:noProof/>
                <w:webHidden/>
              </w:rPr>
              <w:tab/>
            </w:r>
            <w:r>
              <w:rPr>
                <w:noProof/>
                <w:webHidden/>
              </w:rPr>
              <w:fldChar w:fldCharType="begin"/>
            </w:r>
            <w:r>
              <w:rPr>
                <w:noProof/>
                <w:webHidden/>
              </w:rPr>
              <w:instrText xml:space="preserve"> PAGEREF _Toc234924621 \h </w:instrText>
            </w:r>
            <w:r>
              <w:rPr>
                <w:noProof/>
                <w:webHidden/>
              </w:rPr>
            </w:r>
            <w:r>
              <w:rPr>
                <w:noProof/>
                <w:webHidden/>
              </w:rPr>
              <w:fldChar w:fldCharType="separate"/>
            </w:r>
            <w:r>
              <w:rPr>
                <w:noProof/>
                <w:webHidden/>
              </w:rPr>
              <w:t>10</w:t>
            </w:r>
            <w:r>
              <w:rPr>
                <w:noProof/>
                <w:webHidden/>
              </w:rPr>
              <w:fldChar w:fldCharType="end"/>
            </w:r>
          </w:hyperlink>
        </w:p>
        <w:p w14:paraId="6188E2B3" w14:textId="3A9FA998" w:rsidR="001A3442" w:rsidRDefault="001A3442">
          <w:pPr>
            <w:pStyle w:val="TOC2"/>
            <w:tabs>
              <w:tab w:val="right" w:leader="dot" w:pos="9016"/>
            </w:tabs>
            <w:rPr>
              <w:rFonts w:eastAsiaTheme="minorEastAsia"/>
              <w:noProof/>
              <w:lang w:eastAsia="en-GB"/>
            </w:rPr>
          </w:pPr>
          <w:hyperlink w:anchor="_Toc234924622" w:history="1">
            <w:r w:rsidRPr="00991312">
              <w:rPr>
                <w:rStyle w:val="Hyperlink"/>
                <w:noProof/>
              </w:rPr>
              <w:t>8. Task 1 Research &amp; Application</w:t>
            </w:r>
            <w:r>
              <w:rPr>
                <w:noProof/>
                <w:webHidden/>
              </w:rPr>
              <w:tab/>
            </w:r>
            <w:r>
              <w:rPr>
                <w:noProof/>
                <w:webHidden/>
              </w:rPr>
              <w:fldChar w:fldCharType="begin"/>
            </w:r>
            <w:r>
              <w:rPr>
                <w:noProof/>
                <w:webHidden/>
              </w:rPr>
              <w:instrText xml:space="preserve"> PAGEREF _Toc234924622 \h </w:instrText>
            </w:r>
            <w:r>
              <w:rPr>
                <w:noProof/>
                <w:webHidden/>
              </w:rPr>
            </w:r>
            <w:r>
              <w:rPr>
                <w:noProof/>
                <w:webHidden/>
              </w:rPr>
              <w:fldChar w:fldCharType="separate"/>
            </w:r>
            <w:r>
              <w:rPr>
                <w:noProof/>
                <w:webHidden/>
              </w:rPr>
              <w:t>12</w:t>
            </w:r>
            <w:r>
              <w:rPr>
                <w:noProof/>
                <w:webHidden/>
              </w:rPr>
              <w:fldChar w:fldCharType="end"/>
            </w:r>
          </w:hyperlink>
        </w:p>
        <w:p w14:paraId="5B6DE6C9" w14:textId="3B8C2736" w:rsidR="001A3442" w:rsidRDefault="001A3442">
          <w:pPr>
            <w:pStyle w:val="TOC2"/>
            <w:tabs>
              <w:tab w:val="right" w:leader="dot" w:pos="9016"/>
            </w:tabs>
            <w:rPr>
              <w:rFonts w:eastAsiaTheme="minorEastAsia"/>
              <w:noProof/>
              <w:lang w:eastAsia="en-GB"/>
            </w:rPr>
          </w:pPr>
          <w:hyperlink w:anchor="_Toc234924623" w:history="1">
            <w:r w:rsidRPr="00991312">
              <w:rPr>
                <w:rStyle w:val="Hyperlink"/>
                <w:noProof/>
              </w:rPr>
              <w:t>9. Task 1 Conclusion</w:t>
            </w:r>
            <w:r>
              <w:rPr>
                <w:noProof/>
                <w:webHidden/>
              </w:rPr>
              <w:tab/>
            </w:r>
            <w:r>
              <w:rPr>
                <w:noProof/>
                <w:webHidden/>
              </w:rPr>
              <w:fldChar w:fldCharType="begin"/>
            </w:r>
            <w:r>
              <w:rPr>
                <w:noProof/>
                <w:webHidden/>
              </w:rPr>
              <w:instrText xml:space="preserve"> PAGEREF _Toc234924623 \h </w:instrText>
            </w:r>
            <w:r>
              <w:rPr>
                <w:noProof/>
                <w:webHidden/>
              </w:rPr>
            </w:r>
            <w:r>
              <w:rPr>
                <w:noProof/>
                <w:webHidden/>
              </w:rPr>
              <w:fldChar w:fldCharType="separate"/>
            </w:r>
            <w:r>
              <w:rPr>
                <w:noProof/>
                <w:webHidden/>
              </w:rPr>
              <w:t>13</w:t>
            </w:r>
            <w:r>
              <w:rPr>
                <w:noProof/>
                <w:webHidden/>
              </w:rPr>
              <w:fldChar w:fldCharType="end"/>
            </w:r>
          </w:hyperlink>
        </w:p>
        <w:p w14:paraId="223B8D3B" w14:textId="61FEF309" w:rsidR="001A3442" w:rsidRDefault="001A3442">
          <w:pPr>
            <w:pStyle w:val="TOC1"/>
            <w:tabs>
              <w:tab w:val="right" w:leader="dot" w:pos="9016"/>
            </w:tabs>
            <w:rPr>
              <w:rFonts w:eastAsiaTheme="minorEastAsia"/>
              <w:noProof/>
              <w:lang w:eastAsia="en-GB"/>
            </w:rPr>
          </w:pPr>
          <w:hyperlink w:anchor="_Toc234924624" w:history="1">
            <w:r w:rsidRPr="00991312">
              <w:rPr>
                <w:rStyle w:val="Hyperlink"/>
                <w:noProof/>
              </w:rPr>
              <w:t>Task 2 - Work-Based Project: Chief Information Security Officer Proposal</w:t>
            </w:r>
            <w:r>
              <w:rPr>
                <w:noProof/>
                <w:webHidden/>
              </w:rPr>
              <w:tab/>
            </w:r>
            <w:r>
              <w:rPr>
                <w:noProof/>
                <w:webHidden/>
              </w:rPr>
              <w:fldChar w:fldCharType="begin"/>
            </w:r>
            <w:r>
              <w:rPr>
                <w:noProof/>
                <w:webHidden/>
              </w:rPr>
              <w:instrText xml:space="preserve"> PAGEREF _Toc234924624 \h </w:instrText>
            </w:r>
            <w:r>
              <w:rPr>
                <w:noProof/>
                <w:webHidden/>
              </w:rPr>
            </w:r>
            <w:r>
              <w:rPr>
                <w:noProof/>
                <w:webHidden/>
              </w:rPr>
              <w:fldChar w:fldCharType="separate"/>
            </w:r>
            <w:r>
              <w:rPr>
                <w:noProof/>
                <w:webHidden/>
              </w:rPr>
              <w:t>13</w:t>
            </w:r>
            <w:r>
              <w:rPr>
                <w:noProof/>
                <w:webHidden/>
              </w:rPr>
              <w:fldChar w:fldCharType="end"/>
            </w:r>
          </w:hyperlink>
        </w:p>
        <w:p w14:paraId="61A5CC99" w14:textId="02E38FE6" w:rsidR="001A3442" w:rsidRDefault="001A3442">
          <w:pPr>
            <w:pStyle w:val="TOC2"/>
            <w:tabs>
              <w:tab w:val="right" w:leader="dot" w:pos="9016"/>
            </w:tabs>
            <w:rPr>
              <w:rFonts w:eastAsiaTheme="minorEastAsia"/>
              <w:noProof/>
              <w:lang w:eastAsia="en-GB"/>
            </w:rPr>
          </w:pPr>
          <w:hyperlink w:anchor="_Toc234924625" w:history="1">
            <w:r w:rsidRPr="00991312">
              <w:rPr>
                <w:rStyle w:val="Hyperlink"/>
                <w:noProof/>
              </w:rPr>
              <w:t>1. Executive Overview</w:t>
            </w:r>
            <w:r>
              <w:rPr>
                <w:noProof/>
                <w:webHidden/>
              </w:rPr>
              <w:tab/>
            </w:r>
            <w:r>
              <w:rPr>
                <w:noProof/>
                <w:webHidden/>
              </w:rPr>
              <w:fldChar w:fldCharType="begin"/>
            </w:r>
            <w:r>
              <w:rPr>
                <w:noProof/>
                <w:webHidden/>
              </w:rPr>
              <w:instrText xml:space="preserve"> PAGEREF _Toc234924625 \h </w:instrText>
            </w:r>
            <w:r>
              <w:rPr>
                <w:noProof/>
                <w:webHidden/>
              </w:rPr>
            </w:r>
            <w:r>
              <w:rPr>
                <w:noProof/>
                <w:webHidden/>
              </w:rPr>
              <w:fldChar w:fldCharType="separate"/>
            </w:r>
            <w:r>
              <w:rPr>
                <w:noProof/>
                <w:webHidden/>
              </w:rPr>
              <w:t>13</w:t>
            </w:r>
            <w:r>
              <w:rPr>
                <w:noProof/>
                <w:webHidden/>
              </w:rPr>
              <w:fldChar w:fldCharType="end"/>
            </w:r>
          </w:hyperlink>
        </w:p>
        <w:p w14:paraId="30A70451" w14:textId="7215E779" w:rsidR="001A3442" w:rsidRDefault="001A3442">
          <w:pPr>
            <w:pStyle w:val="TOC2"/>
            <w:tabs>
              <w:tab w:val="right" w:leader="dot" w:pos="9016"/>
            </w:tabs>
            <w:rPr>
              <w:rFonts w:eastAsiaTheme="minorEastAsia"/>
              <w:noProof/>
              <w:lang w:eastAsia="en-GB"/>
            </w:rPr>
          </w:pPr>
          <w:hyperlink w:anchor="_Toc234924626" w:history="1">
            <w:r w:rsidRPr="00991312">
              <w:rPr>
                <w:rStyle w:val="Hyperlink"/>
                <w:noProof/>
              </w:rPr>
              <w:t>2. Work-Stream 1: Organisational Design &amp; Resourcing</w:t>
            </w:r>
            <w:r>
              <w:rPr>
                <w:noProof/>
                <w:webHidden/>
              </w:rPr>
              <w:tab/>
            </w:r>
            <w:r>
              <w:rPr>
                <w:noProof/>
                <w:webHidden/>
              </w:rPr>
              <w:fldChar w:fldCharType="begin"/>
            </w:r>
            <w:r>
              <w:rPr>
                <w:noProof/>
                <w:webHidden/>
              </w:rPr>
              <w:instrText xml:space="preserve"> PAGEREF _Toc234924626 \h </w:instrText>
            </w:r>
            <w:r>
              <w:rPr>
                <w:noProof/>
                <w:webHidden/>
              </w:rPr>
            </w:r>
            <w:r>
              <w:rPr>
                <w:noProof/>
                <w:webHidden/>
              </w:rPr>
              <w:fldChar w:fldCharType="separate"/>
            </w:r>
            <w:r>
              <w:rPr>
                <w:noProof/>
                <w:webHidden/>
              </w:rPr>
              <w:t>14</w:t>
            </w:r>
            <w:r>
              <w:rPr>
                <w:noProof/>
                <w:webHidden/>
              </w:rPr>
              <w:fldChar w:fldCharType="end"/>
            </w:r>
          </w:hyperlink>
        </w:p>
        <w:p w14:paraId="125D5F23" w14:textId="2C3CEEDE" w:rsidR="001A3442" w:rsidRDefault="001A3442">
          <w:pPr>
            <w:pStyle w:val="TOC2"/>
            <w:tabs>
              <w:tab w:val="right" w:leader="dot" w:pos="9016"/>
            </w:tabs>
            <w:rPr>
              <w:rFonts w:eastAsiaTheme="minorEastAsia"/>
              <w:noProof/>
              <w:lang w:eastAsia="en-GB"/>
            </w:rPr>
          </w:pPr>
          <w:hyperlink w:anchor="_Toc234924627" w:history="1">
            <w:r w:rsidRPr="00991312">
              <w:rPr>
                <w:rStyle w:val="Hyperlink"/>
                <w:noProof/>
              </w:rPr>
              <w:t>3. Work-Stream 2: Policy Framework Development</w:t>
            </w:r>
            <w:r>
              <w:rPr>
                <w:noProof/>
                <w:webHidden/>
              </w:rPr>
              <w:tab/>
            </w:r>
            <w:r>
              <w:rPr>
                <w:noProof/>
                <w:webHidden/>
              </w:rPr>
              <w:fldChar w:fldCharType="begin"/>
            </w:r>
            <w:r>
              <w:rPr>
                <w:noProof/>
                <w:webHidden/>
              </w:rPr>
              <w:instrText xml:space="preserve"> PAGEREF _Toc234924627 \h </w:instrText>
            </w:r>
            <w:r>
              <w:rPr>
                <w:noProof/>
                <w:webHidden/>
              </w:rPr>
            </w:r>
            <w:r>
              <w:rPr>
                <w:noProof/>
                <w:webHidden/>
              </w:rPr>
              <w:fldChar w:fldCharType="separate"/>
            </w:r>
            <w:r>
              <w:rPr>
                <w:noProof/>
                <w:webHidden/>
              </w:rPr>
              <w:t>16</w:t>
            </w:r>
            <w:r>
              <w:rPr>
                <w:noProof/>
                <w:webHidden/>
              </w:rPr>
              <w:fldChar w:fldCharType="end"/>
            </w:r>
          </w:hyperlink>
        </w:p>
        <w:p w14:paraId="23176EAD" w14:textId="1A26D083" w:rsidR="001A3442" w:rsidRDefault="001A3442">
          <w:pPr>
            <w:pStyle w:val="TOC3"/>
            <w:tabs>
              <w:tab w:val="right" w:leader="dot" w:pos="9016"/>
            </w:tabs>
            <w:rPr>
              <w:rFonts w:eastAsiaTheme="minorEastAsia"/>
              <w:noProof/>
              <w:lang w:eastAsia="en-GB"/>
            </w:rPr>
          </w:pPr>
          <w:hyperlink w:anchor="_Toc234924628" w:history="1">
            <w:r w:rsidRPr="00991312">
              <w:rPr>
                <w:rStyle w:val="Hyperlink"/>
                <w:noProof/>
              </w:rPr>
              <w:t>3.1 Acceptable Use Policy for AI and Cloud Services</w:t>
            </w:r>
            <w:r>
              <w:rPr>
                <w:noProof/>
                <w:webHidden/>
              </w:rPr>
              <w:tab/>
            </w:r>
            <w:r>
              <w:rPr>
                <w:noProof/>
                <w:webHidden/>
              </w:rPr>
              <w:fldChar w:fldCharType="begin"/>
            </w:r>
            <w:r>
              <w:rPr>
                <w:noProof/>
                <w:webHidden/>
              </w:rPr>
              <w:instrText xml:space="preserve"> PAGEREF _Toc234924628 \h </w:instrText>
            </w:r>
            <w:r>
              <w:rPr>
                <w:noProof/>
                <w:webHidden/>
              </w:rPr>
            </w:r>
            <w:r>
              <w:rPr>
                <w:noProof/>
                <w:webHidden/>
              </w:rPr>
              <w:fldChar w:fldCharType="separate"/>
            </w:r>
            <w:r>
              <w:rPr>
                <w:noProof/>
                <w:webHidden/>
              </w:rPr>
              <w:t>16</w:t>
            </w:r>
            <w:r>
              <w:rPr>
                <w:noProof/>
                <w:webHidden/>
              </w:rPr>
              <w:fldChar w:fldCharType="end"/>
            </w:r>
          </w:hyperlink>
        </w:p>
        <w:p w14:paraId="54FD95B9" w14:textId="22FCA8C5" w:rsidR="001A3442" w:rsidRDefault="001A3442">
          <w:pPr>
            <w:pStyle w:val="TOC3"/>
            <w:tabs>
              <w:tab w:val="right" w:leader="dot" w:pos="9016"/>
            </w:tabs>
            <w:rPr>
              <w:rFonts w:eastAsiaTheme="minorEastAsia"/>
              <w:noProof/>
              <w:lang w:eastAsia="en-GB"/>
            </w:rPr>
          </w:pPr>
          <w:hyperlink w:anchor="_Toc234924629" w:history="1">
            <w:r w:rsidRPr="00991312">
              <w:rPr>
                <w:rStyle w:val="Hyperlink"/>
                <w:noProof/>
              </w:rPr>
              <w:t>3.2 Hybrid Work and Remote Access Security Policy</w:t>
            </w:r>
            <w:r>
              <w:rPr>
                <w:noProof/>
                <w:webHidden/>
              </w:rPr>
              <w:tab/>
            </w:r>
            <w:r>
              <w:rPr>
                <w:noProof/>
                <w:webHidden/>
              </w:rPr>
              <w:fldChar w:fldCharType="begin"/>
            </w:r>
            <w:r>
              <w:rPr>
                <w:noProof/>
                <w:webHidden/>
              </w:rPr>
              <w:instrText xml:space="preserve"> PAGEREF _Toc234924629 \h </w:instrText>
            </w:r>
            <w:r>
              <w:rPr>
                <w:noProof/>
                <w:webHidden/>
              </w:rPr>
            </w:r>
            <w:r>
              <w:rPr>
                <w:noProof/>
                <w:webHidden/>
              </w:rPr>
              <w:fldChar w:fldCharType="separate"/>
            </w:r>
            <w:r>
              <w:rPr>
                <w:noProof/>
                <w:webHidden/>
              </w:rPr>
              <w:t>16</w:t>
            </w:r>
            <w:r>
              <w:rPr>
                <w:noProof/>
                <w:webHidden/>
              </w:rPr>
              <w:fldChar w:fldCharType="end"/>
            </w:r>
          </w:hyperlink>
        </w:p>
        <w:p w14:paraId="1F65C0DC" w14:textId="1BA9B677" w:rsidR="001A3442" w:rsidRDefault="001A3442">
          <w:pPr>
            <w:pStyle w:val="TOC3"/>
            <w:tabs>
              <w:tab w:val="right" w:leader="dot" w:pos="9016"/>
            </w:tabs>
            <w:rPr>
              <w:rFonts w:eastAsiaTheme="minorEastAsia"/>
              <w:noProof/>
              <w:lang w:eastAsia="en-GB"/>
            </w:rPr>
          </w:pPr>
          <w:hyperlink w:anchor="_Toc234924630" w:history="1">
            <w:r w:rsidRPr="00991312">
              <w:rPr>
                <w:rStyle w:val="Hyperlink"/>
                <w:noProof/>
              </w:rPr>
              <w:t>3.3 Third-Party and Cloud Vendor Risk Management Policy</w:t>
            </w:r>
            <w:r>
              <w:rPr>
                <w:noProof/>
                <w:webHidden/>
              </w:rPr>
              <w:tab/>
            </w:r>
            <w:r>
              <w:rPr>
                <w:noProof/>
                <w:webHidden/>
              </w:rPr>
              <w:fldChar w:fldCharType="begin"/>
            </w:r>
            <w:r>
              <w:rPr>
                <w:noProof/>
                <w:webHidden/>
              </w:rPr>
              <w:instrText xml:space="preserve"> PAGEREF _Toc234924630 \h </w:instrText>
            </w:r>
            <w:r>
              <w:rPr>
                <w:noProof/>
                <w:webHidden/>
              </w:rPr>
            </w:r>
            <w:r>
              <w:rPr>
                <w:noProof/>
                <w:webHidden/>
              </w:rPr>
              <w:fldChar w:fldCharType="separate"/>
            </w:r>
            <w:r>
              <w:rPr>
                <w:noProof/>
                <w:webHidden/>
              </w:rPr>
              <w:t>17</w:t>
            </w:r>
            <w:r>
              <w:rPr>
                <w:noProof/>
                <w:webHidden/>
              </w:rPr>
              <w:fldChar w:fldCharType="end"/>
            </w:r>
          </w:hyperlink>
        </w:p>
        <w:p w14:paraId="1DA48BEB" w14:textId="4CE1CA58" w:rsidR="001A3442" w:rsidRDefault="001A3442">
          <w:pPr>
            <w:pStyle w:val="TOC2"/>
            <w:tabs>
              <w:tab w:val="right" w:leader="dot" w:pos="9016"/>
            </w:tabs>
            <w:rPr>
              <w:rFonts w:eastAsiaTheme="minorEastAsia"/>
              <w:noProof/>
              <w:lang w:eastAsia="en-GB"/>
            </w:rPr>
          </w:pPr>
          <w:hyperlink w:anchor="_Toc234924631" w:history="1">
            <w:r w:rsidRPr="00991312">
              <w:rPr>
                <w:rStyle w:val="Hyperlink"/>
                <w:noProof/>
              </w:rPr>
              <w:t>4. Work-Stream 3: Regulatory Compliance Strategy</w:t>
            </w:r>
            <w:r>
              <w:rPr>
                <w:noProof/>
                <w:webHidden/>
              </w:rPr>
              <w:tab/>
            </w:r>
            <w:r>
              <w:rPr>
                <w:noProof/>
                <w:webHidden/>
              </w:rPr>
              <w:fldChar w:fldCharType="begin"/>
            </w:r>
            <w:r>
              <w:rPr>
                <w:noProof/>
                <w:webHidden/>
              </w:rPr>
              <w:instrText xml:space="preserve"> PAGEREF _Toc234924631 \h </w:instrText>
            </w:r>
            <w:r>
              <w:rPr>
                <w:noProof/>
                <w:webHidden/>
              </w:rPr>
            </w:r>
            <w:r>
              <w:rPr>
                <w:noProof/>
                <w:webHidden/>
              </w:rPr>
              <w:fldChar w:fldCharType="separate"/>
            </w:r>
            <w:r>
              <w:rPr>
                <w:noProof/>
                <w:webHidden/>
              </w:rPr>
              <w:t>17</w:t>
            </w:r>
            <w:r>
              <w:rPr>
                <w:noProof/>
                <w:webHidden/>
              </w:rPr>
              <w:fldChar w:fldCharType="end"/>
            </w:r>
          </w:hyperlink>
        </w:p>
        <w:p w14:paraId="4C988199" w14:textId="1920F630" w:rsidR="001A3442" w:rsidRDefault="001A3442">
          <w:pPr>
            <w:pStyle w:val="TOC2"/>
            <w:tabs>
              <w:tab w:val="right" w:leader="dot" w:pos="9016"/>
            </w:tabs>
            <w:rPr>
              <w:rFonts w:eastAsiaTheme="minorEastAsia"/>
              <w:noProof/>
              <w:lang w:eastAsia="en-GB"/>
            </w:rPr>
          </w:pPr>
          <w:hyperlink w:anchor="_Toc234924632" w:history="1">
            <w:r w:rsidRPr="00991312">
              <w:rPr>
                <w:rStyle w:val="Hyperlink"/>
                <w:noProof/>
              </w:rPr>
              <w:t>5. Work-Stream 4: Technical Standards and Architecture</w:t>
            </w:r>
            <w:r>
              <w:rPr>
                <w:noProof/>
                <w:webHidden/>
              </w:rPr>
              <w:tab/>
            </w:r>
            <w:r>
              <w:rPr>
                <w:noProof/>
                <w:webHidden/>
              </w:rPr>
              <w:fldChar w:fldCharType="begin"/>
            </w:r>
            <w:r>
              <w:rPr>
                <w:noProof/>
                <w:webHidden/>
              </w:rPr>
              <w:instrText xml:space="preserve"> PAGEREF _Toc234924632 \h </w:instrText>
            </w:r>
            <w:r>
              <w:rPr>
                <w:noProof/>
                <w:webHidden/>
              </w:rPr>
            </w:r>
            <w:r>
              <w:rPr>
                <w:noProof/>
                <w:webHidden/>
              </w:rPr>
              <w:fldChar w:fldCharType="separate"/>
            </w:r>
            <w:r>
              <w:rPr>
                <w:noProof/>
                <w:webHidden/>
              </w:rPr>
              <w:t>19</w:t>
            </w:r>
            <w:r>
              <w:rPr>
                <w:noProof/>
                <w:webHidden/>
              </w:rPr>
              <w:fldChar w:fldCharType="end"/>
            </w:r>
          </w:hyperlink>
        </w:p>
        <w:p w14:paraId="11B0B283" w14:textId="039AD053" w:rsidR="001A3442" w:rsidRDefault="001A3442">
          <w:pPr>
            <w:pStyle w:val="TOC2"/>
            <w:tabs>
              <w:tab w:val="right" w:leader="dot" w:pos="9016"/>
            </w:tabs>
            <w:rPr>
              <w:rFonts w:eastAsiaTheme="minorEastAsia"/>
              <w:noProof/>
              <w:lang w:eastAsia="en-GB"/>
            </w:rPr>
          </w:pPr>
          <w:hyperlink w:anchor="_Toc234924633" w:history="1">
            <w:r w:rsidRPr="00991312">
              <w:rPr>
                <w:rStyle w:val="Hyperlink"/>
                <w:noProof/>
              </w:rPr>
              <w:t>6. Work-Stream 5: Strategic Risk Assessment</w:t>
            </w:r>
            <w:r>
              <w:rPr>
                <w:noProof/>
                <w:webHidden/>
              </w:rPr>
              <w:tab/>
            </w:r>
            <w:r>
              <w:rPr>
                <w:noProof/>
                <w:webHidden/>
              </w:rPr>
              <w:fldChar w:fldCharType="begin"/>
            </w:r>
            <w:r>
              <w:rPr>
                <w:noProof/>
                <w:webHidden/>
              </w:rPr>
              <w:instrText xml:space="preserve"> PAGEREF _Toc234924633 \h </w:instrText>
            </w:r>
            <w:r>
              <w:rPr>
                <w:noProof/>
                <w:webHidden/>
              </w:rPr>
            </w:r>
            <w:r>
              <w:rPr>
                <w:noProof/>
                <w:webHidden/>
              </w:rPr>
              <w:fldChar w:fldCharType="separate"/>
            </w:r>
            <w:r>
              <w:rPr>
                <w:noProof/>
                <w:webHidden/>
              </w:rPr>
              <w:t>20</w:t>
            </w:r>
            <w:r>
              <w:rPr>
                <w:noProof/>
                <w:webHidden/>
              </w:rPr>
              <w:fldChar w:fldCharType="end"/>
            </w:r>
          </w:hyperlink>
        </w:p>
        <w:p w14:paraId="42BCFC98" w14:textId="7F67CFB7" w:rsidR="001A3442" w:rsidRDefault="001A3442">
          <w:pPr>
            <w:pStyle w:val="TOC2"/>
            <w:tabs>
              <w:tab w:val="right" w:leader="dot" w:pos="9016"/>
            </w:tabs>
            <w:rPr>
              <w:rFonts w:eastAsiaTheme="minorEastAsia"/>
              <w:noProof/>
              <w:lang w:eastAsia="en-GB"/>
            </w:rPr>
          </w:pPr>
          <w:hyperlink w:anchor="_Toc234924634" w:history="1">
            <w:r w:rsidRPr="00991312">
              <w:rPr>
                <w:rStyle w:val="Hyperlink"/>
                <w:noProof/>
              </w:rPr>
              <w:t>7. Work-Stream 6: Incident Response and Business Continuity</w:t>
            </w:r>
            <w:r>
              <w:rPr>
                <w:noProof/>
                <w:webHidden/>
              </w:rPr>
              <w:tab/>
            </w:r>
            <w:r>
              <w:rPr>
                <w:noProof/>
                <w:webHidden/>
              </w:rPr>
              <w:fldChar w:fldCharType="begin"/>
            </w:r>
            <w:r>
              <w:rPr>
                <w:noProof/>
                <w:webHidden/>
              </w:rPr>
              <w:instrText xml:space="preserve"> PAGEREF _Toc234924634 \h </w:instrText>
            </w:r>
            <w:r>
              <w:rPr>
                <w:noProof/>
                <w:webHidden/>
              </w:rPr>
            </w:r>
            <w:r>
              <w:rPr>
                <w:noProof/>
                <w:webHidden/>
              </w:rPr>
              <w:fldChar w:fldCharType="separate"/>
            </w:r>
            <w:r>
              <w:rPr>
                <w:noProof/>
                <w:webHidden/>
              </w:rPr>
              <w:t>21</w:t>
            </w:r>
            <w:r>
              <w:rPr>
                <w:noProof/>
                <w:webHidden/>
              </w:rPr>
              <w:fldChar w:fldCharType="end"/>
            </w:r>
          </w:hyperlink>
        </w:p>
        <w:p w14:paraId="6733251D" w14:textId="170A64B3" w:rsidR="001A3442" w:rsidRDefault="001A3442">
          <w:pPr>
            <w:pStyle w:val="TOC2"/>
            <w:tabs>
              <w:tab w:val="right" w:leader="dot" w:pos="9016"/>
            </w:tabs>
            <w:rPr>
              <w:rFonts w:eastAsiaTheme="minorEastAsia"/>
              <w:noProof/>
              <w:lang w:eastAsia="en-GB"/>
            </w:rPr>
          </w:pPr>
          <w:hyperlink w:anchor="_Toc234924635" w:history="1">
            <w:r w:rsidRPr="00991312">
              <w:rPr>
                <w:rStyle w:val="Hyperlink"/>
                <w:noProof/>
              </w:rPr>
              <w:t>8. Work-Stream 7: Governance and Strategic Roadmap</w:t>
            </w:r>
            <w:r>
              <w:rPr>
                <w:noProof/>
                <w:webHidden/>
              </w:rPr>
              <w:tab/>
            </w:r>
            <w:r>
              <w:rPr>
                <w:noProof/>
                <w:webHidden/>
              </w:rPr>
              <w:fldChar w:fldCharType="begin"/>
            </w:r>
            <w:r>
              <w:rPr>
                <w:noProof/>
                <w:webHidden/>
              </w:rPr>
              <w:instrText xml:space="preserve"> PAGEREF _Toc234924635 \h </w:instrText>
            </w:r>
            <w:r>
              <w:rPr>
                <w:noProof/>
                <w:webHidden/>
              </w:rPr>
            </w:r>
            <w:r>
              <w:rPr>
                <w:noProof/>
                <w:webHidden/>
              </w:rPr>
              <w:fldChar w:fldCharType="separate"/>
            </w:r>
            <w:r>
              <w:rPr>
                <w:noProof/>
                <w:webHidden/>
              </w:rPr>
              <w:t>22</w:t>
            </w:r>
            <w:r>
              <w:rPr>
                <w:noProof/>
                <w:webHidden/>
              </w:rPr>
              <w:fldChar w:fldCharType="end"/>
            </w:r>
          </w:hyperlink>
        </w:p>
        <w:p w14:paraId="3023B7D5" w14:textId="370E6502" w:rsidR="001A3442" w:rsidRDefault="001A3442">
          <w:pPr>
            <w:pStyle w:val="TOC2"/>
            <w:tabs>
              <w:tab w:val="right" w:leader="dot" w:pos="9016"/>
            </w:tabs>
            <w:rPr>
              <w:rFonts w:eastAsiaTheme="minorEastAsia"/>
              <w:noProof/>
              <w:lang w:eastAsia="en-GB"/>
            </w:rPr>
          </w:pPr>
          <w:hyperlink w:anchor="_Toc234924636" w:history="1">
            <w:r w:rsidRPr="00991312">
              <w:rPr>
                <w:rStyle w:val="Hyperlink"/>
                <w:noProof/>
              </w:rPr>
              <w:t>9. Task 2 Conclusion</w:t>
            </w:r>
            <w:r>
              <w:rPr>
                <w:noProof/>
                <w:webHidden/>
              </w:rPr>
              <w:tab/>
            </w:r>
            <w:r>
              <w:rPr>
                <w:noProof/>
                <w:webHidden/>
              </w:rPr>
              <w:fldChar w:fldCharType="begin"/>
            </w:r>
            <w:r>
              <w:rPr>
                <w:noProof/>
                <w:webHidden/>
              </w:rPr>
              <w:instrText xml:space="preserve"> PAGEREF _Toc234924636 \h </w:instrText>
            </w:r>
            <w:r>
              <w:rPr>
                <w:noProof/>
                <w:webHidden/>
              </w:rPr>
            </w:r>
            <w:r>
              <w:rPr>
                <w:noProof/>
                <w:webHidden/>
              </w:rPr>
              <w:fldChar w:fldCharType="separate"/>
            </w:r>
            <w:r>
              <w:rPr>
                <w:noProof/>
                <w:webHidden/>
              </w:rPr>
              <w:t>23</w:t>
            </w:r>
            <w:r>
              <w:rPr>
                <w:noProof/>
                <w:webHidden/>
              </w:rPr>
              <w:fldChar w:fldCharType="end"/>
            </w:r>
          </w:hyperlink>
        </w:p>
        <w:p w14:paraId="6550283D" w14:textId="171596BD" w:rsidR="001A3442" w:rsidRDefault="001A3442">
          <w:pPr>
            <w:pStyle w:val="TOC1"/>
            <w:tabs>
              <w:tab w:val="right" w:leader="dot" w:pos="9016"/>
            </w:tabs>
            <w:rPr>
              <w:rFonts w:eastAsiaTheme="minorEastAsia"/>
              <w:noProof/>
              <w:lang w:eastAsia="en-GB"/>
            </w:rPr>
          </w:pPr>
          <w:hyperlink w:anchor="_Toc234924637" w:history="1">
            <w:r w:rsidRPr="00991312">
              <w:rPr>
                <w:rStyle w:val="Hyperlink"/>
                <w:noProof/>
              </w:rPr>
              <w:t>References</w:t>
            </w:r>
            <w:r>
              <w:rPr>
                <w:noProof/>
                <w:webHidden/>
              </w:rPr>
              <w:tab/>
            </w:r>
            <w:r>
              <w:rPr>
                <w:noProof/>
                <w:webHidden/>
              </w:rPr>
              <w:fldChar w:fldCharType="begin"/>
            </w:r>
            <w:r>
              <w:rPr>
                <w:noProof/>
                <w:webHidden/>
              </w:rPr>
              <w:instrText xml:space="preserve"> PAGEREF _Toc234924637 \h </w:instrText>
            </w:r>
            <w:r>
              <w:rPr>
                <w:noProof/>
                <w:webHidden/>
              </w:rPr>
            </w:r>
            <w:r>
              <w:rPr>
                <w:noProof/>
                <w:webHidden/>
              </w:rPr>
              <w:fldChar w:fldCharType="separate"/>
            </w:r>
            <w:r>
              <w:rPr>
                <w:noProof/>
                <w:webHidden/>
              </w:rPr>
              <w:t>24</w:t>
            </w:r>
            <w:r>
              <w:rPr>
                <w:noProof/>
                <w:webHidden/>
              </w:rPr>
              <w:fldChar w:fldCharType="end"/>
            </w:r>
          </w:hyperlink>
        </w:p>
        <w:p w14:paraId="0731DAFB" w14:textId="4F249F66" w:rsidR="00276DD4" w:rsidRDefault="00276DD4">
          <w:r>
            <w:rPr>
              <w:b/>
              <w:bCs/>
              <w:noProof/>
            </w:rPr>
            <w:fldChar w:fldCharType="end"/>
          </w:r>
        </w:p>
      </w:sdtContent>
    </w:sdt>
    <w:p w14:paraId="17FC6584" w14:textId="77777777" w:rsidR="002E1E10" w:rsidRDefault="002E1E10" w:rsidP="00815F7D"/>
    <w:p w14:paraId="39AB5774" w14:textId="77777777" w:rsidR="005A07E9" w:rsidRDefault="005A07E9" w:rsidP="002E1E10">
      <w:pPr>
        <w:pStyle w:val="Heading3"/>
      </w:pPr>
    </w:p>
    <w:p w14:paraId="2256057C" w14:textId="77777777" w:rsidR="00D5587E" w:rsidRDefault="00D5587E" w:rsidP="00D5587E"/>
    <w:p w14:paraId="3F9CB13B" w14:textId="77777777" w:rsidR="00D5587E" w:rsidRPr="00D5587E" w:rsidRDefault="00D5587E" w:rsidP="00D5587E">
      <w:pPr>
        <w:sectPr w:rsidR="00D5587E" w:rsidRPr="00D5587E" w:rsidSect="00A149DB">
          <w:type w:val="continuous"/>
          <w:pgSz w:w="11906" w:h="16838"/>
          <w:pgMar w:top="1440" w:right="1440" w:bottom="1440" w:left="1440" w:header="708" w:footer="708" w:gutter="0"/>
          <w:cols w:space="708"/>
          <w:docGrid w:linePitch="360"/>
        </w:sectPr>
      </w:pPr>
    </w:p>
    <w:p w14:paraId="50174BD2" w14:textId="77777777" w:rsidR="002E1E10" w:rsidRDefault="002E1E10" w:rsidP="002E1E10">
      <w:pPr>
        <w:pStyle w:val="Heading3"/>
      </w:pPr>
      <w:bookmarkStart w:id="0" w:name="_Toc234924613"/>
      <w:r w:rsidRPr="002E1E10">
        <w:lastRenderedPageBreak/>
        <w:t>Index Terms</w:t>
      </w:r>
      <w:bookmarkEnd w:id="0"/>
    </w:p>
    <w:p w14:paraId="7947F44E" w14:textId="77777777" w:rsidR="005A07E9" w:rsidRDefault="005A07E9" w:rsidP="00815F7D">
      <w:pPr>
        <w:sectPr w:rsidR="005A07E9" w:rsidSect="005A07E9">
          <w:type w:val="continuous"/>
          <w:pgSz w:w="11906" w:h="16838"/>
          <w:pgMar w:top="1440" w:right="1440" w:bottom="1440" w:left="1440" w:header="708" w:footer="708" w:gutter="0"/>
          <w:cols w:space="708"/>
          <w:docGrid w:linePitch="360"/>
        </w:sectPr>
      </w:pPr>
    </w:p>
    <w:p w14:paraId="5874464D" w14:textId="07F1BCF5" w:rsidR="005A07E9" w:rsidRDefault="003D6484" w:rsidP="00D5587E">
      <w:pPr>
        <w:sectPr w:rsidR="005A07E9" w:rsidSect="005A07E9">
          <w:type w:val="continuous"/>
          <w:pgSz w:w="11906" w:h="16838"/>
          <w:pgMar w:top="1440" w:right="1440" w:bottom="1440" w:left="1440" w:header="708" w:footer="708" w:gutter="0"/>
          <w:cols w:num="2" w:space="708"/>
          <w:docGrid w:linePitch="360"/>
        </w:sectPr>
      </w:pPr>
      <w:r w:rsidRPr="003D6484">
        <w:t xml:space="preserve">Index Terms—Zero Trust Architecture, fintech cybersecurity, identity governance, cloud security, ransomware </w:t>
      </w:r>
      <w:r w:rsidRPr="003D6484">
        <w:t>resilience, GDPR, DORA, AI governance, third-party ICT risk.</w:t>
      </w:r>
    </w:p>
    <w:p w14:paraId="7A5C3C9D" w14:textId="77777777" w:rsidR="00B74897" w:rsidRDefault="00B74897" w:rsidP="00FC348A">
      <w:pPr>
        <w:pStyle w:val="Heading2"/>
        <w:rPr>
          <w:rFonts w:asciiTheme="minorHAnsi" w:hAnsiTheme="minorHAnsi"/>
        </w:rPr>
      </w:pPr>
    </w:p>
    <w:p w14:paraId="53A02B86" w14:textId="6B3A8556" w:rsidR="00B74897" w:rsidRDefault="00B74897" w:rsidP="00B74897">
      <w:pPr>
        <w:pStyle w:val="Heading1"/>
      </w:pPr>
      <w:bookmarkStart w:id="1" w:name="_Toc234924614"/>
      <w:r>
        <w:t xml:space="preserve">Task </w:t>
      </w:r>
      <w:proofErr w:type="gramStart"/>
      <w:r>
        <w:t>1</w:t>
      </w:r>
      <w:bookmarkEnd w:id="1"/>
      <w:proofErr w:type="gramEnd"/>
    </w:p>
    <w:p w14:paraId="555726AF" w14:textId="3F8E5D5A" w:rsidR="00FC348A" w:rsidRPr="00156C32" w:rsidRDefault="00FC348A" w:rsidP="00FC348A">
      <w:pPr>
        <w:pStyle w:val="Heading2"/>
        <w:rPr>
          <w:rFonts w:asciiTheme="minorHAnsi" w:hAnsiTheme="minorHAnsi"/>
        </w:rPr>
      </w:pPr>
      <w:bookmarkStart w:id="2" w:name="_Toc234924615"/>
      <w:r w:rsidRPr="00156C32">
        <w:rPr>
          <w:rFonts w:asciiTheme="minorHAnsi" w:hAnsiTheme="minorHAnsi"/>
        </w:rPr>
        <w:t>1. Introduction</w:t>
      </w:r>
      <w:bookmarkEnd w:id="2"/>
    </w:p>
    <w:p w14:paraId="7FB9DC73" w14:textId="77777777" w:rsidR="005A07E9" w:rsidRDefault="005A07E9" w:rsidP="00144DBD">
      <w:pPr>
        <w:sectPr w:rsidR="005A07E9" w:rsidSect="005A07E9">
          <w:type w:val="continuous"/>
          <w:pgSz w:w="11906" w:h="16838"/>
          <w:pgMar w:top="1440" w:right="1440" w:bottom="1440" w:left="1440" w:header="708" w:footer="708" w:gutter="0"/>
          <w:cols w:space="708"/>
          <w:docGrid w:linePitch="360"/>
        </w:sectPr>
      </w:pPr>
    </w:p>
    <w:p w14:paraId="5B9A6CBC" w14:textId="226F62A1" w:rsidR="00144DBD" w:rsidRPr="00156C32" w:rsidRDefault="00144DBD" w:rsidP="00144DBD">
      <w:r w:rsidRPr="00156C32">
        <w:t xml:space="preserve">The contemporary data security landscape </w:t>
      </w:r>
      <w:proofErr w:type="gramStart"/>
      <w:r w:rsidRPr="00156C32">
        <w:t>is shaped</w:t>
      </w:r>
      <w:proofErr w:type="gramEnd"/>
      <w:r w:rsidRPr="00156C32">
        <w:t xml:space="preserve"> by a shift from bounded corporate networks to distributed ecosystems made up of cloud platforms, SaaS applications, APIs, remote users, third-party </w:t>
      </w:r>
      <w:proofErr w:type="gramStart"/>
      <w:r w:rsidRPr="00156C32">
        <w:t>suppliers</w:t>
      </w:r>
      <w:proofErr w:type="gramEnd"/>
      <w:r w:rsidRPr="00156C32">
        <w:t xml:space="preserve"> and AI-driven analytics. This shift weakens the assumption that internal network location can </w:t>
      </w:r>
      <w:proofErr w:type="gramStart"/>
      <w:r w:rsidRPr="00156C32">
        <w:t>be treated</w:t>
      </w:r>
      <w:proofErr w:type="gramEnd"/>
      <w:r w:rsidRPr="00156C32">
        <w:t xml:space="preserve"> as a reliable indicator of trust.</w:t>
      </w:r>
    </w:p>
    <w:p w14:paraId="1756A41C" w14:textId="67F155E4" w:rsidR="006E4016" w:rsidRPr="00156C32" w:rsidRDefault="00B4195A" w:rsidP="00385118">
      <w:r w:rsidRPr="00156C32">
        <w:t>Ransomware</w:t>
      </w:r>
      <w:r w:rsidR="007330C4" w:rsidRPr="00156C32">
        <w:t xml:space="preserve"> actors, credential </w:t>
      </w:r>
      <w:proofErr w:type="gramStart"/>
      <w:r w:rsidR="007330C4" w:rsidRPr="00156C32">
        <w:t>thieves</w:t>
      </w:r>
      <w:proofErr w:type="gramEnd"/>
      <w:r w:rsidR="007330C4" w:rsidRPr="00156C32">
        <w:t xml:space="preserve"> and supply </w:t>
      </w:r>
      <w:r w:rsidRPr="00156C32">
        <w:t>chain</w:t>
      </w:r>
      <w:r w:rsidR="007330C4" w:rsidRPr="00156C32">
        <w:t xml:space="preserve"> attackers </w:t>
      </w:r>
      <w:r w:rsidRPr="00156C32">
        <w:t>exploit</w:t>
      </w:r>
      <w:r w:rsidR="007330C4" w:rsidRPr="00156C32">
        <w:t xml:space="preserve"> weak identity controls, exposed cloud </w:t>
      </w:r>
      <w:proofErr w:type="gramStart"/>
      <w:r w:rsidR="007330C4" w:rsidRPr="00156C32">
        <w:t>workloads</w:t>
      </w:r>
      <w:proofErr w:type="gramEnd"/>
      <w:r w:rsidR="007330C4" w:rsidRPr="00156C32">
        <w:t xml:space="preserve"> and slow remediation processes. ENISA identifies</w:t>
      </w:r>
      <w:r w:rsidR="00D906B3" w:rsidRPr="00156C32">
        <w:t xml:space="preserve"> ransomware</w:t>
      </w:r>
      <w:r w:rsidR="007330C4" w:rsidRPr="00156C32">
        <w:t xml:space="preserve">, </w:t>
      </w:r>
      <w:r w:rsidR="00D906B3" w:rsidRPr="00156C32">
        <w:t>data</w:t>
      </w:r>
      <w:r w:rsidR="007330C4" w:rsidRPr="00156C32">
        <w:t xml:space="preserve"> threats, denial-of-service and supply </w:t>
      </w:r>
      <w:r w:rsidR="00D906B3" w:rsidRPr="00156C32">
        <w:t>chain</w:t>
      </w:r>
      <w:r w:rsidR="007330C4" w:rsidRPr="00156C32">
        <w:t xml:space="preserve"> attacks as major current threat categories</w:t>
      </w:r>
      <w:r w:rsidRPr="00156C32">
        <w:t>, while Verizon’s 2025 DBIR highlights the continued importance of ransomware, third-party involvement, credential abuse and vulnerability exploitation in breaches</w:t>
      </w:r>
      <w:r w:rsidR="00F211D9" w:rsidRPr="00156C32">
        <w:fldChar w:fldCharType="begin"/>
      </w:r>
      <w:r w:rsidR="00F211D9" w:rsidRPr="00156C32">
        <w:instrText xml:space="preserve"> ADDIN ZOTERO_ITEM CSL_CITATION {"citationID":"wM8jk7H1","properties":{"unsorted":false,"formattedCitation":"[1], [2]","plainCitation":"[1], [2]","noteIndex":0},"citationItems":[{"id":79,"uris":["http://zotero.org/users/local/ZNi8sr8v/items/PS4UJ537"],"itemData":{"id":79,"type":"report","publisher":"ENISA","title":"ENISA Threat Landscape 2024","URL":"https://www.enisa.europa.eu/publications/enisa-threat-landscape-2024","author":[{"literal":"European Union Agency for Cybersecurity"}],"issued":{"date-parts":[["2024",9]]}}},{"id":80,"uris":["http://zotero.org/users/local/ZNi8sr8v/items/3432IUHK"],"itemData":{"id":80,"type":"report","publisher":"Verizon Business","title":"2025 Data Breach Investigations Report","URL":"https://www.verizon.com/business/resources/reports/dbir/","author":[{"literal":"Verizon"}],"issued":{"date-parts":[["2025"]]}}}],"schema":"https://github.com/citation-style-language/schema/raw/master/csl-citation.json"} </w:instrText>
      </w:r>
      <w:r w:rsidR="00F211D9" w:rsidRPr="00156C32">
        <w:fldChar w:fldCharType="separate"/>
      </w:r>
      <w:r w:rsidR="00F211D9" w:rsidRPr="00156C32">
        <w:t>[1], [2]</w:t>
      </w:r>
      <w:r w:rsidR="00F211D9" w:rsidRPr="00156C32">
        <w:fldChar w:fldCharType="end"/>
      </w:r>
      <w:r w:rsidRPr="00156C32">
        <w:t>.</w:t>
      </w:r>
    </w:p>
    <w:p w14:paraId="1FDD7741" w14:textId="33784CF2" w:rsidR="0001165A" w:rsidRPr="00156C32" w:rsidRDefault="003576E0" w:rsidP="00385118">
      <w:r w:rsidRPr="00156C32">
        <w:t xml:space="preserve">Compared with traditional perimeter-based security, this environment shows that trust can no longer </w:t>
      </w:r>
      <w:proofErr w:type="gramStart"/>
      <w:r w:rsidRPr="00156C32">
        <w:t>be inferred</w:t>
      </w:r>
      <w:proofErr w:type="gramEnd"/>
      <w:r w:rsidRPr="00156C32">
        <w:t xml:space="preserve"> from network location. </w:t>
      </w:r>
      <w:r w:rsidR="00EC5921" w:rsidRPr="00156C32">
        <w:t xml:space="preserve">NIST states that Zero Trust moves security away from static network </w:t>
      </w:r>
      <w:r w:rsidR="000A51DC" w:rsidRPr="00156C32">
        <w:t>perimeters</w:t>
      </w:r>
      <w:r w:rsidR="00EC5921" w:rsidRPr="00156C32">
        <w:t xml:space="preserve"> and towards users, </w:t>
      </w:r>
      <w:r w:rsidR="00EC5921" w:rsidRPr="00156C32">
        <w:t>assets and resources</w:t>
      </w:r>
      <w:r w:rsidR="002F3AE4" w:rsidRPr="00156C32">
        <w:t xml:space="preserve">, with authentication and </w:t>
      </w:r>
      <w:r w:rsidR="000A51DC" w:rsidRPr="00156C32">
        <w:t>authorisation</w:t>
      </w:r>
      <w:r w:rsidR="002F3AE4" w:rsidRPr="00156C32">
        <w:t xml:space="preserve"> performed before access is granted</w:t>
      </w:r>
      <w:r w:rsidR="00C56665" w:rsidRPr="00156C32">
        <w:fldChar w:fldCharType="begin"/>
      </w:r>
      <w:r w:rsidR="00C56665" w:rsidRPr="00156C32">
        <w:instrText xml:space="preserve"> ADDIN ZOTERO_ITEM CSL_CITATION {"citationID":"Zkh1xFfq","properties":{"unsorted":false,"formattedCitation":"[3]","plainCitation":"[3]","noteIndex":0},"citationItems":[{"id":68,"uris":["http://zotero.org/users/local/ZNi8sr8v/items/IHW2WCBV"],"itemData":{"id":68,"type":"report","collection-title":"NIST Special Publication 800-207","DOI":"10.6028/NIST.SP.800-207","publisher":"National Institute of Standards and Technology","title":"Zero Trust Architecture","URL":"https://csrc.nist.gov/pubs/sp/800/207/final","author":[{"family":"Rose","given":"Scott"},{"family":"Borchert","given":"Oliver"},{"family":"Mitchell","given":"Stu"},{"family":"Connelly","given":"Sean"}],"issued":{"date-parts":[["2020",8]]}}}],"schema":"https://github.com/citation-style-language/schema/raw/master/csl-citation.json"} </w:instrText>
      </w:r>
      <w:r w:rsidR="00C56665" w:rsidRPr="00156C32">
        <w:fldChar w:fldCharType="separate"/>
      </w:r>
      <w:r w:rsidR="00C56665" w:rsidRPr="00156C32">
        <w:t>[3]</w:t>
      </w:r>
      <w:r w:rsidR="00C56665" w:rsidRPr="00156C32">
        <w:fldChar w:fldCharType="end"/>
      </w:r>
      <w:r w:rsidR="002F3AE4" w:rsidRPr="00156C32">
        <w:t xml:space="preserve">. For Aegis FinTech, this is significant because a fintech </w:t>
      </w:r>
      <w:r w:rsidR="000A51DC" w:rsidRPr="00156C32">
        <w:t>organisation</w:t>
      </w:r>
      <w:r w:rsidR="002F3AE4" w:rsidRPr="00156C32">
        <w:t xml:space="preserve"> processes</w:t>
      </w:r>
      <w:r w:rsidR="00C10ED8" w:rsidRPr="00156C32">
        <w:t xml:space="preserve"> personal, behavioural and financial data, relies on </w:t>
      </w:r>
      <w:r w:rsidR="002F3B31">
        <w:t>APIs and cloud services</w:t>
      </w:r>
      <w:r w:rsidR="00C10ED8" w:rsidRPr="00156C32">
        <w:t xml:space="preserve">, and may be subject to </w:t>
      </w:r>
      <w:r w:rsidR="00F95AB6">
        <w:t>GDPR AND DORA</w:t>
      </w:r>
      <w:r w:rsidR="00C10ED8" w:rsidRPr="00156C32">
        <w:t xml:space="preserve"> as it expands into the European Union</w:t>
      </w:r>
      <w:r w:rsidR="0092029C" w:rsidRPr="00156C32">
        <w:fldChar w:fldCharType="begin"/>
      </w:r>
      <w:r w:rsidR="0092029C" w:rsidRPr="00156C32">
        <w:instrText xml:space="preserve"> ADDIN ZOTERO_ITEM CSL_CITATION {"citationID":"QR4ddddS","properties":{"unsorted":false,"formattedCitation":"[4], [5]","plainCitation":"[4], [5]","noteIndex":0},"citationItems":[{"id":75,"uris":["http://zotero.org/users/local/ZNi8sr8v/items/MK58I3WE"],"itemData":{"id":75,"type":"legislation","container-title":"Official Journal of the European Union","page":"1-88","title":"Regulation (EU) 2016/679: General Data Protection Regulation","URL":"https://eur-lex.europa.eu/eli/reg/2016/679/oj/eng","volume":"L119","author":[{"literal":"European Parliament"},{"literal":"Council of the European Union"}],"issued":{"date-parts":[["2016",4,27]]}}},{"id":76,"uris":["http://zotero.org/users/local/ZNi8sr8v/items/D6H5VDGY"],"itemData":{"id":76,"type":"legislation","container-title":"Official Journal of the European Union","page":"1-79","title":"Regulation (EU) 2022/2554 on Digital Operational Resilience for the Financial Sector (DORA)","URL":"https://eur-lex.europa.eu/eli/reg/2022/2554/oj","volume":"L333","author":[{"literal":"European Parliament"},{"literal":"Council of the European Union"}],"issued":{"date-parts":[["2022",12,14]]}}}],"schema":"https://github.com/citation-style-language/schema/raw/master/csl-citation.json"} </w:instrText>
      </w:r>
      <w:r w:rsidR="0092029C" w:rsidRPr="00156C32">
        <w:fldChar w:fldCharType="separate"/>
      </w:r>
      <w:r w:rsidR="0092029C" w:rsidRPr="00156C32">
        <w:t>[4], [5]</w:t>
      </w:r>
      <w:r w:rsidR="0092029C" w:rsidRPr="00156C32">
        <w:fldChar w:fldCharType="end"/>
      </w:r>
      <w:r w:rsidR="00C10ED8" w:rsidRPr="00156C32">
        <w:t xml:space="preserve">. AI-powered financial </w:t>
      </w:r>
      <w:r w:rsidR="000A51DC" w:rsidRPr="00156C32">
        <w:t>analytics</w:t>
      </w:r>
      <w:r w:rsidR="00C10ED8" w:rsidRPr="00156C32">
        <w:t xml:space="preserve"> increase the value and sensitivity of data </w:t>
      </w:r>
      <w:r w:rsidR="000A51DC" w:rsidRPr="00156C32">
        <w:t>assets, while SaaS and third-party ICT providers introduce concentration and dependency risk.</w:t>
      </w:r>
    </w:p>
    <w:p w14:paraId="1C738E20" w14:textId="1DF7E86B" w:rsidR="00E20146" w:rsidRPr="00156C32" w:rsidRDefault="00E20146" w:rsidP="00E20146">
      <w:r w:rsidRPr="00156C32">
        <w:t xml:space="preserve">This paper critically evaluates whether </w:t>
      </w:r>
      <w:r w:rsidR="00AB768B">
        <w:t>Zero Trust Architecture</w:t>
      </w:r>
      <w:r w:rsidRPr="00156C32">
        <w:t xml:space="preserve"> is an appropriate security and compliance model for a fintech organisation operating across cloud, SaaS, API, remote-working and AI-enabled analytics environments. It asks whether Zero Trust can reduce identity compromise, lateral movement, cloud exposure, ransomware </w:t>
      </w:r>
      <w:proofErr w:type="gramStart"/>
      <w:r w:rsidRPr="00156C32">
        <w:t>impact</w:t>
      </w:r>
      <w:proofErr w:type="gramEnd"/>
      <w:r w:rsidRPr="00156C32">
        <w:t xml:space="preserve"> and compliance evidence gaps, while also recognising the organisational maturity needed for it to succeed. The findings provide the evidence base for the CISO proposal in Task 2, including organisational design, technical </w:t>
      </w:r>
      <w:r w:rsidRPr="00156C32">
        <w:lastRenderedPageBreak/>
        <w:t xml:space="preserve">architecture, risk management, ransomware resilience, AI </w:t>
      </w:r>
      <w:proofErr w:type="gramStart"/>
      <w:r w:rsidRPr="00156C32">
        <w:t>governance</w:t>
      </w:r>
      <w:proofErr w:type="gramEnd"/>
      <w:r w:rsidRPr="00156C32">
        <w:t xml:space="preserve"> and board-level oversight.</w:t>
      </w:r>
    </w:p>
    <w:p w14:paraId="7EB40996" w14:textId="77777777" w:rsidR="00FE4DF8" w:rsidRPr="00FE4DF8" w:rsidRDefault="00FE4DF8" w:rsidP="00FE4DF8">
      <w:r w:rsidRPr="00FE4DF8">
        <w:t xml:space="preserve">This paper argues that Zero Trust is the most appropriate security model for Aegis FinTech because its users, assets, suppliers, APIs, SaaS </w:t>
      </w:r>
      <w:proofErr w:type="gramStart"/>
      <w:r w:rsidRPr="00FE4DF8">
        <w:t>services</w:t>
      </w:r>
      <w:proofErr w:type="gramEnd"/>
      <w:r w:rsidRPr="00FE4DF8">
        <w:t xml:space="preserve"> and cloud workloads operate beyond a fixed corporate perimeter. However, Zero </w:t>
      </w:r>
      <w:r w:rsidRPr="00FE4DF8">
        <w:t xml:space="preserve">Trust is not sufficient on its own. Its value depends on governance, identity lifecycle control, asset visibility, telemetry quality, cloud assurance, ransomware </w:t>
      </w:r>
      <w:proofErr w:type="gramStart"/>
      <w:r w:rsidRPr="00FE4DF8">
        <w:t>recovery</w:t>
      </w:r>
      <w:proofErr w:type="gramEnd"/>
      <w:r w:rsidRPr="00FE4DF8">
        <w:t xml:space="preserve"> and regulatory evidence. Therefore, Zero Trust should </w:t>
      </w:r>
      <w:proofErr w:type="gramStart"/>
      <w:r w:rsidRPr="00FE4DF8">
        <w:t>be implemented</w:t>
      </w:r>
      <w:proofErr w:type="gramEnd"/>
      <w:r w:rsidRPr="00FE4DF8">
        <w:t xml:space="preserve"> as a staged operating model rather than as a product-led technology deployment.</w:t>
      </w:r>
    </w:p>
    <w:p w14:paraId="184B17DF" w14:textId="77777777" w:rsidR="005A07E9" w:rsidRDefault="005A07E9" w:rsidP="00385118">
      <w:pPr>
        <w:sectPr w:rsidR="005A07E9" w:rsidSect="005A07E9">
          <w:type w:val="continuous"/>
          <w:pgSz w:w="11906" w:h="16838"/>
          <w:pgMar w:top="1440" w:right="1440" w:bottom="1440" w:left="1440" w:header="708" w:footer="708" w:gutter="0"/>
          <w:cols w:num="2" w:space="708"/>
          <w:docGrid w:linePitch="360"/>
        </w:sectPr>
      </w:pPr>
    </w:p>
    <w:p w14:paraId="4AD2E9E4" w14:textId="77777777" w:rsidR="00F76552" w:rsidRPr="00156C32" w:rsidRDefault="00F76552" w:rsidP="00385118"/>
    <w:p w14:paraId="2422D3F7" w14:textId="31F626FC" w:rsidR="009C09A1" w:rsidRPr="00156C32" w:rsidRDefault="0092696A" w:rsidP="0092696A">
      <w:pPr>
        <w:pStyle w:val="Heading2"/>
        <w:rPr>
          <w:rFonts w:asciiTheme="minorHAnsi" w:hAnsiTheme="minorHAnsi"/>
        </w:rPr>
      </w:pPr>
      <w:bookmarkStart w:id="3" w:name="_Toc234924616"/>
      <w:r w:rsidRPr="00156C32">
        <w:rPr>
          <w:rFonts w:asciiTheme="minorHAnsi" w:hAnsiTheme="minorHAnsi"/>
        </w:rPr>
        <w:t>2. Background and Key Concepts</w:t>
      </w:r>
      <w:bookmarkEnd w:id="3"/>
    </w:p>
    <w:p w14:paraId="13DF95AA" w14:textId="77777777" w:rsidR="005A07E9" w:rsidRDefault="005A07E9" w:rsidP="00B569A2">
      <w:pPr>
        <w:sectPr w:rsidR="005A07E9" w:rsidSect="005A07E9">
          <w:type w:val="continuous"/>
          <w:pgSz w:w="11906" w:h="16838"/>
          <w:pgMar w:top="1440" w:right="1440" w:bottom="1440" w:left="1440" w:header="708" w:footer="708" w:gutter="0"/>
          <w:cols w:space="708"/>
          <w:docGrid w:linePitch="360"/>
        </w:sectPr>
      </w:pPr>
    </w:p>
    <w:p w14:paraId="20C67535" w14:textId="047E8F79" w:rsidR="00B569A2" w:rsidRDefault="006E651C" w:rsidP="00B569A2">
      <w:r w:rsidRPr="006E651C">
        <w:t>Zero Trust is often summarised as “never trust, always verify</w:t>
      </w:r>
      <w:proofErr w:type="gramStart"/>
      <w:r w:rsidRPr="006E651C">
        <w:t>”,</w:t>
      </w:r>
      <w:proofErr w:type="gramEnd"/>
      <w:r w:rsidRPr="006E651C">
        <w:t xml:space="preserve"> but its value lies in operational control. NIST defines it as removing implicit trust based on network location or asset ownership and continuously evaluating users, devices and resource</w:t>
      </w:r>
      <w:r>
        <w:t xml:space="preserve">s </w:t>
      </w:r>
      <w:r w:rsidR="00942195" w:rsidRPr="00156C32">
        <w:fldChar w:fldCharType="begin"/>
      </w:r>
      <w:r w:rsidR="00942195" w:rsidRPr="00156C32">
        <w:instrText xml:space="preserve"> ADDIN ZOTERO_ITEM CSL_CITATION {"citationID":"4SPg3IMQ","properties":{"unsorted":false,"formattedCitation":"[3]","plainCitation":"[3]","noteIndex":0},"citationItems":[{"id":68,"uris":["http://zotero.org/users/local/ZNi8sr8v/items/IHW2WCBV"],"itemData":{"id":68,"type":"report","collection-title":"NIST Special Publication 800-207","DOI":"10.6028/NIST.SP.800-207","publisher":"National Institute of Standards and Technology","title":"Zero Trust Architecture","URL":"https://csrc.nist.gov/pubs/sp/800/207/final","author":[{"family":"Rose","given":"Scott"},{"family":"Borchert","given":"Oliver"},{"family":"Mitchell","given":"Stu"},{"family":"Connelly","given":"Sean"}],"issued":{"date-parts":[["2020",8]]}}}],"schema":"https://github.com/citation-style-language/schema/raw/master/csl-citation.json"} </w:instrText>
      </w:r>
      <w:r w:rsidR="00942195" w:rsidRPr="00156C32">
        <w:fldChar w:fldCharType="separate"/>
      </w:r>
      <w:r w:rsidR="00942195" w:rsidRPr="00156C32">
        <w:t>[3]</w:t>
      </w:r>
      <w:r w:rsidR="00942195" w:rsidRPr="00156C32">
        <w:fldChar w:fldCharType="end"/>
      </w:r>
      <w:r w:rsidR="00942195" w:rsidRPr="00156C32">
        <w:t>.</w:t>
      </w:r>
      <w:r w:rsidR="00345742" w:rsidRPr="00156C32">
        <w:t xml:space="preserve"> </w:t>
      </w:r>
      <w:r w:rsidR="00B569A2">
        <w:t xml:space="preserve">For Aegis, this means access decisions should be based on identity, role, device posture, data </w:t>
      </w:r>
      <w:proofErr w:type="gramStart"/>
      <w:r w:rsidR="00B569A2">
        <w:t>sensitivity</w:t>
      </w:r>
      <w:proofErr w:type="gramEnd"/>
      <w:r w:rsidR="00B569A2">
        <w:t xml:space="preserve"> and session risk rather than whether a user </w:t>
      </w:r>
      <w:proofErr w:type="gramStart"/>
      <w:r w:rsidR="00B569A2">
        <w:t>appears to be</w:t>
      </w:r>
      <w:proofErr w:type="gramEnd"/>
      <w:r w:rsidR="00B569A2">
        <w:t xml:space="preserve"> inside a trusted network.</w:t>
      </w:r>
    </w:p>
    <w:p w14:paraId="7FB9CF5A" w14:textId="77777777" w:rsidR="00B569A2" w:rsidRDefault="00B569A2" w:rsidP="00B569A2">
      <w:r>
        <w:t xml:space="preserve">The core principles are identity-centric access, least privilege, assume breach, segmentation, data protection, </w:t>
      </w:r>
      <w:r>
        <w:t xml:space="preserve">continuous verification and monitored response. Least privilege reduces blast radius, but only if access reviews, privileged access management and identity lifecycle controls prevent permission accumulation. Assume breach requires systems to </w:t>
      </w:r>
      <w:proofErr w:type="gramStart"/>
      <w:r>
        <w:t>be designed</w:t>
      </w:r>
      <w:proofErr w:type="gramEnd"/>
      <w:r>
        <w:t xml:space="preserve"> so that a compromised account, </w:t>
      </w:r>
      <w:proofErr w:type="gramStart"/>
      <w:r>
        <w:t>endpoint</w:t>
      </w:r>
      <w:proofErr w:type="gramEnd"/>
      <w:r>
        <w:t xml:space="preserve"> or workload cannot move freely across the environment. SIEM, SOAR, EDR/XDR and threat intelligence support detection and response, but automation must </w:t>
      </w:r>
      <w:proofErr w:type="gramStart"/>
      <w:r>
        <w:t>be governed</w:t>
      </w:r>
      <w:proofErr w:type="gramEnd"/>
      <w:r>
        <w:t xml:space="preserve"> carefully because false positives or poorly designed playbooks can disrupt business operations.</w:t>
      </w:r>
    </w:p>
    <w:p w14:paraId="037D5176" w14:textId="77777777" w:rsidR="005A07E9" w:rsidRDefault="005A07E9" w:rsidP="00B569A2">
      <w:pPr>
        <w:pStyle w:val="Heading2"/>
        <w:sectPr w:rsidR="005A07E9" w:rsidSect="005A07E9">
          <w:type w:val="continuous"/>
          <w:pgSz w:w="11906" w:h="16838"/>
          <w:pgMar w:top="1440" w:right="1440" w:bottom="1440" w:left="1440" w:header="708" w:footer="708" w:gutter="0"/>
          <w:cols w:num="2" w:space="708"/>
          <w:docGrid w:linePitch="360"/>
        </w:sectPr>
      </w:pPr>
    </w:p>
    <w:p w14:paraId="3C2E047E" w14:textId="77777777" w:rsidR="00D5587E" w:rsidRDefault="00D5587E" w:rsidP="00B569A2">
      <w:pPr>
        <w:pStyle w:val="Heading2"/>
      </w:pPr>
    </w:p>
    <w:p w14:paraId="5E7A231D" w14:textId="77777777" w:rsidR="00D5587E" w:rsidRDefault="00D5587E" w:rsidP="00B569A2">
      <w:pPr>
        <w:pStyle w:val="Heading2"/>
      </w:pPr>
    </w:p>
    <w:p w14:paraId="76FE1CF6" w14:textId="77777777" w:rsidR="00D5587E" w:rsidRDefault="00D5587E" w:rsidP="00B569A2">
      <w:pPr>
        <w:pStyle w:val="Heading2"/>
      </w:pPr>
    </w:p>
    <w:p w14:paraId="50AB0770" w14:textId="77777777" w:rsidR="00D5587E" w:rsidRDefault="00D5587E" w:rsidP="00B569A2">
      <w:pPr>
        <w:pStyle w:val="Heading2"/>
      </w:pPr>
    </w:p>
    <w:p w14:paraId="2CB818FC" w14:textId="77777777" w:rsidR="00D5587E" w:rsidRDefault="00D5587E" w:rsidP="00B569A2">
      <w:pPr>
        <w:pStyle w:val="Heading2"/>
      </w:pPr>
    </w:p>
    <w:p w14:paraId="4FC74E13" w14:textId="77777777" w:rsidR="00D5587E" w:rsidRDefault="00D5587E" w:rsidP="00B569A2">
      <w:pPr>
        <w:pStyle w:val="Heading2"/>
      </w:pPr>
    </w:p>
    <w:p w14:paraId="3842637F" w14:textId="77777777" w:rsidR="00D5587E" w:rsidRDefault="00D5587E" w:rsidP="00D5587E"/>
    <w:p w14:paraId="3CA8E8E6" w14:textId="77777777" w:rsidR="00D5587E" w:rsidRPr="00D5587E" w:rsidRDefault="00D5587E" w:rsidP="00D5587E"/>
    <w:p w14:paraId="4A180932" w14:textId="1A2670EF" w:rsidR="00EE7EE2" w:rsidRPr="00156C32" w:rsidRDefault="00EE7EE2" w:rsidP="00B569A2">
      <w:pPr>
        <w:pStyle w:val="Heading2"/>
      </w:pPr>
      <w:bookmarkStart w:id="4" w:name="_Toc234924617"/>
      <w:r w:rsidRPr="00156C32">
        <w:t>3</w:t>
      </w:r>
      <w:r w:rsidR="00235AD4" w:rsidRPr="00156C32">
        <w:t xml:space="preserve">. </w:t>
      </w:r>
      <w:r w:rsidRPr="00156C32">
        <w:t>Literature Review</w:t>
      </w:r>
      <w:bookmarkEnd w:id="4"/>
    </w:p>
    <w:p w14:paraId="79AABFE8" w14:textId="77777777" w:rsidR="005A07E9" w:rsidRDefault="005A07E9" w:rsidP="00112C1F">
      <w:pPr>
        <w:sectPr w:rsidR="005A07E9" w:rsidSect="005A07E9">
          <w:type w:val="continuous"/>
          <w:pgSz w:w="11906" w:h="16838"/>
          <w:pgMar w:top="1440" w:right="1440" w:bottom="1440" w:left="1440" w:header="708" w:footer="708" w:gutter="0"/>
          <w:cols w:space="708"/>
          <w:docGrid w:linePitch="360"/>
        </w:sectPr>
      </w:pPr>
    </w:p>
    <w:p w14:paraId="4906AC61" w14:textId="2B9FE64A" w:rsidR="00E827E9" w:rsidRPr="00156C32" w:rsidRDefault="00112C1F" w:rsidP="00276DD4">
      <w:pPr>
        <w:rPr>
          <w:rFonts w:cs="Times New Roman"/>
          <w:kern w:val="0"/>
        </w:rPr>
      </w:pPr>
      <w:r w:rsidRPr="00156C32">
        <w:t xml:space="preserve">The </w:t>
      </w:r>
      <w:r w:rsidR="00D04B39" w:rsidRPr="00156C32">
        <w:t>literature</w:t>
      </w:r>
      <w:r w:rsidRPr="00156C32">
        <w:t xml:space="preserve"> suggests that Zero Trust has become mor</w:t>
      </w:r>
      <w:r w:rsidR="00D04B39" w:rsidRPr="00156C32">
        <w:t>e</w:t>
      </w:r>
      <w:r w:rsidRPr="00156C32">
        <w:t xml:space="preserve"> important </w:t>
      </w:r>
      <w:r w:rsidR="004629CD" w:rsidRPr="00156C32">
        <w:t>because digital transformation has reduced the relevance of the traditional perimeter</w:t>
      </w:r>
      <w:r w:rsidR="00E827E9" w:rsidRPr="00156C32">
        <w:t>.</w:t>
      </w:r>
      <w:r w:rsidR="00942732" w:rsidRPr="00156C32">
        <w:t xml:space="preserve"> </w:t>
      </w:r>
      <w:r w:rsidR="00C105D1" w:rsidRPr="00156C32">
        <w:t>Syed et al.</w:t>
      </w:r>
      <w:r w:rsidR="00886357" w:rsidRPr="00156C32">
        <w:rPr>
          <w:rFonts w:cs="Times New Roman"/>
          <w:kern w:val="0"/>
        </w:rPr>
        <w:t xml:space="preserve"> describe Zero Trust as a response to the limitations of perimeter-based security</w:t>
      </w:r>
      <w:r w:rsidR="00900FBE" w:rsidRPr="00156C32">
        <w:rPr>
          <w:rFonts w:cs="Times New Roman"/>
          <w:kern w:val="0"/>
        </w:rPr>
        <w:t xml:space="preserve"> and review its dependence on authentication, access control, encryption, micro-segmentation and automation</w:t>
      </w:r>
      <w:r w:rsidR="007F6BEA" w:rsidRPr="00156C32">
        <w:rPr>
          <w:rFonts w:cs="Times New Roman"/>
          <w:kern w:val="0"/>
        </w:rPr>
        <w:t xml:space="preserve"> </w:t>
      </w:r>
      <w:r w:rsidR="00900FBE" w:rsidRPr="00156C32">
        <w:rPr>
          <w:rFonts w:cs="Times New Roman"/>
          <w:kern w:val="0"/>
        </w:rPr>
        <w:fldChar w:fldCharType="begin"/>
      </w:r>
      <w:r w:rsidR="00900FBE" w:rsidRPr="00156C32">
        <w:rPr>
          <w:rFonts w:cs="Times New Roman"/>
          <w:kern w:val="0"/>
        </w:rPr>
        <w:instrText xml:space="preserve"> ADDIN ZOTERO_ITEM CSL_CITATION {"citationID":"5IMV6276","properties":{"unsorted":false,"formattedCitation":"[6]","plainCitation":"[6]","noteIndex":0},"citationItems":[{"id":69,"uris":["http://zotero.org/users/local/ZNi8sr8v/items/VHS4NDZK"],"itemData":{"id":69,"type":"article-journal","container-title":"IEEE Access","DOI":"10.1109/ACCESS.2022.3174679","journalAbbreviation":"IEEE Access","page":"57143-57179","title":"Zero Trust Architecture (ZTA): A Comprehensive Survey","volume":"10","author":[{"family":"Syed","given":"Naeem Firdous"},{"family":"Shah","given":"Syed W."},{"family":"Shaghaghi","given":"Arash"},{"family":"Anwar","given":"Adnan"},{"family":"Baig","given":"Zubair"},{"family":"Doss","given":"Robin"}],"issued":{"date-parts":[["2022"]]}}}],"schema":"https://github.com/citation-style-language/schema/raw/master/csl-citation.json"} </w:instrText>
      </w:r>
      <w:r w:rsidR="00900FBE" w:rsidRPr="00156C32">
        <w:rPr>
          <w:rFonts w:cs="Times New Roman"/>
          <w:kern w:val="0"/>
        </w:rPr>
        <w:fldChar w:fldCharType="separate"/>
      </w:r>
      <w:r w:rsidR="00900FBE" w:rsidRPr="00156C32">
        <w:t>[6]</w:t>
      </w:r>
      <w:r w:rsidR="00900FBE" w:rsidRPr="00156C32">
        <w:rPr>
          <w:rFonts w:cs="Times New Roman"/>
          <w:kern w:val="0"/>
        </w:rPr>
        <w:fldChar w:fldCharType="end"/>
      </w:r>
      <w:r w:rsidR="00675EF7" w:rsidRPr="00156C32">
        <w:rPr>
          <w:rFonts w:cs="Times New Roman"/>
          <w:kern w:val="0"/>
        </w:rPr>
        <w:t>,</w:t>
      </w:r>
      <w:r w:rsidR="00EB18A6" w:rsidRPr="00156C32">
        <w:rPr>
          <w:rFonts w:cs="Times New Roman"/>
          <w:kern w:val="0"/>
        </w:rPr>
        <w:t xml:space="preserve"> </w:t>
      </w:r>
      <w:r w:rsidR="00C105D1" w:rsidRPr="00156C32">
        <w:rPr>
          <w:rFonts w:cs="Times New Roman"/>
          <w:kern w:val="0"/>
        </w:rPr>
        <w:t>He et al. similarly argue</w:t>
      </w:r>
      <w:r w:rsidR="00B823CA" w:rsidRPr="00156C32">
        <w:rPr>
          <w:rFonts w:cs="Times New Roman"/>
          <w:kern w:val="0"/>
        </w:rPr>
        <w:t xml:space="preserve"> that traditional network protection models cannot adapt effectivel</w:t>
      </w:r>
      <w:r w:rsidR="00A66507" w:rsidRPr="00156C32">
        <w:rPr>
          <w:rFonts w:cs="Times New Roman"/>
          <w:kern w:val="0"/>
        </w:rPr>
        <w:t xml:space="preserve">y to </w:t>
      </w:r>
      <w:r w:rsidR="00C105D1" w:rsidRPr="00156C32">
        <w:rPr>
          <w:rFonts w:cs="Times New Roman"/>
          <w:kern w:val="0"/>
        </w:rPr>
        <w:t>modern environments</w:t>
      </w:r>
      <w:r w:rsidR="00A66507" w:rsidRPr="00156C32">
        <w:rPr>
          <w:rFonts w:cs="Times New Roman"/>
          <w:kern w:val="0"/>
        </w:rPr>
        <w:t xml:space="preserve">, but they also note that Zero Trust adoption remains immature and faces challenges in trust assessment and implementation </w:t>
      </w:r>
      <w:r w:rsidR="00A66507" w:rsidRPr="00156C32">
        <w:rPr>
          <w:rFonts w:cs="Times New Roman"/>
          <w:kern w:val="0"/>
        </w:rPr>
        <w:fldChar w:fldCharType="begin"/>
      </w:r>
      <w:r w:rsidR="00A66507" w:rsidRPr="00156C32">
        <w:rPr>
          <w:rFonts w:cs="Times New Roman"/>
          <w:kern w:val="0"/>
        </w:rPr>
        <w:instrText xml:space="preserve"> ADDIN ZOTERO_ITEM CSL_CITATION {"citationID":"wXXFrx3V","properties":{"unsorted":false,"formattedCitation":"[7]","plainCitation":"[7]","noteIndex":0},"citationItems":[{"id":70,"uris":["http://zotero.org/users/local/ZNi8sr8v/items/PRMAZ83P"],"itemData":{"id":70,"type":"article-journal","container-title":"Wireless Communications and Mobile Computing","DOI":"10.1155/2022/6476274","journalAbbreviation":"Wireless Communications and Mobile Computing","page":"6476274","title":"A Survey on Zero Trust Architecture: Challenges and Future Trends","volume":"2022","author":[{"family":"He","given":"Yuanhang"},{"family":"Huang","given":"Daochao"},{"family":"Chen","given":"Lei"},{"family":"Ni","given":"Yi"},{"family":"Ma","given":"Xiangjie"}],"issued":{"date-parts":[["2022"]]}}}],"schema":"https://github.com/citation-style-language/schema/raw/master/csl-citation.json"} </w:instrText>
      </w:r>
      <w:r w:rsidR="00A66507" w:rsidRPr="00156C32">
        <w:rPr>
          <w:rFonts w:cs="Times New Roman"/>
          <w:kern w:val="0"/>
        </w:rPr>
        <w:fldChar w:fldCharType="separate"/>
      </w:r>
      <w:r w:rsidR="00A66507" w:rsidRPr="00156C32">
        <w:t>[7]</w:t>
      </w:r>
      <w:r w:rsidR="00A66507" w:rsidRPr="00156C32">
        <w:rPr>
          <w:rFonts w:cs="Times New Roman"/>
          <w:kern w:val="0"/>
        </w:rPr>
        <w:fldChar w:fldCharType="end"/>
      </w:r>
      <w:r w:rsidR="00053045" w:rsidRPr="00156C32">
        <w:rPr>
          <w:rFonts w:cs="Times New Roman"/>
          <w:kern w:val="0"/>
        </w:rPr>
        <w:t xml:space="preserve">. </w:t>
      </w:r>
      <w:r w:rsidR="004C5A30" w:rsidRPr="00156C32">
        <w:rPr>
          <w:rFonts w:cs="Times New Roman"/>
          <w:kern w:val="0"/>
        </w:rPr>
        <w:t xml:space="preserve">This suggests that Zero Trust is academically credible but operationally complex. NIST provides a practical model centred on users, </w:t>
      </w:r>
      <w:proofErr w:type="gramStart"/>
      <w:r w:rsidR="004C5A30" w:rsidRPr="00156C32">
        <w:rPr>
          <w:rFonts w:cs="Times New Roman"/>
          <w:kern w:val="0"/>
        </w:rPr>
        <w:t>assets</w:t>
      </w:r>
      <w:proofErr w:type="gramEnd"/>
      <w:r w:rsidR="004C5A30" w:rsidRPr="00156C32">
        <w:rPr>
          <w:rFonts w:cs="Times New Roman"/>
          <w:kern w:val="0"/>
        </w:rPr>
        <w:t xml:space="preserve"> and resources, while Syed et al. and He et al. highlight implementation challenges such as trust assessment, </w:t>
      </w:r>
      <w:proofErr w:type="gramStart"/>
      <w:r w:rsidR="004C5A30" w:rsidRPr="00156C32">
        <w:rPr>
          <w:rFonts w:cs="Times New Roman"/>
          <w:kern w:val="0"/>
        </w:rPr>
        <w:t>maturity</w:t>
      </w:r>
      <w:proofErr w:type="gramEnd"/>
      <w:r w:rsidR="004C5A30" w:rsidRPr="00156C32">
        <w:rPr>
          <w:rFonts w:cs="Times New Roman"/>
          <w:kern w:val="0"/>
        </w:rPr>
        <w:t xml:space="preserve"> and operational adoption. For Aegis, this means Zero Trust should not </w:t>
      </w:r>
      <w:proofErr w:type="gramStart"/>
      <w:r w:rsidR="004C5A30" w:rsidRPr="00156C32">
        <w:rPr>
          <w:rFonts w:cs="Times New Roman"/>
          <w:kern w:val="0"/>
        </w:rPr>
        <w:t>be treated</w:t>
      </w:r>
      <w:proofErr w:type="gramEnd"/>
      <w:r w:rsidR="004C5A30" w:rsidRPr="00156C32">
        <w:rPr>
          <w:rFonts w:cs="Times New Roman"/>
          <w:kern w:val="0"/>
        </w:rPr>
        <w:t xml:space="preserve"> as a purchasable technology stack, but as a staged governance programme dependent on identity lifecycle control, asset visibility, telemetry </w:t>
      </w:r>
      <w:proofErr w:type="gramStart"/>
      <w:r w:rsidR="004C5A30" w:rsidRPr="00156C32">
        <w:rPr>
          <w:rFonts w:cs="Times New Roman"/>
          <w:kern w:val="0"/>
        </w:rPr>
        <w:t>quality</w:t>
      </w:r>
      <w:proofErr w:type="gramEnd"/>
      <w:r w:rsidR="004C5A30" w:rsidRPr="00156C32">
        <w:rPr>
          <w:rFonts w:cs="Times New Roman"/>
          <w:kern w:val="0"/>
        </w:rPr>
        <w:t xml:space="preserve"> and accountable ownership.</w:t>
      </w:r>
    </w:p>
    <w:p w14:paraId="430D9A15" w14:textId="6FC58447" w:rsidR="00053045" w:rsidRPr="00156C32" w:rsidRDefault="007B68D4" w:rsidP="00276DD4">
      <w:pPr>
        <w:rPr>
          <w:rFonts w:cs="Times New Roman"/>
          <w:kern w:val="0"/>
        </w:rPr>
      </w:pPr>
      <w:r w:rsidRPr="00156C32">
        <w:rPr>
          <w:rFonts w:cs="Times New Roman"/>
          <w:kern w:val="0"/>
        </w:rPr>
        <w:t xml:space="preserve">Cloud and hybrid work have changed security assumptions by increasing dependence on externally hosted services, </w:t>
      </w:r>
      <w:r w:rsidR="00675EF7" w:rsidRPr="00156C32">
        <w:rPr>
          <w:rFonts w:cs="Times New Roman"/>
          <w:kern w:val="0"/>
        </w:rPr>
        <w:t>unmanaged</w:t>
      </w:r>
      <w:r w:rsidRPr="00156C32">
        <w:rPr>
          <w:rFonts w:cs="Times New Roman"/>
          <w:kern w:val="0"/>
        </w:rPr>
        <w:t xml:space="preserve"> </w:t>
      </w:r>
      <w:proofErr w:type="gramStart"/>
      <w:r w:rsidRPr="00156C32">
        <w:rPr>
          <w:rFonts w:cs="Times New Roman"/>
          <w:kern w:val="0"/>
        </w:rPr>
        <w:t>networks</w:t>
      </w:r>
      <w:proofErr w:type="gramEnd"/>
      <w:r w:rsidRPr="00156C32">
        <w:rPr>
          <w:rFonts w:cs="Times New Roman"/>
          <w:kern w:val="0"/>
        </w:rPr>
        <w:t xml:space="preserve"> and distributed endpoints</w:t>
      </w:r>
      <w:r w:rsidR="00A267E2" w:rsidRPr="00156C32">
        <w:rPr>
          <w:rFonts w:cs="Times New Roman"/>
          <w:kern w:val="0"/>
        </w:rPr>
        <w:t>.</w:t>
      </w:r>
      <w:r w:rsidR="00675EF7" w:rsidRPr="00156C32">
        <w:rPr>
          <w:rFonts w:cs="Times New Roman"/>
          <w:kern w:val="0"/>
        </w:rPr>
        <w:t xml:space="preserve"> </w:t>
      </w:r>
      <w:r w:rsidR="00F95AB6">
        <w:rPr>
          <w:rFonts w:cs="Times New Roman"/>
          <w:kern w:val="0"/>
        </w:rPr>
        <w:t>Hasnain et al. identify</w:t>
      </w:r>
      <w:r w:rsidR="00A30D30" w:rsidRPr="00156C32">
        <w:rPr>
          <w:rFonts w:cs="Times New Roman"/>
          <w:kern w:val="0"/>
        </w:rPr>
        <w:t xml:space="preserve"> data leakage, data tampering, </w:t>
      </w:r>
      <w:r w:rsidR="00A30D30" w:rsidRPr="00156C32">
        <w:rPr>
          <w:rFonts w:cs="Times New Roman"/>
          <w:kern w:val="0"/>
        </w:rPr>
        <w:t xml:space="preserve">intrusion and cloud outsourcing concerns as recurring cloud security threats </w:t>
      </w:r>
      <w:r w:rsidR="00A30D30" w:rsidRPr="00156C32">
        <w:rPr>
          <w:rFonts w:cs="Times New Roman"/>
          <w:kern w:val="0"/>
        </w:rPr>
        <w:fldChar w:fldCharType="begin"/>
      </w:r>
      <w:r w:rsidR="00A30D30" w:rsidRPr="00156C32">
        <w:rPr>
          <w:rFonts w:cs="Times New Roman"/>
          <w:kern w:val="0"/>
        </w:rPr>
        <w:instrText xml:space="preserve"> ADDIN ZOTERO_ITEM CSL_CITATION {"citationID":"KAI2RAf4","properties":{"unsorted":false,"formattedCitation":"[8]","plainCitation":"[8]","noteIndex":0},"citationItems":[{"id":71,"uris":["http://zotero.org/users/local/ZNi8sr8v/items/GKJM5GU4"],"itemData":{"id":71,"type":"article-journal","container-title":"IEEE Access","DOI":"10.1109/ACCESS.2021.3073203","journalAbbreviation":"IEEE Access","title":"A Systematic Literature Review on Cloud Computing Security: Threats and Mitigation Strategies","URL":"https://ieeexplore.ieee.org/document/9404177","author":[{"family":"Hasnain","given":"Muhammad"}],"issued":{"date-parts":[["2021"]]}}}],"schema":"https://github.com/citation-style-language/schema/raw/master/csl-citation.json"} </w:instrText>
      </w:r>
      <w:r w:rsidR="00A30D30" w:rsidRPr="00156C32">
        <w:rPr>
          <w:rFonts w:cs="Times New Roman"/>
          <w:kern w:val="0"/>
        </w:rPr>
        <w:fldChar w:fldCharType="separate"/>
      </w:r>
      <w:r w:rsidR="00A30D30" w:rsidRPr="00156C32">
        <w:t>[8]</w:t>
      </w:r>
      <w:r w:rsidR="00A30D30" w:rsidRPr="00156C32">
        <w:rPr>
          <w:rFonts w:cs="Times New Roman"/>
          <w:kern w:val="0"/>
        </w:rPr>
        <w:fldChar w:fldCharType="end"/>
      </w:r>
      <w:r w:rsidR="00EB5D75" w:rsidRPr="00156C32">
        <w:rPr>
          <w:rFonts w:cs="Times New Roman"/>
          <w:kern w:val="0"/>
        </w:rPr>
        <w:t xml:space="preserve">. Milward et al. focus more specifically on cloud misconfiguration and propose automated mitigation of misconfiguration </w:t>
      </w:r>
      <w:r w:rsidR="0078423A" w:rsidRPr="00156C32">
        <w:rPr>
          <w:rFonts w:cs="Times New Roman"/>
          <w:kern w:val="0"/>
        </w:rPr>
        <w:t xml:space="preserve">vulnerabilities in cloud systems </w:t>
      </w:r>
      <w:r w:rsidR="0078423A" w:rsidRPr="00156C32">
        <w:rPr>
          <w:rFonts w:cs="Times New Roman"/>
          <w:kern w:val="0"/>
        </w:rPr>
        <w:fldChar w:fldCharType="begin"/>
      </w:r>
      <w:r w:rsidR="0078423A" w:rsidRPr="00156C32">
        <w:rPr>
          <w:rFonts w:cs="Times New Roman"/>
          <w:kern w:val="0"/>
        </w:rPr>
        <w:instrText xml:space="preserve"> ADDIN ZOTERO_ITEM CSL_CITATION {"citationID":"DMcM8DBy","properties":{"unsorted":false,"formattedCitation":"[9]","plainCitation":"[9]","noteIndex":0},"citationItems":[{"id":87,"uris":["http://zotero.org/users/local/ZNi8sr8v/items/9Y6YC7CU"],"itemData":{"id":87,"type":"paper-conference","DOI":"10.1145/3616131.3616142","event-title":"2023 7th International Conference on Cloud and Big Data Computing (ICCBDC 2023)","publisher":"ACM","title":"CACLE - Automated Mitigation for Misconfiguration Vulnerabilities in Cloud Systems","URL":"https://dl.acm.org/doi/10.1145/3616131.3616142","author":[{"family":"Millward","given":"Douglas J."},{"family":"Reed","given":"Martin J."},{"family":"Olaniyi","given":"Nkaepe"}],"issued":{"date-parts":[["2023"]]}}}],"schema":"https://github.com/citation-style-language/schema/raw/master/csl-citation.json"} </w:instrText>
      </w:r>
      <w:r w:rsidR="0078423A" w:rsidRPr="00156C32">
        <w:rPr>
          <w:rFonts w:cs="Times New Roman"/>
          <w:kern w:val="0"/>
        </w:rPr>
        <w:fldChar w:fldCharType="separate"/>
      </w:r>
      <w:r w:rsidR="0078423A" w:rsidRPr="00156C32">
        <w:t>[9]</w:t>
      </w:r>
      <w:r w:rsidR="0078423A" w:rsidRPr="00156C32">
        <w:rPr>
          <w:rFonts w:cs="Times New Roman"/>
          <w:kern w:val="0"/>
        </w:rPr>
        <w:fldChar w:fldCharType="end"/>
      </w:r>
      <w:r w:rsidR="00FF2BE1" w:rsidRPr="00156C32">
        <w:rPr>
          <w:rFonts w:cs="Times New Roman"/>
          <w:kern w:val="0"/>
        </w:rPr>
        <w:t xml:space="preserve">. This is important because fintech firms commonly rely on cloud infrastructure for scalability, yet cloud misconfiguration can expose sensitive financial </w:t>
      </w:r>
      <w:r w:rsidR="00B52FFA" w:rsidRPr="00156C32">
        <w:rPr>
          <w:rFonts w:cs="Times New Roman"/>
          <w:kern w:val="0"/>
        </w:rPr>
        <w:t>and/or</w:t>
      </w:r>
      <w:r w:rsidR="00FF2BE1" w:rsidRPr="00156C32">
        <w:rPr>
          <w:rFonts w:cs="Times New Roman"/>
          <w:kern w:val="0"/>
        </w:rPr>
        <w:t xml:space="preserve"> personal data.</w:t>
      </w:r>
    </w:p>
    <w:p w14:paraId="790ED6BF" w14:textId="11671D83" w:rsidR="00BC6D2F" w:rsidRPr="00156C32" w:rsidRDefault="006414E0" w:rsidP="00276DD4">
      <w:pPr>
        <w:rPr>
          <w:rFonts w:cs="Times New Roman"/>
          <w:kern w:val="0"/>
        </w:rPr>
      </w:pPr>
      <w:r w:rsidRPr="00156C32">
        <w:rPr>
          <w:rFonts w:cs="Times New Roman"/>
          <w:kern w:val="0"/>
        </w:rPr>
        <w:t>Identity</w:t>
      </w:r>
      <w:r w:rsidR="00BC6D2F" w:rsidRPr="00156C32">
        <w:rPr>
          <w:rFonts w:cs="Times New Roman"/>
          <w:kern w:val="0"/>
        </w:rPr>
        <w:t xml:space="preserve"> compromise and </w:t>
      </w:r>
      <w:r w:rsidRPr="00156C32">
        <w:rPr>
          <w:rFonts w:cs="Times New Roman"/>
          <w:kern w:val="0"/>
        </w:rPr>
        <w:t>ransomware</w:t>
      </w:r>
      <w:r w:rsidR="00BC6D2F" w:rsidRPr="00156C32">
        <w:rPr>
          <w:rFonts w:cs="Times New Roman"/>
          <w:kern w:val="0"/>
        </w:rPr>
        <w:t xml:space="preserve"> are major drivers for Zero Trust. IBM reports that attackers continue to steal and sell identities at scale and that identity-based attacks remain a major intrusion pattern</w:t>
      </w:r>
      <w:r w:rsidRPr="00156C32">
        <w:rPr>
          <w:rFonts w:cs="Times New Roman"/>
          <w:kern w:val="0"/>
        </w:rPr>
        <w:t xml:space="preserve"> </w:t>
      </w:r>
      <w:r w:rsidRPr="00156C32">
        <w:rPr>
          <w:rFonts w:cs="Times New Roman"/>
          <w:kern w:val="0"/>
        </w:rPr>
        <w:fldChar w:fldCharType="begin"/>
      </w:r>
      <w:r w:rsidRPr="00156C32">
        <w:rPr>
          <w:rFonts w:cs="Times New Roman"/>
          <w:kern w:val="0"/>
        </w:rPr>
        <w:instrText xml:space="preserve"> ADDIN ZOTERO_ITEM CSL_CITATION {"citationID":"g5mxdMOr","properties":{"unsorted":false,"formattedCitation":"[10]","plainCitation":"[10]","noteIndex":0},"citationItems":[{"id":81,"uris":["http://zotero.org/users/local/ZNi8sr8v/items/AX7Q8HWZ"],"itemData":{"id":81,"type":"report","publisher":"IBM","title":"X-Force Threat Intelligence Index 2025","URL":"https://www.ibm.com/think/x-force/x-force-threat-intelligence-index-2025-attackers-steal-sell-user-identities","author":[{"literal":"IBM"}],"issued":{"date-parts":[["2025"]]}}}],"schema":"https://github.com/citation-style-language/schema/raw/master/csl-citation.json"} </w:instrText>
      </w:r>
      <w:r w:rsidRPr="00156C32">
        <w:rPr>
          <w:rFonts w:cs="Times New Roman"/>
          <w:kern w:val="0"/>
        </w:rPr>
        <w:fldChar w:fldCharType="separate"/>
      </w:r>
      <w:r w:rsidRPr="00156C32">
        <w:t>[10]</w:t>
      </w:r>
      <w:r w:rsidRPr="00156C32">
        <w:rPr>
          <w:rFonts w:cs="Times New Roman"/>
          <w:kern w:val="0"/>
        </w:rPr>
        <w:fldChar w:fldCharType="end"/>
      </w:r>
      <w:r w:rsidRPr="00156C32">
        <w:rPr>
          <w:rFonts w:cs="Times New Roman"/>
          <w:kern w:val="0"/>
        </w:rPr>
        <w:t xml:space="preserve">. Microsoft also reports a high volume of </w:t>
      </w:r>
      <w:r w:rsidR="00F7709E" w:rsidRPr="00156C32">
        <w:rPr>
          <w:rFonts w:cs="Times New Roman"/>
          <w:kern w:val="0"/>
        </w:rPr>
        <w:t>identity</w:t>
      </w:r>
      <w:r w:rsidRPr="00156C32">
        <w:rPr>
          <w:rFonts w:cs="Times New Roman"/>
          <w:kern w:val="0"/>
        </w:rPr>
        <w:t xml:space="preserve">, phishing and </w:t>
      </w:r>
      <w:r w:rsidR="00F7709E" w:rsidRPr="00156C32">
        <w:rPr>
          <w:rFonts w:cs="Times New Roman"/>
          <w:kern w:val="0"/>
        </w:rPr>
        <w:t>ransomware</w:t>
      </w:r>
      <w:r w:rsidRPr="00156C32">
        <w:rPr>
          <w:rFonts w:cs="Times New Roman"/>
          <w:kern w:val="0"/>
        </w:rPr>
        <w:t>-related threats across its global telemetry</w:t>
      </w:r>
      <w:r w:rsidR="00F7709E" w:rsidRPr="00156C32">
        <w:rPr>
          <w:rFonts w:cs="Times New Roman"/>
          <w:kern w:val="0"/>
        </w:rPr>
        <w:t xml:space="preserve"> </w:t>
      </w:r>
      <w:r w:rsidR="00F7709E" w:rsidRPr="00156C32">
        <w:rPr>
          <w:rFonts w:cs="Times New Roman"/>
          <w:kern w:val="0"/>
        </w:rPr>
        <w:fldChar w:fldCharType="begin"/>
      </w:r>
      <w:r w:rsidR="00F7709E" w:rsidRPr="00156C32">
        <w:rPr>
          <w:rFonts w:cs="Times New Roman"/>
          <w:kern w:val="0"/>
        </w:rPr>
        <w:instrText xml:space="preserve"> ADDIN ZOTERO_ITEM CSL_CITATION {"citationID":"UDG6Kb6e","properties":{"unsorted":false,"formattedCitation":"[11]","plainCitation":"[11]","noteIndex":0},"citationItems":[{"id":82,"uris":["http://zotero.org/users/local/ZNi8sr8v/items/73P7V3RA"],"itemData":{"id":82,"type":"report","publisher":"Microsoft Threat Intelligence","title":"Microsoft Digital Defense Report 2024","URL":"https://www.microsoft.com/en-us/security/security-insider/threat-landscape/microsoft-digital-defense-report-2024","author":[{"literal":"Microsoft"}],"issued":{"date-parts":[["2024"]]}}}],"schema":"https://github.com/citation-style-language/schema/raw/master/csl-citation.json"} </w:instrText>
      </w:r>
      <w:r w:rsidR="00F7709E" w:rsidRPr="00156C32">
        <w:rPr>
          <w:rFonts w:cs="Times New Roman"/>
          <w:kern w:val="0"/>
        </w:rPr>
        <w:fldChar w:fldCharType="separate"/>
      </w:r>
      <w:r w:rsidR="00F7709E" w:rsidRPr="00156C32">
        <w:t>[11]</w:t>
      </w:r>
      <w:r w:rsidR="00F7709E" w:rsidRPr="00156C32">
        <w:rPr>
          <w:rFonts w:cs="Times New Roman"/>
          <w:kern w:val="0"/>
        </w:rPr>
        <w:fldChar w:fldCharType="end"/>
      </w:r>
      <w:r w:rsidR="00F7709E" w:rsidRPr="00156C32">
        <w:rPr>
          <w:rFonts w:cs="Times New Roman"/>
          <w:kern w:val="0"/>
        </w:rPr>
        <w:t>.</w:t>
      </w:r>
      <w:r w:rsidR="001263B6" w:rsidRPr="00156C32">
        <w:rPr>
          <w:rFonts w:cs="Times New Roman"/>
          <w:kern w:val="0"/>
        </w:rPr>
        <w:t xml:space="preserve"> The evidence indicates that access control, MFA, conditional </w:t>
      </w:r>
      <w:proofErr w:type="gramStart"/>
      <w:r w:rsidR="001263B6" w:rsidRPr="00156C32">
        <w:rPr>
          <w:rFonts w:cs="Times New Roman"/>
          <w:kern w:val="0"/>
        </w:rPr>
        <w:t>access</w:t>
      </w:r>
      <w:proofErr w:type="gramEnd"/>
      <w:r w:rsidR="001263B6" w:rsidRPr="00156C32">
        <w:rPr>
          <w:rFonts w:cs="Times New Roman"/>
          <w:kern w:val="0"/>
        </w:rPr>
        <w:t xml:space="preserve"> and privileged access governance are </w:t>
      </w:r>
      <w:r w:rsidR="00C105D1" w:rsidRPr="00156C32">
        <w:rPr>
          <w:rFonts w:cs="Times New Roman"/>
          <w:kern w:val="0"/>
        </w:rPr>
        <w:t>not optional controls</w:t>
      </w:r>
      <w:r w:rsidR="001263B6" w:rsidRPr="00156C32">
        <w:rPr>
          <w:rFonts w:cs="Times New Roman"/>
          <w:kern w:val="0"/>
        </w:rPr>
        <w:t>, they are foundational.</w:t>
      </w:r>
    </w:p>
    <w:p w14:paraId="53840565" w14:textId="2F7D6757" w:rsidR="001263B6" w:rsidRPr="00156C32" w:rsidRDefault="001263B6" w:rsidP="00276DD4">
      <w:pPr>
        <w:rPr>
          <w:rFonts w:cs="Times New Roman"/>
          <w:kern w:val="0"/>
        </w:rPr>
      </w:pPr>
      <w:r w:rsidRPr="00156C32">
        <w:rPr>
          <w:rFonts w:cs="Times New Roman"/>
          <w:kern w:val="0"/>
        </w:rPr>
        <w:t xml:space="preserve">Third-party ICT risk matters because modern </w:t>
      </w:r>
      <w:r w:rsidR="00C105D1" w:rsidRPr="00156C32">
        <w:rPr>
          <w:rFonts w:cs="Times New Roman"/>
          <w:kern w:val="0"/>
        </w:rPr>
        <w:t>organisations operate through digital supply chains</w:t>
      </w:r>
      <w:r w:rsidRPr="00156C32">
        <w:rPr>
          <w:rFonts w:cs="Times New Roman"/>
          <w:kern w:val="0"/>
        </w:rPr>
        <w:t xml:space="preserve">. DORA </w:t>
      </w:r>
      <w:r w:rsidR="00CC3929" w:rsidRPr="00156C32">
        <w:rPr>
          <w:rFonts w:cs="Times New Roman"/>
          <w:kern w:val="0"/>
        </w:rPr>
        <w:t>explicitly</w:t>
      </w:r>
      <w:r w:rsidRPr="00156C32">
        <w:rPr>
          <w:rFonts w:cs="Times New Roman"/>
          <w:kern w:val="0"/>
        </w:rPr>
        <w:t xml:space="preserve"> requires financial entities to manage ICT third-party risk, maintain</w:t>
      </w:r>
      <w:r w:rsidR="00CC3929" w:rsidRPr="00156C32">
        <w:rPr>
          <w:rFonts w:cs="Times New Roman"/>
          <w:kern w:val="0"/>
        </w:rPr>
        <w:t xml:space="preserve"> ICT risk management frameworks, detect incidents, recover services and test resilience </w:t>
      </w:r>
      <w:r w:rsidR="009D0CF9" w:rsidRPr="00156C32">
        <w:rPr>
          <w:rFonts w:cs="Times New Roman"/>
          <w:kern w:val="0"/>
        </w:rPr>
        <w:fldChar w:fldCharType="begin"/>
      </w:r>
      <w:r w:rsidR="009D0CF9" w:rsidRPr="00156C32">
        <w:rPr>
          <w:rFonts w:cs="Times New Roman"/>
          <w:kern w:val="0"/>
        </w:rPr>
        <w:instrText xml:space="preserve"> ADDIN ZOTERO_ITEM CSL_CITATION {"citationID":"Jaj2cXVD","properties":{"unsorted":false,"formattedCitation":"[5]","plainCitation":"[5]","noteIndex":0},"citationItems":[{"id":76,"uris":["http://zotero.org/users/local/ZNi8sr8v/items/D6H5VDGY"],"itemData":{"id":76,"type":"legislation","container-title":"Official Journal of the European Union","page":"1-79","title":"Regulation (EU) 2022/2554 on Digital Operational Resilience for the Financial Sector (DORA)","URL":"https://eur-lex.europa.eu/eli/reg/2022/2554/oj","volume":"L333","author":[{"literal":"European Parliament"},{"literal":"Council of the European Union"}],"issued":{"date-parts":[["2022",12,14]]}}}],"schema":"https://github.com/citation-style-language/schema/raw/master/csl-citation.json"} </w:instrText>
      </w:r>
      <w:r w:rsidR="009D0CF9" w:rsidRPr="00156C32">
        <w:rPr>
          <w:rFonts w:cs="Times New Roman"/>
          <w:kern w:val="0"/>
        </w:rPr>
        <w:fldChar w:fldCharType="separate"/>
      </w:r>
      <w:r w:rsidR="009D0CF9" w:rsidRPr="00156C32">
        <w:t>[5]</w:t>
      </w:r>
      <w:r w:rsidR="009D0CF9" w:rsidRPr="00156C32">
        <w:rPr>
          <w:rFonts w:cs="Times New Roman"/>
          <w:kern w:val="0"/>
        </w:rPr>
        <w:fldChar w:fldCharType="end"/>
      </w:r>
      <w:r w:rsidR="005E02C1" w:rsidRPr="00156C32">
        <w:rPr>
          <w:rFonts w:cs="Times New Roman"/>
          <w:kern w:val="0"/>
        </w:rPr>
        <w:t>. Therefore, supplier assurance is not simply procurement administration but a regulatory and resilience requirement.</w:t>
      </w:r>
    </w:p>
    <w:p w14:paraId="03766135" w14:textId="02146476" w:rsidR="005E02C1" w:rsidRPr="00156C32" w:rsidRDefault="005E02C1" w:rsidP="00276DD4">
      <w:pPr>
        <w:rPr>
          <w:rFonts w:cs="Times New Roman"/>
          <w:kern w:val="0"/>
        </w:rPr>
      </w:pPr>
      <w:r w:rsidRPr="00156C32">
        <w:rPr>
          <w:rFonts w:cs="Times New Roman"/>
          <w:kern w:val="0"/>
        </w:rPr>
        <w:lastRenderedPageBreak/>
        <w:t>Regulation increases the need for governance and evidence. GDPR requires the security of processing, data protection by design &amp; by default</w:t>
      </w:r>
      <w:r w:rsidR="002A4C3B" w:rsidRPr="00156C32">
        <w:rPr>
          <w:rFonts w:cs="Times New Roman"/>
          <w:kern w:val="0"/>
        </w:rPr>
        <w:t xml:space="preserve">, breach notification, processor controls and accountability </w:t>
      </w:r>
      <w:r w:rsidR="002A4C3B" w:rsidRPr="00156C32">
        <w:rPr>
          <w:rFonts w:cs="Times New Roman"/>
          <w:kern w:val="0"/>
        </w:rPr>
        <w:fldChar w:fldCharType="begin"/>
      </w:r>
      <w:r w:rsidR="002A4C3B" w:rsidRPr="00156C32">
        <w:rPr>
          <w:rFonts w:cs="Times New Roman"/>
          <w:kern w:val="0"/>
        </w:rPr>
        <w:instrText xml:space="preserve"> ADDIN ZOTERO_ITEM CSL_CITATION {"citationID":"TQ16dWGP","properties":{"unsorted":false,"formattedCitation":"[4]","plainCitation":"[4]","noteIndex":0},"citationItems":[{"id":75,"uris":["http://zotero.org/users/local/ZNi8sr8v/items/MK58I3WE"],"itemData":{"id":75,"type":"legislation","container-title":"Official Journal of the European Union","page":"1-88","title":"Regulation (EU) 2016/679: General Data Protection Regulation","URL":"https://eur-lex.europa.eu/eli/reg/2016/679/oj/eng","volume":"L119","author":[{"literal":"European Parliament"},{"literal":"Council of the European Union"}],"issued":{"date-parts":[["2016",4,27]]}}}],"schema":"https://github.com/citation-style-language/schema/raw/master/csl-citation.json"} </w:instrText>
      </w:r>
      <w:r w:rsidR="002A4C3B" w:rsidRPr="00156C32">
        <w:rPr>
          <w:rFonts w:cs="Times New Roman"/>
          <w:kern w:val="0"/>
        </w:rPr>
        <w:fldChar w:fldCharType="separate"/>
      </w:r>
      <w:r w:rsidR="002A4C3B" w:rsidRPr="00156C32">
        <w:t>[4]</w:t>
      </w:r>
      <w:r w:rsidR="002A4C3B" w:rsidRPr="00156C32">
        <w:rPr>
          <w:rFonts w:cs="Times New Roman"/>
          <w:kern w:val="0"/>
        </w:rPr>
        <w:fldChar w:fldCharType="end"/>
      </w:r>
      <w:r w:rsidR="002A4C3B" w:rsidRPr="00156C32">
        <w:rPr>
          <w:rFonts w:cs="Times New Roman"/>
          <w:kern w:val="0"/>
        </w:rPr>
        <w:t>. DORA adds financial-sector operational resilience requirements covering ICT governance, incident reporting, resilience testing, backup, recovery</w:t>
      </w:r>
      <w:r w:rsidR="003D6973" w:rsidRPr="00156C32">
        <w:rPr>
          <w:rFonts w:cs="Times New Roman"/>
          <w:kern w:val="0"/>
        </w:rPr>
        <w:t xml:space="preserve"> and third-party ICT providers </w:t>
      </w:r>
      <w:r w:rsidR="003D6973" w:rsidRPr="00156C32">
        <w:rPr>
          <w:rFonts w:cs="Times New Roman"/>
          <w:kern w:val="0"/>
        </w:rPr>
        <w:fldChar w:fldCharType="begin"/>
      </w:r>
      <w:r w:rsidR="003D6973" w:rsidRPr="00156C32">
        <w:rPr>
          <w:rFonts w:cs="Times New Roman"/>
          <w:kern w:val="0"/>
        </w:rPr>
        <w:instrText xml:space="preserve"> ADDIN ZOTERO_ITEM CSL_CITATION {"citationID":"cSZ8FXni","properties":{"unsorted":false,"formattedCitation":"[5]","plainCitation":"[5]","noteIndex":0},"citationItems":[{"id":76,"uris":["http://zotero.org/users/local/ZNi8sr8v/items/D6H5VDGY"],"itemData":{"id":76,"type":"legislation","container-title":"Official Journal of the European Union","page":"1-79","title":"Regulation (EU) 2022/2554 on Digital Operational Resilience for the Financial Sector (DORA)","URL":"https://eur-lex.europa.eu/eli/reg/2022/2554/oj","volume":"L333","author":[{"literal":"European Parliament"},{"literal":"Council of the European Union"}],"issued":{"date-parts":[["2022",12,14]]}}}],"schema":"https://github.com/citation-style-language/schema/raw/master/csl-citation.json"} </w:instrText>
      </w:r>
      <w:r w:rsidR="003D6973" w:rsidRPr="00156C32">
        <w:rPr>
          <w:rFonts w:cs="Times New Roman"/>
          <w:kern w:val="0"/>
        </w:rPr>
        <w:fldChar w:fldCharType="separate"/>
      </w:r>
      <w:r w:rsidR="003D6973" w:rsidRPr="00156C32">
        <w:t>[5]</w:t>
      </w:r>
      <w:r w:rsidR="003D6973" w:rsidRPr="00156C32">
        <w:rPr>
          <w:rFonts w:cs="Times New Roman"/>
          <w:kern w:val="0"/>
        </w:rPr>
        <w:fldChar w:fldCharType="end"/>
      </w:r>
      <w:r w:rsidR="00B11A48" w:rsidRPr="00156C32">
        <w:rPr>
          <w:rFonts w:cs="Times New Roman"/>
          <w:kern w:val="0"/>
        </w:rPr>
        <w:t xml:space="preserve">. NIST CSF 2.0 is relevant because it includes </w:t>
      </w:r>
      <w:r w:rsidR="00C105D1" w:rsidRPr="00156C32">
        <w:rPr>
          <w:rFonts w:cs="Times New Roman"/>
          <w:kern w:val="0"/>
        </w:rPr>
        <w:t>Govern, Identify, Protect</w:t>
      </w:r>
      <w:r w:rsidR="00B11A48" w:rsidRPr="00156C32">
        <w:rPr>
          <w:rFonts w:cs="Times New Roman"/>
          <w:kern w:val="0"/>
        </w:rPr>
        <w:t xml:space="preserve">, Detect, Respond and Recover functions, helping </w:t>
      </w:r>
      <w:r w:rsidR="00451015" w:rsidRPr="00156C32">
        <w:rPr>
          <w:rFonts w:cs="Times New Roman"/>
          <w:kern w:val="0"/>
        </w:rPr>
        <w:t>organisations</w:t>
      </w:r>
      <w:r w:rsidR="00B11A48" w:rsidRPr="00156C32">
        <w:rPr>
          <w:rFonts w:cs="Times New Roman"/>
          <w:kern w:val="0"/>
        </w:rPr>
        <w:t xml:space="preserve"> communicate cyber risks to boards and structure evidence</w:t>
      </w:r>
      <w:r w:rsidR="00451015" w:rsidRPr="00156C32">
        <w:rPr>
          <w:rFonts w:cs="Times New Roman"/>
          <w:kern w:val="0"/>
        </w:rPr>
        <w:t xml:space="preserve"> </w:t>
      </w:r>
      <w:r w:rsidR="00451015" w:rsidRPr="00156C32">
        <w:rPr>
          <w:rFonts w:cs="Times New Roman"/>
          <w:kern w:val="0"/>
        </w:rPr>
        <w:fldChar w:fldCharType="begin"/>
      </w:r>
      <w:r w:rsidR="00451015" w:rsidRPr="00156C32">
        <w:rPr>
          <w:rFonts w:cs="Times New Roman"/>
          <w:kern w:val="0"/>
        </w:rPr>
        <w:instrText xml:space="preserve"> ADDIN ZOTERO_ITEM CSL_CITATION {"citationID":"6momLmDn","properties":{"unsorted":false,"formattedCitation":"[12]","plainCitation":"[12]","noteIndex":0},"citationItems":[{"id":77,"uris":["http://zotero.org/users/local/ZNi8sr8v/items/2SJ984CQ"],"itemData":{"id":77,"type":"report","collection-title":"NIST Cybersecurity White Paper 29","DOI":"10.6028/NIST.CSWP.29","publisher":"National Institute of Standards and Technology","title":"The NIST Cybersecurity Framework (CSF) 2.0","URL":"https://www.nist.gov/cyberframework","author":[{"literal":"National Institute of Standards and Technology"}],"issued":{"date-parts":[["2024",2,26]]}}}],"schema":"https://github.com/citation-style-language/schema/raw/master/csl-citation.json"} </w:instrText>
      </w:r>
      <w:r w:rsidR="00451015" w:rsidRPr="00156C32">
        <w:rPr>
          <w:rFonts w:cs="Times New Roman"/>
          <w:kern w:val="0"/>
        </w:rPr>
        <w:fldChar w:fldCharType="separate"/>
      </w:r>
      <w:r w:rsidR="00451015" w:rsidRPr="00156C32">
        <w:t>[12]</w:t>
      </w:r>
      <w:r w:rsidR="00451015" w:rsidRPr="00156C32">
        <w:rPr>
          <w:rFonts w:cs="Times New Roman"/>
          <w:kern w:val="0"/>
        </w:rPr>
        <w:fldChar w:fldCharType="end"/>
      </w:r>
    </w:p>
    <w:p w14:paraId="2953EC68" w14:textId="77777777" w:rsidR="00477B4E" w:rsidRDefault="00477B4E" w:rsidP="00276DD4">
      <w:pPr>
        <w:rPr>
          <w:rFonts w:cs="Times New Roman"/>
          <w:kern w:val="0"/>
        </w:rPr>
      </w:pPr>
      <w:r w:rsidRPr="00477B4E">
        <w:rPr>
          <w:rFonts w:cs="Times New Roman"/>
          <w:kern w:val="0"/>
        </w:rPr>
        <w:t xml:space="preserve">Taken together, the literature shows that Zero Trust is credible but </w:t>
      </w:r>
      <w:proofErr w:type="gramStart"/>
      <w:r w:rsidRPr="00477B4E">
        <w:rPr>
          <w:rFonts w:cs="Times New Roman"/>
          <w:kern w:val="0"/>
        </w:rPr>
        <w:t>maturity-dependent</w:t>
      </w:r>
      <w:proofErr w:type="gramEnd"/>
      <w:r w:rsidRPr="00477B4E">
        <w:rPr>
          <w:rFonts w:cs="Times New Roman"/>
          <w:kern w:val="0"/>
        </w:rPr>
        <w:t xml:space="preserve">. NIST, Syed et al. and He et al. support identity, segmentation, </w:t>
      </w:r>
      <w:proofErr w:type="gramStart"/>
      <w:r w:rsidRPr="00477B4E">
        <w:rPr>
          <w:rFonts w:cs="Times New Roman"/>
          <w:kern w:val="0"/>
        </w:rPr>
        <w:t>monitoring</w:t>
      </w:r>
      <w:proofErr w:type="gramEnd"/>
      <w:r w:rsidRPr="00477B4E">
        <w:rPr>
          <w:rFonts w:cs="Times New Roman"/>
          <w:kern w:val="0"/>
        </w:rPr>
        <w:t xml:space="preserve"> and continuous verification, while cloud, ransomware, </w:t>
      </w:r>
      <w:proofErr w:type="gramStart"/>
      <w:r w:rsidRPr="00477B4E">
        <w:rPr>
          <w:rFonts w:cs="Times New Roman"/>
          <w:kern w:val="0"/>
        </w:rPr>
        <w:t>AI</w:t>
      </w:r>
      <w:proofErr w:type="gramEnd"/>
      <w:r w:rsidRPr="00477B4E">
        <w:rPr>
          <w:rFonts w:cs="Times New Roman"/>
          <w:kern w:val="0"/>
        </w:rPr>
        <w:t xml:space="preserve"> and regulatory sources show why these controls must </w:t>
      </w:r>
      <w:proofErr w:type="gramStart"/>
      <w:r w:rsidRPr="00477B4E">
        <w:rPr>
          <w:rFonts w:cs="Times New Roman"/>
          <w:kern w:val="0"/>
        </w:rPr>
        <w:t>be governed</w:t>
      </w:r>
      <w:proofErr w:type="gramEnd"/>
      <w:r w:rsidRPr="00477B4E">
        <w:rPr>
          <w:rFonts w:cs="Times New Roman"/>
          <w:kern w:val="0"/>
        </w:rPr>
        <w:t xml:space="preserve"> and evidenced. Therefore, Aegis should adopt Zero Trust not as a stand-alone technical architecture, but as a board-governed programme combining security engineering, compliance evidence, supplier assurance, AI </w:t>
      </w:r>
      <w:proofErr w:type="gramStart"/>
      <w:r w:rsidRPr="00477B4E">
        <w:rPr>
          <w:rFonts w:cs="Times New Roman"/>
          <w:kern w:val="0"/>
        </w:rPr>
        <w:t>governance</w:t>
      </w:r>
      <w:proofErr w:type="gramEnd"/>
      <w:r w:rsidRPr="00477B4E">
        <w:rPr>
          <w:rFonts w:cs="Times New Roman"/>
          <w:kern w:val="0"/>
        </w:rPr>
        <w:t xml:space="preserve"> and resilience testing.</w:t>
      </w:r>
    </w:p>
    <w:p w14:paraId="26910F49" w14:textId="77777777" w:rsidR="00D5587E" w:rsidRPr="00D5587E" w:rsidRDefault="00D5587E" w:rsidP="00D5587E">
      <w:pPr>
        <w:sectPr w:rsidR="00D5587E" w:rsidRPr="00D5587E" w:rsidSect="005A07E9">
          <w:type w:val="continuous"/>
          <w:pgSz w:w="11906" w:h="16838"/>
          <w:pgMar w:top="1440" w:right="1440" w:bottom="1440" w:left="1440" w:header="708" w:footer="708" w:gutter="0"/>
          <w:cols w:num="2" w:space="708"/>
          <w:docGrid w:linePitch="360"/>
        </w:sectPr>
      </w:pPr>
    </w:p>
    <w:p w14:paraId="614453B7" w14:textId="56AF9780" w:rsidR="009C09A1" w:rsidRPr="00156C32" w:rsidRDefault="00F63E59" w:rsidP="00F63E59">
      <w:pPr>
        <w:pStyle w:val="Heading2"/>
        <w:rPr>
          <w:rFonts w:asciiTheme="minorHAnsi" w:hAnsiTheme="minorHAnsi"/>
        </w:rPr>
      </w:pPr>
      <w:bookmarkStart w:id="5" w:name="_Toc234924618"/>
      <w:r w:rsidRPr="00156C32">
        <w:rPr>
          <w:rFonts w:asciiTheme="minorHAnsi" w:hAnsiTheme="minorHAnsi"/>
        </w:rPr>
        <w:t>4. Critical Analysis of Zero Trust Principles</w:t>
      </w:r>
      <w:bookmarkEnd w:id="5"/>
    </w:p>
    <w:p w14:paraId="26041B7E" w14:textId="77777777" w:rsidR="005A07E9" w:rsidRDefault="005A07E9" w:rsidP="00385118">
      <w:pPr>
        <w:sectPr w:rsidR="005A07E9" w:rsidSect="005A07E9">
          <w:type w:val="continuous"/>
          <w:pgSz w:w="11906" w:h="16838"/>
          <w:pgMar w:top="1440" w:right="1440" w:bottom="1440" w:left="1440" w:header="708" w:footer="708" w:gutter="0"/>
          <w:cols w:space="708"/>
          <w:docGrid w:linePitch="360"/>
        </w:sectPr>
      </w:pPr>
    </w:p>
    <w:p w14:paraId="39DA43E8" w14:textId="62DAEA2B" w:rsidR="00415BDC" w:rsidRPr="00156C32" w:rsidRDefault="00F9105D" w:rsidP="00385118">
      <w:r w:rsidRPr="00156C32">
        <w:t xml:space="preserve">Identity-centric access control is one of the strongest foundations of Zero Trust because </w:t>
      </w:r>
      <w:proofErr w:type="gramStart"/>
      <w:r w:rsidRPr="00156C32">
        <w:t>many</w:t>
      </w:r>
      <w:proofErr w:type="gramEnd"/>
      <w:r w:rsidRPr="00156C32">
        <w:t xml:space="preserve"> modern attacks misuse valid identities rather than attempting to break encryption directly.</w:t>
      </w:r>
      <w:r w:rsidR="00C74666" w:rsidRPr="00156C32">
        <w:t xml:space="preserve"> </w:t>
      </w:r>
      <w:r w:rsidR="002977B7" w:rsidRPr="00156C32">
        <w:t xml:space="preserve">MFA, conditional </w:t>
      </w:r>
      <w:proofErr w:type="gramStart"/>
      <w:r w:rsidR="002977B7" w:rsidRPr="00156C32">
        <w:t>access</w:t>
      </w:r>
      <w:proofErr w:type="gramEnd"/>
      <w:r w:rsidR="002977B7" w:rsidRPr="00156C32">
        <w:t xml:space="preserve"> and identity governance reduce the likelihood that a stolen password grants access to the estate</w:t>
      </w:r>
      <w:r w:rsidR="00002E11" w:rsidRPr="00156C32">
        <w:t xml:space="preserve">. </w:t>
      </w:r>
      <w:r w:rsidR="004C5A30" w:rsidRPr="00156C32">
        <w:t xml:space="preserve">However, identity controls can fail where supporting processes are weak, such as poorly designed MFA, push-fatigue approval, dormant accounts, excessive </w:t>
      </w:r>
      <w:proofErr w:type="gramStart"/>
      <w:r w:rsidR="004C5A30" w:rsidRPr="00156C32">
        <w:t>privileges</w:t>
      </w:r>
      <w:proofErr w:type="gramEnd"/>
      <w:r w:rsidR="004C5A30" w:rsidRPr="00156C32">
        <w:t xml:space="preserve"> or ineffective access reviews.</w:t>
      </w:r>
      <w:r w:rsidR="00002E11" w:rsidRPr="00156C32">
        <w:t xml:space="preserve"> Therefore, identity must </w:t>
      </w:r>
      <w:proofErr w:type="gramStart"/>
      <w:r w:rsidR="00002E11" w:rsidRPr="00156C32">
        <w:t>be combined</w:t>
      </w:r>
      <w:proofErr w:type="gramEnd"/>
      <w:r w:rsidR="00002E11" w:rsidRPr="00156C32">
        <w:t xml:space="preserve"> with behavioural analytics, </w:t>
      </w:r>
      <w:r w:rsidR="00147F7B" w:rsidRPr="00156C32">
        <w:t xml:space="preserve">privileged access </w:t>
      </w:r>
      <w:proofErr w:type="gramStart"/>
      <w:r w:rsidR="00147F7B" w:rsidRPr="00156C32">
        <w:t>management</w:t>
      </w:r>
      <w:proofErr w:type="gramEnd"/>
      <w:r w:rsidR="00147F7B" w:rsidRPr="00156C32">
        <w:t xml:space="preserve"> and user education.</w:t>
      </w:r>
    </w:p>
    <w:p w14:paraId="5B4CF4BA" w14:textId="24367364" w:rsidR="009C09A1" w:rsidRPr="00156C32" w:rsidRDefault="007B5352" w:rsidP="00385118">
      <w:r w:rsidRPr="00156C32">
        <w:t>Least privilege</w:t>
      </w:r>
      <w:r w:rsidR="00A03FDB" w:rsidRPr="00156C32">
        <w:t xml:space="preserve"> reduces the blast radius by ensuring that users, </w:t>
      </w:r>
      <w:proofErr w:type="gramStart"/>
      <w:r w:rsidR="00A03FDB" w:rsidRPr="00156C32">
        <w:t>services</w:t>
      </w:r>
      <w:proofErr w:type="gramEnd"/>
      <w:r w:rsidR="00A03FDB" w:rsidRPr="00156C32">
        <w:t xml:space="preserve"> and administrators only access what they need.</w:t>
      </w:r>
      <w:r w:rsidR="007E6F71" w:rsidRPr="00156C32">
        <w:t xml:space="preserve"> Compared with traditional perimeter-based </w:t>
      </w:r>
      <w:r w:rsidR="00995B86" w:rsidRPr="00156C32">
        <w:t>security</w:t>
      </w:r>
      <w:r w:rsidR="007E6F71" w:rsidRPr="00156C32">
        <w:t xml:space="preserve">, where </w:t>
      </w:r>
      <w:r w:rsidR="007E6F71" w:rsidRPr="00156C32">
        <w:t xml:space="preserve">internal users may gain broad access after network entry, least </w:t>
      </w:r>
      <w:r w:rsidR="00057716" w:rsidRPr="00156C32">
        <w:t>privilege</w:t>
      </w:r>
      <w:r w:rsidR="007E6F71" w:rsidRPr="00156C32">
        <w:t xml:space="preserve"> restricts lateral movement</w:t>
      </w:r>
      <w:r w:rsidR="00995B86" w:rsidRPr="00156C32">
        <w:t xml:space="preserve">. A limitation of this approach is operational friction; if roles are poorly designed, users can </w:t>
      </w:r>
      <w:proofErr w:type="gramStart"/>
      <w:r w:rsidR="00995B86" w:rsidRPr="00156C32">
        <w:t>be blocked</w:t>
      </w:r>
      <w:proofErr w:type="gramEnd"/>
      <w:r w:rsidR="00995B86" w:rsidRPr="00156C32">
        <w:t xml:space="preserve"> from legitimate work or request excessive exceptions. </w:t>
      </w:r>
      <w:r w:rsidR="004C5A30" w:rsidRPr="00156C32">
        <w:t xml:space="preserve">For Aegis, the practical implication is that least privilege must be role-based, regularly </w:t>
      </w:r>
      <w:proofErr w:type="gramStart"/>
      <w:r w:rsidR="004C5A30" w:rsidRPr="00156C32">
        <w:t>reviewed</w:t>
      </w:r>
      <w:proofErr w:type="gramEnd"/>
      <w:r w:rsidR="004C5A30" w:rsidRPr="00156C32">
        <w:t xml:space="preserve"> and supported by efficient approval workflows, otherwise users may seek workarounds or accumulate excessive access over time.</w:t>
      </w:r>
    </w:p>
    <w:p w14:paraId="3504DA5B" w14:textId="28487C33" w:rsidR="004C4A69" w:rsidRPr="00156C32" w:rsidRDefault="004C4A69" w:rsidP="00385118">
      <w:r w:rsidRPr="00156C32">
        <w:t>Continuous authentication and authorisation improve security by evaluating risk throughout a session. Device health, location, impossible travel, anomal</w:t>
      </w:r>
      <w:r w:rsidR="00431C92" w:rsidRPr="00156C32">
        <w:t xml:space="preserve">ous </w:t>
      </w:r>
      <w:proofErr w:type="gramStart"/>
      <w:r w:rsidR="00431C92" w:rsidRPr="00156C32">
        <w:t>behaviour</w:t>
      </w:r>
      <w:proofErr w:type="gramEnd"/>
      <w:r w:rsidR="00431C92" w:rsidRPr="00156C32">
        <w:t xml:space="preserve"> and application sensitivity can all influence access. However, continuous verification </w:t>
      </w:r>
      <w:r w:rsidR="007B5352" w:rsidRPr="00156C32">
        <w:t>requires reliable telemetry</w:t>
      </w:r>
      <w:r w:rsidR="00431C92" w:rsidRPr="00156C32">
        <w:t xml:space="preserve"> and mature policy design.</w:t>
      </w:r>
      <w:r w:rsidR="00967EB1" w:rsidRPr="00156C32">
        <w:t xml:space="preserve"> Poorly tuned </w:t>
      </w:r>
      <w:r w:rsidR="00967EB1" w:rsidRPr="00156C32">
        <w:lastRenderedPageBreak/>
        <w:t>conditional access may generate false positives or exclude legitimate users, particularly during travel or remote work.</w:t>
      </w:r>
    </w:p>
    <w:p w14:paraId="3CD35CFF" w14:textId="0BEBF243" w:rsidR="00967EB1" w:rsidRPr="00156C32" w:rsidRDefault="00967EB1" w:rsidP="00385118">
      <w:r w:rsidRPr="00156C32">
        <w:t xml:space="preserve">Segmentation and micro-segmentation are important because they limit movement between cloud workloads, development </w:t>
      </w:r>
      <w:proofErr w:type="gramStart"/>
      <w:r w:rsidRPr="00156C32">
        <w:t>environments</w:t>
      </w:r>
      <w:proofErr w:type="gramEnd"/>
      <w:r w:rsidRPr="00156C32">
        <w:t xml:space="preserve"> and product data stores. </w:t>
      </w:r>
      <w:r w:rsidR="00B52FFA" w:rsidRPr="00156C32">
        <w:t xml:space="preserve">However, segmentation depends on accurate asset inventories and application dependency mapping, which </w:t>
      </w:r>
      <w:proofErr w:type="gramStart"/>
      <w:r w:rsidR="00B52FFA" w:rsidRPr="00156C32">
        <w:t>many</w:t>
      </w:r>
      <w:proofErr w:type="gramEnd"/>
      <w:r w:rsidR="00B52FFA" w:rsidRPr="00156C32">
        <w:t xml:space="preserve"> organisations lack. </w:t>
      </w:r>
      <w:r w:rsidR="006B39F9" w:rsidRPr="00156C32">
        <w:t xml:space="preserve">Weak </w:t>
      </w:r>
      <w:r w:rsidR="007B5352" w:rsidRPr="00156C32">
        <w:t>asset visibility</w:t>
      </w:r>
      <w:r w:rsidR="006B39F9" w:rsidRPr="00156C32">
        <w:t xml:space="preserve"> can cause broken services </w:t>
      </w:r>
      <w:r w:rsidR="00B52FFA" w:rsidRPr="00156C32">
        <w:t>and/or</w:t>
      </w:r>
      <w:r w:rsidR="006B39F9" w:rsidRPr="00156C32">
        <w:t xml:space="preserve"> unmanaged attack paths.</w:t>
      </w:r>
    </w:p>
    <w:p w14:paraId="4819472A" w14:textId="00F2BF51" w:rsidR="006B39F9" w:rsidRDefault="006B39F9" w:rsidP="00385118">
      <w:r w:rsidRPr="00156C32">
        <w:t xml:space="preserve">Data protection through classification, </w:t>
      </w:r>
      <w:proofErr w:type="gramStart"/>
      <w:r w:rsidRPr="00156C32">
        <w:t>encryption</w:t>
      </w:r>
      <w:proofErr w:type="gramEnd"/>
      <w:r w:rsidRPr="00156C32">
        <w:t xml:space="preserve"> and DLP support GDPR principles and reduce the impact of compromise. </w:t>
      </w:r>
      <w:r w:rsidR="00BE0CA4" w:rsidRPr="00156C32">
        <w:t>However, DLP may create alert fatigue where classification is inconsistent.</w:t>
      </w:r>
      <w:r w:rsidRPr="00156C32">
        <w:t xml:space="preserve"> </w:t>
      </w:r>
      <w:r w:rsidR="004270D8" w:rsidRPr="00156C32">
        <w:t xml:space="preserve">Visibility and analytics through SIEM/XDR enable detection, </w:t>
      </w:r>
      <w:r w:rsidR="006373F2" w:rsidRPr="00156C32">
        <w:t>but</w:t>
      </w:r>
      <w:r w:rsidR="004270D8" w:rsidRPr="00156C32">
        <w:t xml:space="preserve"> these technologies require skilled analysts and </w:t>
      </w:r>
      <w:r w:rsidR="006373F2" w:rsidRPr="00156C32">
        <w:t>high-quality</w:t>
      </w:r>
      <w:r w:rsidR="004270D8" w:rsidRPr="00156C32">
        <w:t xml:space="preserve"> log sources. Automation through SOAR can </w:t>
      </w:r>
      <w:r w:rsidR="006373F2" w:rsidRPr="00156C32">
        <w:t>accelerate</w:t>
      </w:r>
      <w:r w:rsidR="004270D8" w:rsidRPr="00156C32">
        <w:t xml:space="preserve"> response, </w:t>
      </w:r>
      <w:r w:rsidR="006373F2" w:rsidRPr="00156C32">
        <w:t>yet automation without governance may trigger inappropriate containment actions.</w:t>
      </w:r>
    </w:p>
    <w:p w14:paraId="284719A5" w14:textId="6FB58F7C" w:rsidR="007A3816" w:rsidRPr="00156C32" w:rsidRDefault="007A3816" w:rsidP="00385118">
      <w:r w:rsidRPr="007A3816">
        <w:t xml:space="preserve">A counterargument is that a growing fintech may achieve faster initial risk reduction through security hygiene, patching, backup </w:t>
      </w:r>
      <w:proofErr w:type="gramStart"/>
      <w:r w:rsidRPr="007A3816">
        <w:t>testing</w:t>
      </w:r>
      <w:proofErr w:type="gramEnd"/>
      <w:r w:rsidRPr="007A3816">
        <w:t xml:space="preserve"> and privileged access review than through complex micro-segmentation or advanced automation. </w:t>
      </w:r>
    </w:p>
    <w:p w14:paraId="6F473275" w14:textId="77777777" w:rsidR="00B8160E" w:rsidRDefault="00B8160E" w:rsidP="00B8160E">
      <w:r w:rsidRPr="00156C32">
        <w:t xml:space="preserve">Overall, Zero Trust is more suitable than traditional perimeter-based security for </w:t>
      </w:r>
      <w:r w:rsidRPr="00156C32">
        <w:t xml:space="preserve">Aegis because its users, applications, </w:t>
      </w:r>
      <w:proofErr w:type="gramStart"/>
      <w:r w:rsidRPr="00156C32">
        <w:t>data</w:t>
      </w:r>
      <w:proofErr w:type="gramEnd"/>
      <w:r w:rsidRPr="00156C32">
        <w:t xml:space="preserve"> and suppliers operate beyond a fixed corporate boundary. However, it should not </w:t>
      </w:r>
      <w:proofErr w:type="gramStart"/>
      <w:r w:rsidRPr="00156C32">
        <w:t>be presented</w:t>
      </w:r>
      <w:proofErr w:type="gramEnd"/>
      <w:r w:rsidRPr="00156C32">
        <w:t xml:space="preserve"> as a complete replacement for security hygiene or resilience planning. Its value is highest when identity governance, least privilege, device assurance, segmentation, </w:t>
      </w:r>
      <w:proofErr w:type="gramStart"/>
      <w:r w:rsidRPr="00156C32">
        <w:t>monitoring</w:t>
      </w:r>
      <w:proofErr w:type="gramEnd"/>
      <w:r w:rsidRPr="00156C32">
        <w:t xml:space="preserve"> and recovery </w:t>
      </w:r>
      <w:proofErr w:type="gramStart"/>
      <w:r w:rsidRPr="00156C32">
        <w:t>are implemented</w:t>
      </w:r>
      <w:proofErr w:type="gramEnd"/>
      <w:r w:rsidRPr="00156C32">
        <w:t xml:space="preserve"> as mutually reinforcing controls. The key judgement is that Zero Trust should </w:t>
      </w:r>
      <w:proofErr w:type="gramStart"/>
      <w:r w:rsidRPr="00156C32">
        <w:t>be adopted</w:t>
      </w:r>
      <w:proofErr w:type="gramEnd"/>
      <w:r w:rsidRPr="00156C32">
        <w:t xml:space="preserve"> as a phased governance-led operating model, not as a product-led technology deployment.</w:t>
      </w:r>
    </w:p>
    <w:p w14:paraId="51E4E310" w14:textId="1B336BAA" w:rsidR="006153D2" w:rsidRPr="00156C32" w:rsidRDefault="006153D2" w:rsidP="00B8160E">
      <w:r w:rsidRPr="006153D2">
        <w:t xml:space="preserve">A Zero Trust programme should also </w:t>
      </w:r>
      <w:proofErr w:type="gramStart"/>
      <w:r w:rsidRPr="006153D2">
        <w:t>be compared</w:t>
      </w:r>
      <w:proofErr w:type="gramEnd"/>
      <w:r w:rsidRPr="006153D2">
        <w:t xml:space="preserve"> with alternative security-led approaches. An ISO 27001-first approach would provide stronger management-system discipline, </w:t>
      </w:r>
      <w:proofErr w:type="gramStart"/>
      <w:r w:rsidRPr="006153D2">
        <w:t>auditability</w:t>
      </w:r>
      <w:proofErr w:type="gramEnd"/>
      <w:r w:rsidRPr="006153D2">
        <w:t xml:space="preserve"> and certification potential, but would not by itself solve identity compromise, cloud </w:t>
      </w:r>
      <w:proofErr w:type="gramStart"/>
      <w:r w:rsidRPr="006153D2">
        <w:t>access</w:t>
      </w:r>
      <w:proofErr w:type="gramEnd"/>
      <w:r w:rsidRPr="006153D2">
        <w:t xml:space="preserve"> and lateral movement risks. A traditional perimeter model is simpler to operate but unsuitable for Aegis because users, suppliers, APIs, SaaS </w:t>
      </w:r>
      <w:proofErr w:type="gramStart"/>
      <w:r w:rsidRPr="006153D2">
        <w:t>platforms</w:t>
      </w:r>
      <w:proofErr w:type="gramEnd"/>
      <w:r w:rsidRPr="006153D2">
        <w:t xml:space="preserve"> and cloud workloads sit outside a fixed boundary. Basic cyber hygiene, such as patching, backup testing and privileged access review, may deliver faster short-term risk reduction than advanced micro-segmentation. Therefore, the strongest approach is not Zero Trust instead of governance or hygiene, but Zero Trust implemented through NIST CSF 2.0 governance and later matured through ISO 27001 assurance.</w:t>
      </w:r>
    </w:p>
    <w:p w14:paraId="069F7E8E" w14:textId="77777777" w:rsidR="005A07E9" w:rsidRDefault="005A07E9" w:rsidP="005579AA">
      <w:pPr>
        <w:pStyle w:val="Heading2"/>
        <w:rPr>
          <w:rFonts w:asciiTheme="minorHAnsi" w:hAnsiTheme="minorHAnsi"/>
        </w:rPr>
        <w:sectPr w:rsidR="005A07E9" w:rsidSect="005A07E9">
          <w:type w:val="continuous"/>
          <w:pgSz w:w="11906" w:h="16838"/>
          <w:pgMar w:top="1440" w:right="1440" w:bottom="1440" w:left="1440" w:header="708" w:footer="708" w:gutter="0"/>
          <w:cols w:num="2" w:space="708"/>
          <w:docGrid w:linePitch="360"/>
        </w:sectPr>
      </w:pPr>
    </w:p>
    <w:p w14:paraId="0F240BD9" w14:textId="77777777" w:rsidR="00D5587E" w:rsidRDefault="00D5587E" w:rsidP="005579AA">
      <w:pPr>
        <w:pStyle w:val="Heading2"/>
        <w:rPr>
          <w:rFonts w:asciiTheme="minorHAnsi" w:hAnsiTheme="minorHAnsi"/>
        </w:rPr>
      </w:pPr>
    </w:p>
    <w:p w14:paraId="73B046C7" w14:textId="77777777" w:rsidR="00D5587E" w:rsidRDefault="00D5587E" w:rsidP="005579AA">
      <w:pPr>
        <w:pStyle w:val="Heading2"/>
        <w:rPr>
          <w:rFonts w:asciiTheme="minorHAnsi" w:hAnsiTheme="minorHAnsi"/>
        </w:rPr>
      </w:pPr>
    </w:p>
    <w:p w14:paraId="63F15A38" w14:textId="77777777" w:rsidR="00D5587E" w:rsidRPr="00D5587E" w:rsidRDefault="00D5587E" w:rsidP="00D5587E"/>
    <w:p w14:paraId="73D83075" w14:textId="04C42446" w:rsidR="005579AA" w:rsidRPr="00156C32" w:rsidRDefault="005579AA" w:rsidP="005579AA">
      <w:pPr>
        <w:pStyle w:val="Heading2"/>
        <w:rPr>
          <w:rFonts w:asciiTheme="minorHAnsi" w:hAnsiTheme="minorHAnsi"/>
        </w:rPr>
      </w:pPr>
      <w:bookmarkStart w:id="6" w:name="_Toc234924619"/>
      <w:r w:rsidRPr="00156C32">
        <w:rPr>
          <w:rFonts w:asciiTheme="minorHAnsi" w:hAnsiTheme="minorHAnsi"/>
        </w:rPr>
        <w:t>5. Technological Enablers</w:t>
      </w:r>
      <w:bookmarkEnd w:id="6"/>
    </w:p>
    <w:p w14:paraId="2FC6AF88" w14:textId="77777777" w:rsidR="005A07E9" w:rsidRDefault="005A07E9" w:rsidP="00385118">
      <w:pPr>
        <w:sectPr w:rsidR="005A07E9" w:rsidSect="005A07E9">
          <w:type w:val="continuous"/>
          <w:pgSz w:w="11906" w:h="16838"/>
          <w:pgMar w:top="1440" w:right="1440" w:bottom="1440" w:left="1440" w:header="708" w:footer="708" w:gutter="0"/>
          <w:cols w:space="708"/>
          <w:docGrid w:linePitch="360"/>
        </w:sectPr>
      </w:pPr>
    </w:p>
    <w:p w14:paraId="58EFB5F6" w14:textId="78D7CFCD" w:rsidR="00215D1B" w:rsidRPr="00156C32" w:rsidRDefault="00FC7C8D" w:rsidP="00385118">
      <w:r w:rsidRPr="00156C32">
        <w:t>Identity and Access Management, MFA, Conditional Access, Identity Governance and Privileged Access Management</w:t>
      </w:r>
      <w:r w:rsidR="00D01809" w:rsidRPr="00156C32">
        <w:t xml:space="preserve"> enable organisations to anticipate and protect against account compromise. They support least privilege, access </w:t>
      </w:r>
      <w:proofErr w:type="gramStart"/>
      <w:r w:rsidR="00D01809" w:rsidRPr="00156C32">
        <w:t>reviews</w:t>
      </w:r>
      <w:proofErr w:type="gramEnd"/>
      <w:r w:rsidR="00D01809" w:rsidRPr="00156C32">
        <w:t xml:space="preserve"> and risk-based authentication</w:t>
      </w:r>
      <w:r w:rsidR="00C051C8" w:rsidRPr="00156C32">
        <w:t>. ZTNA and SASE replace broad network access with application-specific access, which is more suitable for hybrid work and third-party users</w:t>
      </w:r>
      <w:r w:rsidR="00226F60" w:rsidRPr="00156C32">
        <w:t>.</w:t>
      </w:r>
    </w:p>
    <w:p w14:paraId="1B8C3565" w14:textId="757B7108" w:rsidR="00226F60" w:rsidRPr="00156C32" w:rsidRDefault="00122901" w:rsidP="00385118">
      <w:r w:rsidRPr="00122901">
        <w:t>SIEM and SOAR support detection, decision-making and response by correlating logs, prioritising alerts and automating approved playbooks</w:t>
      </w:r>
      <w:r w:rsidR="00226F60" w:rsidRPr="00156C32">
        <w:t xml:space="preserve">. EDR/XDR extend visibility to endpoints, identities, cloud </w:t>
      </w:r>
      <w:proofErr w:type="gramStart"/>
      <w:r w:rsidR="00226F60" w:rsidRPr="00156C32">
        <w:t>workloads</w:t>
      </w:r>
      <w:proofErr w:type="gramEnd"/>
      <w:r w:rsidR="00226F60" w:rsidRPr="00156C32">
        <w:t xml:space="preserve"> and applications. </w:t>
      </w:r>
      <w:r w:rsidR="007B5352" w:rsidRPr="00156C32">
        <w:t>CSPM identifies cloud misconfiguration</w:t>
      </w:r>
      <w:r w:rsidR="00226F60" w:rsidRPr="00156C32">
        <w:t xml:space="preserve"> and compliance drift, which is important where infrastructure is </w:t>
      </w:r>
      <w:r w:rsidR="00C105D1" w:rsidRPr="00156C32">
        <w:t>rapidly deployed</w:t>
      </w:r>
      <w:r w:rsidR="003772AB" w:rsidRPr="00156C32">
        <w:t xml:space="preserve">. DLP and encryption protect sensitive financial and personal </w:t>
      </w:r>
      <w:r w:rsidR="003772AB" w:rsidRPr="00156C32">
        <w:t>data, while vulnerability management reduces exposure to known exploited weaknesses.</w:t>
      </w:r>
    </w:p>
    <w:p w14:paraId="7448B2BE" w14:textId="45D8E82E" w:rsidR="005A07E9" w:rsidRDefault="00EE29AA" w:rsidP="00385118">
      <w:pPr>
        <w:sectPr w:rsidR="005A07E9" w:rsidSect="005A07E9">
          <w:type w:val="continuous"/>
          <w:pgSz w:w="11906" w:h="16838"/>
          <w:pgMar w:top="1440" w:right="1440" w:bottom="1440" w:left="1440" w:header="708" w:footer="708" w:gutter="0"/>
          <w:cols w:num="2" w:space="708"/>
          <w:docGrid w:linePitch="360"/>
        </w:sectPr>
      </w:pPr>
      <w:r w:rsidRPr="00156C32">
        <w:t xml:space="preserve">Immutable backups and tested recovery are essential for ransomware resilience because backups form part of response and recovery, and ransomware actors may target backups to make recovery harder </w:t>
      </w:r>
      <w:r w:rsidR="00E446F2" w:rsidRPr="00156C32">
        <w:fldChar w:fldCharType="begin"/>
      </w:r>
      <w:r w:rsidR="004742D8">
        <w:instrText xml:space="preserve"> ADDIN ZOTERO_ITEM CSL_CITATION {"citationID":"1v0Hl5cY","properties":{"unsorted":false,"formattedCitation":"[13]","plainCitation":"[13]","noteIndex":0},"citationItems":[{"id":83,"uris":["http://zotero.org/users/local/ZNi8sr8v/items/PKXSNW9I"],"itemData":{"id":83,"type":"webpage","publisher":"National Cyber Security Centre","title":"Ransomware-resistant backups","URL":"https://www.ncsc.gov.uk/collection/ransomware-resistant-backups","author":[{"literal":"National Cyber Security Centre"}],"issued":{"date-parts":[["2024",11,22]]}}}],"schema":"https://github.com/citation-style-language/schema/raw/master/csl-citation.json"} </w:instrText>
      </w:r>
      <w:r w:rsidR="00E446F2" w:rsidRPr="00156C32">
        <w:fldChar w:fldCharType="separate"/>
      </w:r>
      <w:r w:rsidR="004742D8" w:rsidRPr="004742D8">
        <w:rPr>
          <w:rFonts w:ascii="Aptos" w:hAnsi="Aptos"/>
        </w:rPr>
        <w:t>[13]</w:t>
      </w:r>
      <w:r w:rsidR="00E446F2" w:rsidRPr="00156C32">
        <w:fldChar w:fldCharType="end"/>
      </w:r>
      <w:r w:rsidR="004D2E17" w:rsidRPr="00156C32">
        <w:t xml:space="preserve">. </w:t>
      </w:r>
      <w:proofErr w:type="spellStart"/>
      <w:r w:rsidR="001640FF" w:rsidRPr="00156C32">
        <w:t>DevSecOps</w:t>
      </w:r>
      <w:proofErr w:type="spellEnd"/>
      <w:r w:rsidR="001640FF" w:rsidRPr="00156C32">
        <w:t xml:space="preserve"> controls, including secure coding, dependency scanning, </w:t>
      </w:r>
      <w:proofErr w:type="spellStart"/>
      <w:r w:rsidR="001640FF" w:rsidRPr="00156C32">
        <w:t>IaC</w:t>
      </w:r>
      <w:proofErr w:type="spellEnd"/>
      <w:r w:rsidR="001640FF" w:rsidRPr="00156C32">
        <w:t xml:space="preserve"> scanning and pipeline security, help anticipate threats before deployment. For Aegis, implementation sequence matters: IAM, MFA, PAM, asset </w:t>
      </w:r>
      <w:proofErr w:type="gramStart"/>
      <w:r w:rsidR="001640FF" w:rsidRPr="00156C32">
        <w:t>inventory</w:t>
      </w:r>
      <w:proofErr w:type="gramEnd"/>
      <w:r w:rsidR="001640FF" w:rsidRPr="00156C32">
        <w:t xml:space="preserve"> and logging should come before advanced automation because later Zero Trust controls depend on accurate identities, known </w:t>
      </w:r>
      <w:proofErr w:type="gramStart"/>
      <w:r w:rsidR="001640FF" w:rsidRPr="00156C32">
        <w:t>assets</w:t>
      </w:r>
      <w:proofErr w:type="gramEnd"/>
      <w:r w:rsidR="001640FF" w:rsidRPr="00156C32">
        <w:t xml:space="preserve"> and reliable telemetry. Without this maturity, tools risk becoming disconnected controls rather than an integrated security capability.</w:t>
      </w:r>
    </w:p>
    <w:p w14:paraId="2A63CA55" w14:textId="77777777" w:rsidR="009C09A1" w:rsidRDefault="009C09A1" w:rsidP="00385118"/>
    <w:p w14:paraId="7220C081" w14:textId="77777777" w:rsidR="00D5587E" w:rsidRDefault="00D5587E" w:rsidP="00385118"/>
    <w:p w14:paraId="49F774F6" w14:textId="77777777" w:rsidR="00D5587E" w:rsidRDefault="00D5587E" w:rsidP="00385118"/>
    <w:p w14:paraId="6DC8CD07" w14:textId="77777777" w:rsidR="00D5587E" w:rsidRDefault="00D5587E" w:rsidP="00385118"/>
    <w:p w14:paraId="53AA2BF0" w14:textId="77777777" w:rsidR="00D5587E" w:rsidRDefault="00D5587E" w:rsidP="00385118"/>
    <w:p w14:paraId="63CB854B" w14:textId="77777777" w:rsidR="00D5587E" w:rsidRDefault="00D5587E" w:rsidP="00385118"/>
    <w:p w14:paraId="52BDA6DA" w14:textId="77777777" w:rsidR="00D5587E" w:rsidRDefault="00D5587E" w:rsidP="00385118"/>
    <w:p w14:paraId="11B524E0" w14:textId="77777777" w:rsidR="00D5587E" w:rsidRPr="00156C32" w:rsidRDefault="00D5587E" w:rsidP="00385118"/>
    <w:p w14:paraId="55785241" w14:textId="750D18A4" w:rsidR="009C09A1" w:rsidRPr="00156C32" w:rsidRDefault="00373335" w:rsidP="00123050">
      <w:pPr>
        <w:pStyle w:val="Heading2"/>
        <w:rPr>
          <w:rFonts w:asciiTheme="minorHAnsi" w:hAnsiTheme="minorHAnsi"/>
        </w:rPr>
      </w:pPr>
      <w:bookmarkStart w:id="7" w:name="_Toc234924620"/>
      <w:r w:rsidRPr="00156C32">
        <w:rPr>
          <w:rFonts w:asciiTheme="minorHAnsi" w:hAnsiTheme="minorHAnsi"/>
        </w:rPr>
        <w:lastRenderedPageBreak/>
        <w:t>6. Challenges and Limitations</w:t>
      </w:r>
      <w:bookmarkEnd w:id="7"/>
    </w:p>
    <w:p w14:paraId="00724AD8" w14:textId="77777777" w:rsidR="00FC1D5C" w:rsidRDefault="00FC1D5C" w:rsidP="00385118">
      <w:pPr>
        <w:sectPr w:rsidR="00FC1D5C" w:rsidSect="005A07E9">
          <w:type w:val="continuous"/>
          <w:pgSz w:w="11906" w:h="16838"/>
          <w:pgMar w:top="1440" w:right="1440" w:bottom="1440" w:left="1440" w:header="708" w:footer="708" w:gutter="0"/>
          <w:cols w:space="708"/>
          <w:docGrid w:linePitch="360"/>
        </w:sectPr>
      </w:pPr>
    </w:p>
    <w:p w14:paraId="69D97B28" w14:textId="05D17FF8" w:rsidR="009C09A1" w:rsidRPr="00156C32" w:rsidRDefault="00123050" w:rsidP="00385118">
      <w:r w:rsidRPr="00156C32">
        <w:t xml:space="preserve">Zero Trust implementation faces legacy infrastructure, cost, skill </w:t>
      </w:r>
      <w:proofErr w:type="gramStart"/>
      <w:r w:rsidRPr="00156C32">
        <w:t>shortages</w:t>
      </w:r>
      <w:proofErr w:type="gramEnd"/>
      <w:r w:rsidRPr="00156C32">
        <w:t xml:space="preserve"> and user resistance. </w:t>
      </w:r>
      <w:r w:rsidR="00F95AB6">
        <w:t xml:space="preserve">Older applications may not support modern authentication or fine-grained access </w:t>
      </w:r>
      <w:proofErr w:type="spellStart"/>
      <w:r w:rsidR="00F95AB6">
        <w:t>control</w:t>
      </w:r>
      <w:r w:rsidRPr="00156C32">
        <w:t>l</w:t>
      </w:r>
      <w:proofErr w:type="spellEnd"/>
      <w:r w:rsidRPr="00156C32">
        <w:t xml:space="preserve">. Cost is significant because Zero Trust often requires identity modernisation, endpoint management, </w:t>
      </w:r>
      <w:r w:rsidR="008E2483" w:rsidRPr="00156C32">
        <w:t>SIEM/XDR licensing</w:t>
      </w:r>
      <w:r w:rsidRPr="00156C32">
        <w:t xml:space="preserve">, cloud security </w:t>
      </w:r>
      <w:proofErr w:type="gramStart"/>
      <w:r w:rsidRPr="00156C32">
        <w:t>tooling</w:t>
      </w:r>
      <w:proofErr w:type="gramEnd"/>
      <w:r w:rsidRPr="00156C32">
        <w:t xml:space="preserve"> and specialist staff. Skill shortages also affect the ability to tune detections, interpret </w:t>
      </w:r>
      <w:proofErr w:type="gramStart"/>
      <w:r w:rsidRPr="00156C32">
        <w:t>alerts</w:t>
      </w:r>
      <w:proofErr w:type="gramEnd"/>
      <w:r w:rsidRPr="00156C32">
        <w:t xml:space="preserve"> and maintain governance.</w:t>
      </w:r>
    </w:p>
    <w:p w14:paraId="26D2B7AE" w14:textId="370F174D" w:rsidR="00123050" w:rsidRPr="00156C32" w:rsidRDefault="00123050" w:rsidP="00385118">
      <w:r w:rsidRPr="00156C32">
        <w:t xml:space="preserve">Implementation complexity can create policy sprawl, where overlapping conditional access, DLP and </w:t>
      </w:r>
      <w:r w:rsidR="007B5352" w:rsidRPr="00156C32">
        <w:t>segmentation rules</w:t>
      </w:r>
      <w:r w:rsidRPr="00156C32">
        <w:t xml:space="preserve"> become difficult to manage</w:t>
      </w:r>
      <w:r w:rsidR="002645A0" w:rsidRPr="00156C32">
        <w:t xml:space="preserve">. False positives may reduce user trust in security controls. </w:t>
      </w:r>
      <w:r w:rsidR="00C33078" w:rsidRPr="00156C32">
        <w:t>Privacy</w:t>
      </w:r>
      <w:r w:rsidR="002645A0" w:rsidRPr="00156C32">
        <w:t xml:space="preserve"> and monitoring concerns also arise because continuous verification depends on collecting user, </w:t>
      </w:r>
      <w:proofErr w:type="gramStart"/>
      <w:r w:rsidR="002645A0" w:rsidRPr="00156C32">
        <w:t>device</w:t>
      </w:r>
      <w:proofErr w:type="gramEnd"/>
      <w:r w:rsidR="002645A0" w:rsidRPr="00156C32">
        <w:t xml:space="preserve"> and </w:t>
      </w:r>
      <w:r w:rsidR="00C33078" w:rsidRPr="00156C32">
        <w:t>behavioural</w:t>
      </w:r>
      <w:r w:rsidR="002645A0" w:rsidRPr="00156C32">
        <w:t xml:space="preserve"> telemetry. Therefore, monitoring must be proporti</w:t>
      </w:r>
      <w:r w:rsidR="00C33078" w:rsidRPr="00156C32">
        <w:t xml:space="preserve">onate, </w:t>
      </w:r>
      <w:proofErr w:type="gramStart"/>
      <w:r w:rsidR="00C33078" w:rsidRPr="00156C32">
        <w:t>transparent</w:t>
      </w:r>
      <w:proofErr w:type="gramEnd"/>
      <w:r w:rsidR="00C33078" w:rsidRPr="00156C32">
        <w:t xml:space="preserve"> and aligned with data protection obligations.</w:t>
      </w:r>
    </w:p>
    <w:p w14:paraId="72C3F977" w14:textId="371A283A" w:rsidR="00C33078" w:rsidRPr="00156C32" w:rsidRDefault="00C33078" w:rsidP="00385118">
      <w:r w:rsidRPr="00156C32">
        <w:t xml:space="preserve">Vendor lock-in is another limitation. </w:t>
      </w:r>
      <w:r w:rsidR="008E2483" w:rsidRPr="00156C32">
        <w:t xml:space="preserve">SASE, IAM and XDR platforms may create dependencies on </w:t>
      </w:r>
      <w:proofErr w:type="gramStart"/>
      <w:r w:rsidR="008E2483" w:rsidRPr="00156C32">
        <w:t>a small number of</w:t>
      </w:r>
      <w:proofErr w:type="gramEnd"/>
      <w:r w:rsidR="008E2483" w:rsidRPr="00156C32">
        <w:t xml:space="preserve"> suppliers.</w:t>
      </w:r>
      <w:r w:rsidRPr="00156C32">
        <w:t xml:space="preserve"> Weak asset visibility</w:t>
      </w:r>
      <w:r w:rsidR="00FB6904" w:rsidRPr="00156C32">
        <w:t xml:space="preserve"> undermines Zero Trust because access decisions cannot be </w:t>
      </w:r>
      <w:proofErr w:type="gramStart"/>
      <w:r w:rsidR="00FB6904" w:rsidRPr="00156C32">
        <w:t>reliable</w:t>
      </w:r>
      <w:proofErr w:type="gramEnd"/>
      <w:r w:rsidR="00FB6904" w:rsidRPr="00156C32">
        <w:t xml:space="preserve"> if assets, </w:t>
      </w:r>
      <w:proofErr w:type="gramStart"/>
      <w:r w:rsidR="00FB6904" w:rsidRPr="00156C32">
        <w:t>identities</w:t>
      </w:r>
      <w:proofErr w:type="gramEnd"/>
      <w:r w:rsidR="00FB6904" w:rsidRPr="00156C32">
        <w:t xml:space="preserve"> and data flows are unknown. Over-reliance on tools is particularly dangerous as a dashboard may show coverage</w:t>
      </w:r>
      <w:r w:rsidR="00442FDA" w:rsidRPr="00156C32">
        <w:t xml:space="preserve">, while unmanaged service accounts, shadow SaaS or </w:t>
      </w:r>
      <w:r w:rsidR="007B5352" w:rsidRPr="00156C32">
        <w:t>untested backups</w:t>
      </w:r>
      <w:r w:rsidR="00442FDA" w:rsidRPr="00156C32">
        <w:t xml:space="preserve"> remain hidden. Measuring Zero Trust maturity is also difficult because maturity is not a single score but a combination of identity, device, data, network, workload, </w:t>
      </w:r>
      <w:proofErr w:type="gramStart"/>
      <w:r w:rsidR="00442FDA" w:rsidRPr="00156C32">
        <w:t>monitoring</w:t>
      </w:r>
      <w:proofErr w:type="gramEnd"/>
      <w:r w:rsidR="00442FDA" w:rsidRPr="00156C32">
        <w:t xml:space="preserve"> and governance outcomes.</w:t>
      </w:r>
    </w:p>
    <w:p w14:paraId="3BADF2F9" w14:textId="77777777" w:rsidR="00FC1D5C" w:rsidRDefault="00FC1D5C" w:rsidP="00E04A70">
      <w:pPr>
        <w:pStyle w:val="Heading2"/>
        <w:rPr>
          <w:rFonts w:asciiTheme="minorHAnsi" w:hAnsiTheme="minorHAnsi"/>
        </w:rPr>
        <w:sectPr w:rsidR="00FC1D5C" w:rsidSect="00FC1D5C">
          <w:type w:val="continuous"/>
          <w:pgSz w:w="11906" w:h="16838"/>
          <w:pgMar w:top="1440" w:right="1440" w:bottom="1440" w:left="1440" w:header="708" w:footer="708" w:gutter="0"/>
          <w:cols w:num="2" w:space="708"/>
          <w:docGrid w:linePitch="360"/>
        </w:sectPr>
      </w:pPr>
    </w:p>
    <w:p w14:paraId="2DFED4F5" w14:textId="77777777" w:rsidR="00D5587E" w:rsidRDefault="00D5587E" w:rsidP="00E04A70">
      <w:pPr>
        <w:pStyle w:val="Heading2"/>
        <w:rPr>
          <w:rFonts w:asciiTheme="minorHAnsi" w:hAnsiTheme="minorHAnsi"/>
        </w:rPr>
      </w:pPr>
    </w:p>
    <w:p w14:paraId="418906C4" w14:textId="77777777" w:rsidR="00D5587E" w:rsidRDefault="00D5587E" w:rsidP="00E04A70">
      <w:pPr>
        <w:pStyle w:val="Heading2"/>
        <w:rPr>
          <w:rFonts w:asciiTheme="minorHAnsi" w:hAnsiTheme="minorHAnsi"/>
        </w:rPr>
      </w:pPr>
    </w:p>
    <w:p w14:paraId="52BFC69F" w14:textId="77777777" w:rsidR="00D5587E" w:rsidRDefault="00D5587E" w:rsidP="00E04A70">
      <w:pPr>
        <w:pStyle w:val="Heading2"/>
        <w:rPr>
          <w:rFonts w:asciiTheme="minorHAnsi" w:hAnsiTheme="minorHAnsi"/>
        </w:rPr>
      </w:pPr>
    </w:p>
    <w:p w14:paraId="300ABE72" w14:textId="77777777" w:rsidR="00D5587E" w:rsidRDefault="00D5587E" w:rsidP="00E04A70">
      <w:pPr>
        <w:pStyle w:val="Heading2"/>
        <w:rPr>
          <w:rFonts w:asciiTheme="minorHAnsi" w:hAnsiTheme="minorHAnsi"/>
        </w:rPr>
      </w:pPr>
    </w:p>
    <w:p w14:paraId="5005C632" w14:textId="77777777" w:rsidR="00D5587E" w:rsidRDefault="00D5587E" w:rsidP="00E04A70">
      <w:pPr>
        <w:pStyle w:val="Heading2"/>
        <w:rPr>
          <w:rFonts w:asciiTheme="minorHAnsi" w:hAnsiTheme="minorHAnsi"/>
        </w:rPr>
      </w:pPr>
    </w:p>
    <w:p w14:paraId="4BB83DAF" w14:textId="77777777" w:rsidR="00D5587E" w:rsidRDefault="00D5587E" w:rsidP="00E04A70">
      <w:pPr>
        <w:pStyle w:val="Heading2"/>
        <w:rPr>
          <w:rFonts w:asciiTheme="minorHAnsi" w:hAnsiTheme="minorHAnsi"/>
        </w:rPr>
      </w:pPr>
    </w:p>
    <w:p w14:paraId="0715BA3E" w14:textId="77777777" w:rsidR="00D5587E" w:rsidRDefault="00D5587E" w:rsidP="00E04A70">
      <w:pPr>
        <w:pStyle w:val="Heading2"/>
        <w:rPr>
          <w:rFonts w:asciiTheme="minorHAnsi" w:hAnsiTheme="minorHAnsi"/>
        </w:rPr>
      </w:pPr>
    </w:p>
    <w:p w14:paraId="198E854C" w14:textId="77777777" w:rsidR="00D5587E" w:rsidRDefault="00D5587E" w:rsidP="00D5587E"/>
    <w:p w14:paraId="0EFDAFDE" w14:textId="77777777" w:rsidR="00D5587E" w:rsidRDefault="00D5587E" w:rsidP="00D5587E"/>
    <w:p w14:paraId="6FB0C861" w14:textId="77777777" w:rsidR="00D5587E" w:rsidRPr="00D5587E" w:rsidRDefault="00D5587E" w:rsidP="00D5587E"/>
    <w:p w14:paraId="6C4ED2FC" w14:textId="36B2DEAF" w:rsidR="00FD6398" w:rsidRPr="00156C32" w:rsidRDefault="005D54A4" w:rsidP="00E04A70">
      <w:pPr>
        <w:pStyle w:val="Heading2"/>
        <w:rPr>
          <w:rFonts w:asciiTheme="minorHAnsi" w:hAnsiTheme="minorHAnsi"/>
        </w:rPr>
      </w:pPr>
      <w:bookmarkStart w:id="8" w:name="_Toc234924621"/>
      <w:r w:rsidRPr="00156C32">
        <w:rPr>
          <w:rFonts w:asciiTheme="minorHAnsi" w:hAnsiTheme="minorHAnsi"/>
        </w:rPr>
        <w:lastRenderedPageBreak/>
        <w:t>7. Real-World Case Evidence</w:t>
      </w:r>
      <w:bookmarkEnd w:id="8"/>
    </w:p>
    <w:p w14:paraId="1B4EFE45" w14:textId="77777777" w:rsidR="00FC1D5C" w:rsidRDefault="00FC1D5C" w:rsidP="00385118">
      <w:pPr>
        <w:sectPr w:rsidR="00FC1D5C" w:rsidSect="005A07E9">
          <w:type w:val="continuous"/>
          <w:pgSz w:w="11906" w:h="16838"/>
          <w:pgMar w:top="1440" w:right="1440" w:bottom="1440" w:left="1440" w:header="708" w:footer="708" w:gutter="0"/>
          <w:cols w:space="708"/>
          <w:docGrid w:linePitch="360"/>
        </w:sectPr>
      </w:pPr>
    </w:p>
    <w:p w14:paraId="39913C20" w14:textId="4C37DA37" w:rsidR="00C33078" w:rsidRPr="00156C32" w:rsidRDefault="00BD19E5" w:rsidP="00385118">
      <w:r w:rsidRPr="00156C32">
        <w:t xml:space="preserve">Ransomware, identity compromise, cloud </w:t>
      </w:r>
      <w:proofErr w:type="gramStart"/>
      <w:r w:rsidRPr="00156C32">
        <w:t>misconfiguration</w:t>
      </w:r>
      <w:proofErr w:type="gramEnd"/>
      <w:r w:rsidRPr="00156C32">
        <w:t xml:space="preserve"> and third-party dependency demonstrate why prevention, detection, </w:t>
      </w:r>
      <w:proofErr w:type="gramStart"/>
      <w:r w:rsidRPr="00156C32">
        <w:t>response</w:t>
      </w:r>
      <w:proofErr w:type="gramEnd"/>
      <w:r w:rsidRPr="00156C32">
        <w:t xml:space="preserve"> and recovery must </w:t>
      </w:r>
      <w:proofErr w:type="gramStart"/>
      <w:r w:rsidRPr="00156C32">
        <w:t>be integrated</w:t>
      </w:r>
      <w:proofErr w:type="gramEnd"/>
      <w:r w:rsidRPr="00156C32">
        <w:t xml:space="preserve">. Verizon and NCSC evidence shows that ransomware and attacks against backups remain significant concerns, meaning Aegis must combine EDR/XDR, segmentation, immutable backups and tested recovery rather than relying on prevention alone </w:t>
      </w:r>
      <w:r w:rsidR="00B07553" w:rsidRPr="00156C32">
        <w:fldChar w:fldCharType="begin"/>
      </w:r>
      <w:r w:rsidR="004742D8">
        <w:instrText xml:space="preserve"> ADDIN ZOTERO_ITEM CSL_CITATION {"citationID":"dVaPZ2JU","properties":{"unsorted":false,"formattedCitation":"[2], [13]","plainCitation":"[2], [13]","noteIndex":0},"citationItems":[{"id":80,"uris":["http://zotero.org/users/local/ZNi8sr8v/items/3432IUHK"],"itemData":{"id":80,"type":"report","publisher":"Verizon Business","title":"2025 Data Breach Investigations Report","URL":"https://www.verizon.com/business/resources/reports/dbir/","author":[{"literal":"Verizon"}],"issued":{"date-parts":[["2025"]]}}},{"id":83,"uris":["http://zotero.org/users/local/ZNi8sr8v/items/PKXSNW9I"],"itemData":{"id":83,"type":"webpage","publisher":"National Cyber Security Centre","title":"Ransomware-resistant backups","URL":"https://www.ncsc.gov.uk/collection/ransomware-resistant-backups","author":[{"literal":"National Cyber Security Centre"}],"issued":{"date-parts":[["2024",11,22]]}}}],"schema":"https://github.com/citation-style-language/schema/raw/master/csl-citation.json"} </w:instrText>
      </w:r>
      <w:r w:rsidR="00B07553" w:rsidRPr="00156C32">
        <w:fldChar w:fldCharType="separate"/>
      </w:r>
      <w:r w:rsidR="004742D8" w:rsidRPr="004742D8">
        <w:rPr>
          <w:rFonts w:ascii="Aptos" w:hAnsi="Aptos"/>
        </w:rPr>
        <w:t>[2], [13]</w:t>
      </w:r>
      <w:r w:rsidR="00B07553" w:rsidRPr="00156C32">
        <w:fldChar w:fldCharType="end"/>
      </w:r>
      <w:r w:rsidRPr="00156C32">
        <w:t xml:space="preserve">. IBM and Microsoft threat reporting also supports the need for identity-centric controls, as stolen credentials, phishing and identity-based attacks remain major intrusion patterns </w:t>
      </w:r>
      <w:r w:rsidR="00A4049C" w:rsidRPr="00156C32">
        <w:fldChar w:fldCharType="begin"/>
      </w:r>
      <w:r w:rsidR="00A4049C" w:rsidRPr="00156C32">
        <w:instrText xml:space="preserve"> ADDIN ZOTERO_ITEM CSL_CITATION {"citationID":"VVOEdQQu","properties":{"unsorted":false,"formattedCitation":"[10], [11]","plainCitation":"[10], [11]","noteIndex":0},"citationItems":[{"id":81,"uris":["http://zotero.org/users/local/ZNi8sr8v/items/AX7Q8HWZ"],"itemData":{"id":81,"type":"report","publisher":"IBM","title":"X-Force Threat Intelligence Index 2025","URL":"https://www.ibm.com/think/x-force/x-force-threat-intelligence-index-2025-attackers-steal-sell-user-identities","author":[{"literal":"IBM"}],"issued":{"date-parts":[["2025"]]}}},{"id":82,"uris":["http://zotero.org/users/local/ZNi8sr8v/items/73P7V3RA"],"itemData":{"id":82,"type":"report","publisher":"Microsoft Threat Intelligence","title":"Microsoft Digital Defense Report 2024","URL":"https://www.microsoft.com/en-us/security/security-insider/threat-landscape/microsoft-digital-defense-report-2024","author":[{"literal":"Microsoft"}],"issued":{"date-parts":[["2024"]]}}}],"schema":"https://github.com/citation-style-language/schema/raw/master/csl-citation.json"} </w:instrText>
      </w:r>
      <w:r w:rsidR="00A4049C" w:rsidRPr="00156C32">
        <w:fldChar w:fldCharType="separate"/>
      </w:r>
      <w:r w:rsidR="00A4049C" w:rsidRPr="00156C32">
        <w:t>[10], [11]</w:t>
      </w:r>
      <w:r w:rsidR="00A4049C" w:rsidRPr="00156C32">
        <w:fldChar w:fldCharType="end"/>
      </w:r>
      <w:r w:rsidRPr="00156C32">
        <w:t xml:space="preserve">. Cloud security literature further shows that misconfiguration can expose sensitive data, supporting CSPM, </w:t>
      </w:r>
      <w:proofErr w:type="spellStart"/>
      <w:r w:rsidRPr="00156C32">
        <w:t>IaC</w:t>
      </w:r>
      <w:proofErr w:type="spellEnd"/>
      <w:r w:rsidRPr="00156C32">
        <w:t xml:space="preserve"> scanning and cloud governance </w:t>
      </w:r>
      <w:r w:rsidR="00A4049C" w:rsidRPr="00156C32">
        <w:fldChar w:fldCharType="begin"/>
      </w:r>
      <w:r w:rsidR="00A4049C" w:rsidRPr="00156C32">
        <w:instrText xml:space="preserve"> ADDIN ZOTERO_ITEM CSL_CITATION {"citationID":"dkwl6DQw","properties":{"unsorted":false,"formattedCitation":"[8], [9]","plainCitation":"[8], [9]","noteIndex":0},"citationItems":[{"id":71,"uris":["http://zotero.org/users/local/ZNi8sr8v/items/GKJM5GU4"],"itemData":{"id":71,"type":"article-journal","container-title":"IEEE Access","DOI":"10.1109/ACCESS.2021.3073203","journalAbbreviation":"IEEE Access","title":"A Systematic Literature Review on Cloud Computing Security: Threats and Mitigation Strategies","URL":"https://ieeexplore.ieee.org/document/9404177","author":[{"family":"Hasnain","given":"Muhammad"}],"issued":{"date-parts":[["2021"]]}}},{"id":87,"uris":["http://zotero.org/users/local/ZNi8sr8v/items/9Y6YC7CU"],"itemData":{"id":87,"type":"paper-conference","DOI":"10.1145/3616131.3616142","event-title":"2023 7th International Conference on Cloud and Big Data Computing (ICCBDC 2023)","publisher":"ACM","title":"CACLE - Automated Mitigation for Misconfiguration Vulnerabilities in Cloud Systems","URL":"https://dl.acm.org/doi/10.1145/3616131.3616142","author":[{"family":"Millward","given":"Douglas J."},{"family":"Reed","given":"Martin J."},{"family":"Olaniyi","given":"Nkaepe"}],"issued":{"date-parts":[["2023"]]}}}],"schema":"https://github.com/citation-style-language/schema/raw/master/csl-citation.json"} </w:instrText>
      </w:r>
      <w:r w:rsidR="00A4049C" w:rsidRPr="00156C32">
        <w:fldChar w:fldCharType="separate"/>
      </w:r>
      <w:r w:rsidR="00A4049C" w:rsidRPr="00156C32">
        <w:t>[8], [9]</w:t>
      </w:r>
      <w:r w:rsidR="00A4049C" w:rsidRPr="00156C32">
        <w:fldChar w:fldCharType="end"/>
      </w:r>
      <w:r w:rsidRPr="00156C32">
        <w:t xml:space="preserve">. DORA and Verizon evidence also justify supplier assurance and third-party risk management, while AI governance </w:t>
      </w:r>
      <w:r w:rsidRPr="00156C32">
        <w:t xml:space="preserve">literature supports model monitoring, accountability and human review for Aegis’s AI-powered analytics platform </w:t>
      </w:r>
      <w:r w:rsidR="000D78CA" w:rsidRPr="00156C32">
        <w:fldChar w:fldCharType="begin"/>
      </w:r>
      <w:r w:rsidR="003B1E01">
        <w:instrText xml:space="preserve"> ADDIN ZOTERO_ITEM CSL_CITATION {"citationID":"ykxkXnPA","properties":{"unsorted":false,"formattedCitation":"[2], [5], [14], [15], [16]","plainCitation":"[2], [5], [14], [15], [16]","noteIndex":0},"citationItems":[{"id":80,"uris":["http://zotero.org/users/local/ZNi8sr8v/items/3432IUHK"],"itemData":{"id":80,"type":"report","publisher":"Verizon Business","title":"2025 Data Breach Investigations Report","URL":"https://www.verizon.com/business/resources/reports/dbir/","author":[{"literal":"Verizon"}],"issued":{"date-parts":[["2025"]]}}},{"id":76,"uris":["http://zotero.org/users/local/ZNi8sr8v/items/D6H5VDGY"],"itemData":{"id":76,"type":"legislation","container-title":"Official Journal of the European Union","page":"1-79","title":"Regulation (EU) 2022/2554 on Digital Operational Resilience for the Financial Sector (DORA)","URL":"https://eur-lex.europa.eu/eli/reg/2022/2554/oj","volume":"L333","author":[{"literal":"European Parliament"},{"literal":"Council of the European Union"}],"issued":{"date-parts":[["2022",12,14]]}}},{"id":90,"uris":["http://zotero.org/users/local/ZNi8sr8v/items/DGZUDNXB"],"itemData":{"id":90,"type":"paper-conference","DOI":"10.1145/3383455.3422564","event-title":"Proceedings of the 1st ACM International Conference on AI in Finance (ICAIF '20)","publisher":"ACM","title":"Towards Self-Regulating AI: Challenges and Opportunities of AI Model Governance in Financial Services","URL":"https://dl.acm.org/doi/10.1145/3383455.3422564","author":[{"family":"Kurshan","given":"Eren"},{"family":"Shen","given":"Hongda"},{"family":"Chen","given":"Jiahao"}],"issued":{"date-parts":[["2020"]]}}},{"id":92,"uris":["http://zotero.org/users/local/ZNi8sr8v/items/LSELPJ9D"],"itemData":{"id":92,"type":"article-journal","container-title":"Information","DOI":"10.3390/info15080432","issue":"8","journalAbbreviation":"Information","page":"432","title":"AI in the Financial Sector: The Line between Innovation, Regulation and Ethical Responsibility","volume":"15","author":[{"family":"Ridzuan","given":"Nurhadhinah Nadiah"},{"family":"Masri","given":"Masairol"},{"family":"Anshari","given":"Muhammad"},{"family":"Fitriyani","given":"Norma Latif"},{"family":"Syafrudin","given":"Muhammad"}],"issued":{"date-parts":[["2024"]]}}},{"id":95,"uris":["http://zotero.org/users/local/ZNi8sr8v/items/RV42SLFQ"],"itemData":{"id":95,"type":"report","DOI":"10.6028/NIST.AI.100-1","genre":"NIST Trustworthy and Responsible AI","number":"NIST AI 100-1","publisher":"National Institute of Standards and Technology","publisher-place":"Gaithersburg, MD","title":"Artificial Intelligence Risk Management Framework (AI RMF 1.0)","URL":"https://doi.org/10.6028/NIST.AI.100-1","author":[{"family":"Tabassi","given":"Elham"}],"issued":{"date-parts":[["2023",1]]}}}],"schema":"https://github.com/citation-style-language/schema/raw/master/csl-citation.json"} </w:instrText>
      </w:r>
      <w:r w:rsidR="000D78CA" w:rsidRPr="00156C32">
        <w:fldChar w:fldCharType="separate"/>
      </w:r>
      <w:r w:rsidR="003B1E01" w:rsidRPr="003B1E01">
        <w:rPr>
          <w:rFonts w:ascii="Aptos" w:hAnsi="Aptos"/>
        </w:rPr>
        <w:t>[2], [5], [14], [15], [16]</w:t>
      </w:r>
      <w:r w:rsidR="000D78CA" w:rsidRPr="00156C32">
        <w:fldChar w:fldCharType="end"/>
      </w:r>
      <w:r w:rsidR="008E2483" w:rsidRPr="00156C32">
        <w:t>.</w:t>
      </w:r>
    </w:p>
    <w:p w14:paraId="1F57BCCB" w14:textId="0F7EABB4" w:rsidR="00D91AA2" w:rsidRPr="00156C32" w:rsidRDefault="00156C32" w:rsidP="00D91AA2">
      <w:r w:rsidRPr="00156C32">
        <w:t xml:space="preserve">The </w:t>
      </w:r>
      <w:proofErr w:type="spellStart"/>
      <w:r w:rsidRPr="00156C32">
        <w:t>MOVEit</w:t>
      </w:r>
      <w:proofErr w:type="spellEnd"/>
      <w:r w:rsidRPr="00156C32">
        <w:t xml:space="preserve"> Transfer case shows this risk in practice: CISA and the FBI reported that CL0P exploited CVE-2023-34362 in Progress Software’s managed file transfer platform and used the LEMURLOOT web shell to steal database content. The case is relevant to Aegis because it shows that regulated organisations can suffer data exposure through trusted third-party platforms, even when their own internal systems are not the original point of compromise. This supports supplier assurance, vulnerability management, contractual incident notification clauses, fourth-party visibility and exit planning </w:t>
      </w:r>
      <w:r w:rsidR="002F69A2" w:rsidRPr="00156C32">
        <w:fldChar w:fldCharType="begin"/>
      </w:r>
      <w:r w:rsidR="003B1E01">
        <w:instrText xml:space="preserve"> ADDIN ZOTERO_ITEM CSL_CITATION {"citationID":"EQ3oTkAA","properties":{"unsorted":false,"formattedCitation":"[17]","plainCitation":"[17]","noteIndex":0},"citationItems":[{"id":93,"uris":["http://zotero.org/users/local/ZNi8sr8v/items/Q6AV4GWU"],"itemData":{"id":93,"type":"document","note":"Published: Cybersecurity Advisory / Alert","title":"CISA and FBI Release #StopRansomware: CL0P Ransomware Gang Exploits MOVEit Vulnerability","URL":"https://www.cisa.gov/news-events/alerts/2023/06/07/cisa-and-fbi-release-stopransomware-cl0p-ransomware-gang-exploits-moveit-vulnerability","author":[{"literal":"Cybersecurity and Infrastructure Security Agency"},{"literal":"Federal Bureau of Investigation"}],"issued":{"date-parts":[["2023",6,7]]}}}],"schema":"https://github.com/citation-style-language/schema/raw/master/csl-citation.json"} </w:instrText>
      </w:r>
      <w:r w:rsidR="002F69A2" w:rsidRPr="00156C32">
        <w:fldChar w:fldCharType="separate"/>
      </w:r>
      <w:r w:rsidR="003B1E01" w:rsidRPr="003B1E01">
        <w:rPr>
          <w:rFonts w:ascii="Aptos" w:hAnsi="Aptos"/>
        </w:rPr>
        <w:t>[17]</w:t>
      </w:r>
      <w:r w:rsidR="002F69A2" w:rsidRPr="00156C32">
        <w:fldChar w:fldCharType="end"/>
      </w:r>
      <w:r w:rsidR="00545951">
        <w:t>.</w:t>
      </w:r>
    </w:p>
    <w:p w14:paraId="6EB029B9" w14:textId="77777777" w:rsidR="004D7ADE" w:rsidRPr="00156C32" w:rsidRDefault="004D7ADE" w:rsidP="00385118"/>
    <w:p w14:paraId="407D6AC4" w14:textId="77777777" w:rsidR="00FC1D5C" w:rsidRDefault="00FC1D5C" w:rsidP="00385118">
      <w:pPr>
        <w:sectPr w:rsidR="00FC1D5C" w:rsidSect="00FC1D5C">
          <w:type w:val="continuous"/>
          <w:pgSz w:w="11906" w:h="16838"/>
          <w:pgMar w:top="1440" w:right="1440" w:bottom="1440" w:left="1440" w:header="708" w:footer="708" w:gutter="0"/>
          <w:cols w:num="2" w:space="708"/>
          <w:docGrid w:linePitch="360"/>
        </w:sectPr>
      </w:pPr>
    </w:p>
    <w:p w14:paraId="0D6F67E2" w14:textId="77777777" w:rsidR="004D7ADE" w:rsidRPr="00156C32" w:rsidRDefault="004D7ADE" w:rsidP="00385118"/>
    <w:p w14:paraId="0B21B3E7" w14:textId="77777777" w:rsidR="004D7ADE" w:rsidRPr="00156C32" w:rsidRDefault="004D7ADE" w:rsidP="00385118"/>
    <w:p w14:paraId="06BF05E6" w14:textId="77777777" w:rsidR="00BA16A2" w:rsidRPr="00BA16A2" w:rsidRDefault="00BA16A2" w:rsidP="00BA16A2">
      <w:pPr>
        <w:sectPr w:rsidR="00BA16A2" w:rsidRPr="00BA16A2" w:rsidSect="005A07E9">
          <w:type w:val="continuous"/>
          <w:pgSz w:w="11906" w:h="16838"/>
          <w:pgMar w:top="1440" w:right="1440" w:bottom="1440" w:left="1440" w:header="708" w:footer="708" w:gutter="0"/>
          <w:cols w:space="708"/>
          <w:docGrid w:linePitch="360"/>
        </w:sectPr>
      </w:pPr>
    </w:p>
    <w:p w14:paraId="30ECB2A5" w14:textId="5A00B7B3" w:rsidR="009C09A1" w:rsidRPr="00584008" w:rsidRDefault="001578B9" w:rsidP="00CB24D1">
      <w:pPr>
        <w:pStyle w:val="Heading2"/>
        <w:rPr>
          <w:rFonts w:asciiTheme="minorHAnsi" w:hAnsiTheme="minorHAnsi"/>
          <w:sz w:val="24"/>
          <w:szCs w:val="24"/>
        </w:rPr>
      </w:pPr>
      <w:bookmarkStart w:id="9" w:name="_Toc234924622"/>
      <w:r w:rsidRPr="00584008">
        <w:rPr>
          <w:rFonts w:asciiTheme="minorHAnsi" w:hAnsiTheme="minorHAnsi"/>
          <w:sz w:val="24"/>
          <w:szCs w:val="24"/>
        </w:rPr>
        <w:lastRenderedPageBreak/>
        <w:t xml:space="preserve">8. </w:t>
      </w:r>
      <w:r w:rsidR="00CB24D1" w:rsidRPr="00584008">
        <w:rPr>
          <w:rFonts w:asciiTheme="minorHAnsi" w:hAnsiTheme="minorHAnsi"/>
          <w:sz w:val="24"/>
          <w:szCs w:val="24"/>
        </w:rPr>
        <w:t>Task 1 Research &amp; Application</w:t>
      </w:r>
      <w:bookmarkEnd w:id="9"/>
    </w:p>
    <w:p w14:paraId="55FE3045" w14:textId="77777777" w:rsidR="007055BF" w:rsidRPr="00584008" w:rsidRDefault="007055BF" w:rsidP="00385118"/>
    <w:tbl>
      <w:tblPr>
        <w:tblW w:w="0" w:type="auto"/>
        <w:tblCellSpacing w:w="15" w:type="dxa"/>
        <w:tblInd w:w="-5253" w:type="dxa"/>
        <w:tblCellMar>
          <w:top w:w="15" w:type="dxa"/>
          <w:left w:w="15" w:type="dxa"/>
          <w:bottom w:w="15" w:type="dxa"/>
          <w:right w:w="15" w:type="dxa"/>
        </w:tblCellMar>
        <w:tblLook w:val="04A0" w:firstRow="1" w:lastRow="0" w:firstColumn="1" w:lastColumn="0" w:noHBand="0" w:noVBand="1"/>
      </w:tblPr>
      <w:tblGrid>
        <w:gridCol w:w="2551"/>
        <w:gridCol w:w="4962"/>
        <w:gridCol w:w="3119"/>
        <w:gridCol w:w="3165"/>
      </w:tblGrid>
      <w:tr w:rsidR="00584008" w:rsidRPr="00584008" w14:paraId="654DF052" w14:textId="77777777" w:rsidTr="00376C22">
        <w:trPr>
          <w:tblCellSpacing w:w="15" w:type="dxa"/>
        </w:trPr>
        <w:tc>
          <w:tcPr>
            <w:tcW w:w="2506" w:type="dxa"/>
            <w:tcBorders>
              <w:top w:val="single" w:sz="6" w:space="0" w:color="E6E6E6"/>
              <w:left w:val="single" w:sz="6" w:space="0" w:color="E6E6E6"/>
              <w:bottom w:val="single" w:sz="6" w:space="0" w:color="E6E6E6"/>
              <w:right w:val="single" w:sz="6" w:space="0" w:color="E6E6E6"/>
            </w:tcBorders>
            <w:shd w:val="clear" w:color="auto" w:fill="0070C0"/>
            <w:vAlign w:val="center"/>
            <w:hideMark/>
          </w:tcPr>
          <w:p w14:paraId="3A3FC5DC" w14:textId="77777777" w:rsidR="00584008" w:rsidRPr="00584008" w:rsidRDefault="00584008" w:rsidP="00584008">
            <w:pPr>
              <w:rPr>
                <w:b/>
                <w:bCs/>
              </w:rPr>
            </w:pPr>
            <w:r w:rsidRPr="00584008">
              <w:rPr>
                <w:b/>
                <w:bCs/>
              </w:rPr>
              <w:t>Finding</w:t>
            </w:r>
          </w:p>
        </w:tc>
        <w:tc>
          <w:tcPr>
            <w:tcW w:w="4932" w:type="dxa"/>
            <w:tcBorders>
              <w:top w:val="single" w:sz="6" w:space="0" w:color="E6E6E6"/>
              <w:left w:val="single" w:sz="6" w:space="0" w:color="E6E6E6"/>
              <w:bottom w:val="single" w:sz="6" w:space="0" w:color="E6E6E6"/>
              <w:right w:val="single" w:sz="6" w:space="0" w:color="E6E6E6"/>
            </w:tcBorders>
            <w:shd w:val="clear" w:color="auto" w:fill="0070C0"/>
            <w:vAlign w:val="center"/>
            <w:hideMark/>
          </w:tcPr>
          <w:p w14:paraId="3B964AB6" w14:textId="77777777" w:rsidR="00584008" w:rsidRPr="00584008" w:rsidRDefault="00584008" w:rsidP="00584008">
            <w:pPr>
              <w:rPr>
                <w:b/>
                <w:bCs/>
              </w:rPr>
            </w:pPr>
            <w:r w:rsidRPr="00584008">
              <w:rPr>
                <w:b/>
                <w:bCs/>
              </w:rPr>
              <w:t>Evidence</w:t>
            </w:r>
          </w:p>
        </w:tc>
        <w:tc>
          <w:tcPr>
            <w:tcW w:w="3089" w:type="dxa"/>
            <w:tcBorders>
              <w:top w:val="single" w:sz="6" w:space="0" w:color="E6E6E6"/>
              <w:left w:val="single" w:sz="6" w:space="0" w:color="E6E6E6"/>
              <w:bottom w:val="single" w:sz="6" w:space="0" w:color="E6E6E6"/>
              <w:right w:val="single" w:sz="6" w:space="0" w:color="E6E6E6"/>
            </w:tcBorders>
            <w:shd w:val="clear" w:color="auto" w:fill="0070C0"/>
            <w:vAlign w:val="center"/>
            <w:hideMark/>
          </w:tcPr>
          <w:p w14:paraId="0FBCEE07" w14:textId="77777777" w:rsidR="00584008" w:rsidRPr="00584008" w:rsidRDefault="00584008" w:rsidP="00584008">
            <w:pPr>
              <w:rPr>
                <w:b/>
                <w:bCs/>
              </w:rPr>
            </w:pPr>
            <w:r w:rsidRPr="00584008">
              <w:rPr>
                <w:b/>
                <w:bCs/>
              </w:rPr>
              <w:t>Limitation</w:t>
            </w:r>
          </w:p>
        </w:tc>
        <w:tc>
          <w:tcPr>
            <w:tcW w:w="3120" w:type="dxa"/>
            <w:tcBorders>
              <w:top w:val="single" w:sz="6" w:space="0" w:color="E6E6E6"/>
              <w:left w:val="single" w:sz="6" w:space="0" w:color="E6E6E6"/>
              <w:bottom w:val="single" w:sz="6" w:space="0" w:color="E6E6E6"/>
              <w:right w:val="single" w:sz="6" w:space="0" w:color="E6E6E6"/>
            </w:tcBorders>
            <w:shd w:val="clear" w:color="auto" w:fill="0070C0"/>
            <w:vAlign w:val="center"/>
            <w:hideMark/>
          </w:tcPr>
          <w:p w14:paraId="5E044813" w14:textId="77777777" w:rsidR="00584008" w:rsidRPr="00584008" w:rsidRDefault="00584008" w:rsidP="00584008">
            <w:pPr>
              <w:rPr>
                <w:b/>
                <w:bCs/>
              </w:rPr>
            </w:pPr>
            <w:r w:rsidRPr="00584008">
              <w:rPr>
                <w:b/>
                <w:bCs/>
              </w:rPr>
              <w:t xml:space="preserve">Task </w:t>
            </w:r>
            <w:proofErr w:type="gramStart"/>
            <w:r w:rsidRPr="00584008">
              <w:rPr>
                <w:b/>
                <w:bCs/>
              </w:rPr>
              <w:t>2</w:t>
            </w:r>
            <w:proofErr w:type="gramEnd"/>
            <w:r w:rsidRPr="00584008">
              <w:rPr>
                <w:b/>
                <w:bCs/>
              </w:rPr>
              <w:t xml:space="preserve"> design implication</w:t>
            </w:r>
          </w:p>
        </w:tc>
      </w:tr>
      <w:tr w:rsidR="00584008" w:rsidRPr="00584008" w14:paraId="1F88ADDA" w14:textId="77777777" w:rsidTr="00BA16A2">
        <w:trPr>
          <w:tblCellSpacing w:w="15" w:type="dxa"/>
        </w:trPr>
        <w:tc>
          <w:tcPr>
            <w:tcW w:w="2506" w:type="dxa"/>
            <w:tcBorders>
              <w:top w:val="single" w:sz="6" w:space="0" w:color="E6E6E6"/>
              <w:left w:val="single" w:sz="6" w:space="0" w:color="E6E6E6"/>
              <w:bottom w:val="single" w:sz="6" w:space="0" w:color="E6E6E6"/>
              <w:right w:val="single" w:sz="6" w:space="0" w:color="E6E6E6"/>
            </w:tcBorders>
            <w:vAlign w:val="center"/>
            <w:hideMark/>
          </w:tcPr>
          <w:p w14:paraId="7A095772" w14:textId="77777777" w:rsidR="00584008" w:rsidRPr="00584008" w:rsidRDefault="00584008" w:rsidP="00584008">
            <w:r w:rsidRPr="00584008">
              <w:t xml:space="preserve">Perimeter security is insufficient for cloud, SaaS, </w:t>
            </w:r>
            <w:proofErr w:type="gramStart"/>
            <w:r w:rsidRPr="00584008">
              <w:t>APIs</w:t>
            </w:r>
            <w:proofErr w:type="gramEnd"/>
            <w:r w:rsidRPr="00584008">
              <w:t xml:space="preserve"> and remote work.</w:t>
            </w:r>
          </w:p>
        </w:tc>
        <w:tc>
          <w:tcPr>
            <w:tcW w:w="4932" w:type="dxa"/>
            <w:tcBorders>
              <w:top w:val="single" w:sz="6" w:space="0" w:color="E6E6E6"/>
              <w:left w:val="single" w:sz="6" w:space="0" w:color="E6E6E6"/>
              <w:bottom w:val="single" w:sz="6" w:space="0" w:color="E6E6E6"/>
              <w:right w:val="single" w:sz="6" w:space="0" w:color="E6E6E6"/>
            </w:tcBorders>
            <w:vAlign w:val="center"/>
            <w:hideMark/>
          </w:tcPr>
          <w:p w14:paraId="536CB290" w14:textId="227E6980" w:rsidR="00584008" w:rsidRPr="00584008" w:rsidRDefault="00584008" w:rsidP="00584008">
            <w:r w:rsidRPr="00584008">
              <w:t xml:space="preserve">NIST and Zero Trust literature show security must focus on users, assets and resources </w:t>
            </w:r>
            <w:r w:rsidR="004742D8">
              <w:fldChar w:fldCharType="begin"/>
            </w:r>
            <w:r w:rsidR="004742D8">
              <w:instrText xml:space="preserve"> ADDIN ZOTERO_ITEM CSL_CITATION {"citationID":"OOJaWXUw","properties":{"unsorted":false,"formattedCitation":"[3], [6], [7]","plainCitation":"[3], [6], [7]","noteIndex":0},"citationItems":[{"id":68,"uris":["http://zotero.org/users/local/ZNi8sr8v/items/IHW2WCBV"],"itemData":{"id":68,"type":"report","collection-title":"NIST Special Publication 800-207","DOI":"10.6028/NIST.SP.800-207","publisher":"National Institute of Standards and Technology","title":"Zero Trust Architecture","URL":"https://csrc.nist.gov/pubs/sp/800/207/final","author":[{"family":"Rose","given":"Scott"},{"family":"Borchert","given":"Oliver"},{"family":"Mitchell","given":"Stu"},{"family":"Connelly","given":"Sean"}],"issued":{"date-parts":[["2020",8]]}}},{"id":69,"uris":["http://zotero.org/users/local/ZNi8sr8v/items/VHS4NDZK"],"itemData":{"id":69,"type":"article-journal","container-title":"IEEE Access","DOI":"10.1109/ACCESS.2022.3174679","journalAbbreviation":"IEEE Access","page":"57143-57179","title":"Zero Trust Architecture (ZTA): A Comprehensive Survey","volume":"10","author":[{"family":"Syed","given":"Naeem Firdous"},{"family":"Shah","given":"Syed W."},{"family":"Shaghaghi","given":"Arash"},{"family":"Anwar","given":"Adnan"},{"family":"Baig","given":"Zubair"},{"family":"Doss","given":"Robin"}],"issued":{"date-parts":[["2022"]]}}},{"id":70,"uris":["http://zotero.org/users/local/ZNi8sr8v/items/PRMAZ83P"],"itemData":{"id":70,"type":"article-journal","container-title":"Wireless Communications and Mobile Computing","DOI":"10.1155/2022/6476274","journalAbbreviation":"Wireless Communications and Mobile Computing","page":"6476274","title":"A Survey on Zero Trust Architecture: Challenges and Future Trends","volume":"2022","author":[{"family":"He","given":"Yuanhang"},{"family":"Huang","given":"Daochao"},{"family":"Chen","given":"Lei"},{"family":"Ni","given":"Yi"},{"family":"Ma","given":"Xiangjie"}],"issued":{"date-parts":[["2022"]]}}}],"schema":"https://github.com/citation-style-language/schema/raw/master/csl-citation.json"} </w:instrText>
            </w:r>
            <w:r w:rsidR="004742D8">
              <w:fldChar w:fldCharType="separate"/>
            </w:r>
            <w:r w:rsidR="004742D8" w:rsidRPr="004742D8">
              <w:rPr>
                <w:rFonts w:ascii="Aptos" w:hAnsi="Aptos"/>
              </w:rPr>
              <w:t>[3], [6], [7]</w:t>
            </w:r>
            <w:r w:rsidR="004742D8">
              <w:fldChar w:fldCharType="end"/>
            </w:r>
          </w:p>
        </w:tc>
        <w:tc>
          <w:tcPr>
            <w:tcW w:w="3089" w:type="dxa"/>
            <w:tcBorders>
              <w:top w:val="single" w:sz="6" w:space="0" w:color="E6E6E6"/>
              <w:left w:val="single" w:sz="6" w:space="0" w:color="E6E6E6"/>
              <w:bottom w:val="single" w:sz="6" w:space="0" w:color="E6E6E6"/>
              <w:right w:val="single" w:sz="6" w:space="0" w:color="E6E6E6"/>
            </w:tcBorders>
            <w:vAlign w:val="center"/>
            <w:hideMark/>
          </w:tcPr>
          <w:p w14:paraId="0C0B2BC9" w14:textId="77777777" w:rsidR="00584008" w:rsidRPr="00584008" w:rsidRDefault="00584008" w:rsidP="00584008">
            <w:r w:rsidRPr="00584008">
              <w:t xml:space="preserve">Zero Trust requires maturity, asset </w:t>
            </w:r>
            <w:proofErr w:type="gramStart"/>
            <w:r w:rsidRPr="00584008">
              <w:t>visibility</w:t>
            </w:r>
            <w:proofErr w:type="gramEnd"/>
            <w:r w:rsidRPr="00584008">
              <w:t xml:space="preserve"> and governance; it cannot </w:t>
            </w:r>
            <w:proofErr w:type="gramStart"/>
            <w:r w:rsidRPr="00584008">
              <w:t>be bought</w:t>
            </w:r>
            <w:proofErr w:type="gramEnd"/>
            <w:r w:rsidRPr="00584008">
              <w:t xml:space="preserve"> as </w:t>
            </w:r>
            <w:proofErr w:type="gramStart"/>
            <w:r w:rsidRPr="00584008">
              <w:t>a single product</w:t>
            </w:r>
            <w:proofErr w:type="gramEnd"/>
            <w:r w:rsidRPr="00584008">
              <w:t>.</w:t>
            </w:r>
          </w:p>
        </w:tc>
        <w:tc>
          <w:tcPr>
            <w:tcW w:w="3120" w:type="dxa"/>
            <w:tcBorders>
              <w:top w:val="single" w:sz="6" w:space="0" w:color="E6E6E6"/>
              <w:left w:val="single" w:sz="6" w:space="0" w:color="E6E6E6"/>
              <w:bottom w:val="single" w:sz="6" w:space="0" w:color="E6E6E6"/>
              <w:right w:val="single" w:sz="6" w:space="0" w:color="E6E6E6"/>
            </w:tcBorders>
            <w:vAlign w:val="center"/>
            <w:hideMark/>
          </w:tcPr>
          <w:p w14:paraId="239B7FF5" w14:textId="618A3788" w:rsidR="00584008" w:rsidRPr="00584008" w:rsidRDefault="00584008" w:rsidP="00584008">
            <w:r w:rsidRPr="00584008">
              <w:t xml:space="preserve">Use </w:t>
            </w:r>
            <w:r w:rsidR="00AB768B">
              <w:t>Zero Trust Architecture</w:t>
            </w:r>
            <w:r w:rsidRPr="00584008">
              <w:t>, IAM, ZTNA/SASE and board-level governance.</w:t>
            </w:r>
          </w:p>
        </w:tc>
      </w:tr>
      <w:tr w:rsidR="00584008" w:rsidRPr="00584008" w14:paraId="67D82B75" w14:textId="77777777" w:rsidTr="00BA16A2">
        <w:trPr>
          <w:tblCellSpacing w:w="15" w:type="dxa"/>
        </w:trPr>
        <w:tc>
          <w:tcPr>
            <w:tcW w:w="2506" w:type="dxa"/>
            <w:tcBorders>
              <w:top w:val="single" w:sz="6" w:space="0" w:color="E6E6E6"/>
              <w:left w:val="single" w:sz="6" w:space="0" w:color="E6E6E6"/>
              <w:bottom w:val="single" w:sz="6" w:space="0" w:color="E6E6E6"/>
              <w:right w:val="single" w:sz="6" w:space="0" w:color="E6E6E6"/>
            </w:tcBorders>
            <w:vAlign w:val="center"/>
            <w:hideMark/>
          </w:tcPr>
          <w:p w14:paraId="5982417C" w14:textId="77777777" w:rsidR="00584008" w:rsidRPr="00584008" w:rsidRDefault="00584008" w:rsidP="00584008">
            <w:r w:rsidRPr="00584008">
              <w:t>Identity compromise remains a major attack route.</w:t>
            </w:r>
          </w:p>
        </w:tc>
        <w:tc>
          <w:tcPr>
            <w:tcW w:w="4932" w:type="dxa"/>
            <w:tcBorders>
              <w:top w:val="single" w:sz="6" w:space="0" w:color="E6E6E6"/>
              <w:left w:val="single" w:sz="6" w:space="0" w:color="E6E6E6"/>
              <w:bottom w:val="single" w:sz="6" w:space="0" w:color="E6E6E6"/>
              <w:right w:val="single" w:sz="6" w:space="0" w:color="E6E6E6"/>
            </w:tcBorders>
            <w:vAlign w:val="center"/>
            <w:hideMark/>
          </w:tcPr>
          <w:p w14:paraId="75172236" w14:textId="7AD179BB" w:rsidR="00584008" w:rsidRPr="00584008" w:rsidRDefault="00584008" w:rsidP="00584008">
            <w:r w:rsidRPr="00584008">
              <w:t xml:space="preserve">Verizon, IBM and Microsoft identify credential abuse, phishing and identity-based attacks as major threats </w:t>
            </w:r>
            <w:r w:rsidR="0000487A">
              <w:fldChar w:fldCharType="begin"/>
            </w:r>
            <w:r w:rsidR="0000487A">
              <w:instrText xml:space="preserve"> ADDIN ZOTERO_ITEM CSL_CITATION {"citationID":"5dDiZTwa","properties":{"unsorted":false,"formattedCitation":"[2], [10], [11]","plainCitation":"[2], [10], [11]","noteIndex":0},"citationItems":[{"id":80,"uris":["http://zotero.org/users/local/ZNi8sr8v/items/3432IUHK"],"itemData":{"id":80,"type":"report","publisher":"Verizon Business","title":"2025 Data Breach Investigations Report","URL":"https://www.verizon.com/business/resources/reports/dbir/","author":[{"literal":"Verizon"}],"issued":{"date-parts":[["2025"]]}}},{"id":81,"uris":["http://zotero.org/users/local/ZNi8sr8v/items/AX7Q8HWZ"],"itemData":{"id":81,"type":"report","publisher":"IBM","title":"X-Force Threat Intelligence Index 2025","URL":"https://www.ibm.com/think/x-force/x-force-threat-intelligence-index-2025-attackers-steal-sell-user-identities","author":[{"literal":"IBM"}],"issued":{"date-parts":[["2025"]]}}},{"id":82,"uris":["http://zotero.org/users/local/ZNi8sr8v/items/73P7V3RA"],"itemData":{"id":82,"type":"report","publisher":"Microsoft Threat Intelligence","title":"Microsoft Digital Defense Report 2024","URL":"https://www.microsoft.com/en-us/security/security-insider/threat-landscape/microsoft-digital-defense-report-2024","author":[{"literal":"Microsoft"}],"issued":{"date-parts":[["2024"]]}}}],"schema":"https://github.com/citation-style-language/schema/raw/master/csl-citation.json"} </w:instrText>
            </w:r>
            <w:r w:rsidR="0000487A">
              <w:fldChar w:fldCharType="separate"/>
            </w:r>
            <w:r w:rsidR="0000487A" w:rsidRPr="0000487A">
              <w:rPr>
                <w:rFonts w:ascii="Aptos" w:hAnsi="Aptos"/>
              </w:rPr>
              <w:t>[2], [10], [11]</w:t>
            </w:r>
            <w:r w:rsidR="0000487A">
              <w:fldChar w:fldCharType="end"/>
            </w:r>
          </w:p>
        </w:tc>
        <w:tc>
          <w:tcPr>
            <w:tcW w:w="3089" w:type="dxa"/>
            <w:tcBorders>
              <w:top w:val="single" w:sz="6" w:space="0" w:color="E6E6E6"/>
              <w:left w:val="single" w:sz="6" w:space="0" w:color="E6E6E6"/>
              <w:bottom w:val="single" w:sz="6" w:space="0" w:color="E6E6E6"/>
              <w:right w:val="single" w:sz="6" w:space="0" w:color="E6E6E6"/>
            </w:tcBorders>
            <w:vAlign w:val="center"/>
            <w:hideMark/>
          </w:tcPr>
          <w:p w14:paraId="13886E9A" w14:textId="77777777" w:rsidR="00584008" w:rsidRPr="00584008" w:rsidRDefault="00584008" w:rsidP="00584008">
            <w:r w:rsidRPr="00584008">
              <w:t>MFA and access controls can fail if poorly configured or not supported by user training and access reviews.</w:t>
            </w:r>
          </w:p>
        </w:tc>
        <w:tc>
          <w:tcPr>
            <w:tcW w:w="3120" w:type="dxa"/>
            <w:tcBorders>
              <w:top w:val="single" w:sz="6" w:space="0" w:color="E6E6E6"/>
              <w:left w:val="single" w:sz="6" w:space="0" w:color="E6E6E6"/>
              <w:bottom w:val="single" w:sz="6" w:space="0" w:color="E6E6E6"/>
              <w:right w:val="single" w:sz="6" w:space="0" w:color="E6E6E6"/>
            </w:tcBorders>
            <w:vAlign w:val="center"/>
            <w:hideMark/>
          </w:tcPr>
          <w:p w14:paraId="7407BC85" w14:textId="77777777" w:rsidR="00584008" w:rsidRPr="00584008" w:rsidRDefault="00584008" w:rsidP="00584008">
            <w:r w:rsidRPr="00584008">
              <w:t xml:space="preserve">Prioritise MFA, Conditional Access, PAM, identity </w:t>
            </w:r>
            <w:proofErr w:type="gramStart"/>
            <w:r w:rsidRPr="00584008">
              <w:t>governance</w:t>
            </w:r>
            <w:proofErr w:type="gramEnd"/>
            <w:r w:rsidRPr="00584008">
              <w:t xml:space="preserve"> and privileged access reviews.</w:t>
            </w:r>
          </w:p>
        </w:tc>
      </w:tr>
      <w:tr w:rsidR="00584008" w:rsidRPr="00584008" w14:paraId="686DC875" w14:textId="77777777" w:rsidTr="00BA16A2">
        <w:trPr>
          <w:tblCellSpacing w:w="15" w:type="dxa"/>
        </w:trPr>
        <w:tc>
          <w:tcPr>
            <w:tcW w:w="2506" w:type="dxa"/>
            <w:tcBorders>
              <w:top w:val="single" w:sz="6" w:space="0" w:color="E6E6E6"/>
              <w:left w:val="single" w:sz="6" w:space="0" w:color="E6E6E6"/>
              <w:bottom w:val="single" w:sz="6" w:space="0" w:color="E6E6E6"/>
              <w:right w:val="single" w:sz="6" w:space="0" w:color="E6E6E6"/>
            </w:tcBorders>
            <w:vAlign w:val="center"/>
            <w:hideMark/>
          </w:tcPr>
          <w:p w14:paraId="6B080C21" w14:textId="77777777" w:rsidR="00584008" w:rsidRPr="00584008" w:rsidRDefault="00584008" w:rsidP="00584008">
            <w:r w:rsidRPr="00584008">
              <w:t>Cloud misconfiguration can expose regulated data.</w:t>
            </w:r>
          </w:p>
        </w:tc>
        <w:tc>
          <w:tcPr>
            <w:tcW w:w="4932" w:type="dxa"/>
            <w:tcBorders>
              <w:top w:val="single" w:sz="6" w:space="0" w:color="E6E6E6"/>
              <w:left w:val="single" w:sz="6" w:space="0" w:color="E6E6E6"/>
              <w:bottom w:val="single" w:sz="6" w:space="0" w:color="E6E6E6"/>
              <w:right w:val="single" w:sz="6" w:space="0" w:color="E6E6E6"/>
            </w:tcBorders>
            <w:vAlign w:val="center"/>
            <w:hideMark/>
          </w:tcPr>
          <w:p w14:paraId="2EC64C05" w14:textId="3A32EEC1" w:rsidR="00584008" w:rsidRPr="00584008" w:rsidRDefault="00584008" w:rsidP="00584008">
            <w:r w:rsidRPr="00584008">
              <w:t xml:space="preserve">Cloud security literature identifies data leakage and misconfiguration as recurring cloud risks </w:t>
            </w:r>
            <w:r w:rsidR="00F44EE8">
              <w:fldChar w:fldCharType="begin"/>
            </w:r>
            <w:r w:rsidR="00F44EE8">
              <w:instrText xml:space="preserve"> ADDIN ZOTERO_ITEM CSL_CITATION {"citationID":"IhW3pcnM","properties":{"unsorted":false,"formattedCitation":"[8], [9]","plainCitation":"[8], [9]","noteIndex":0},"citationItems":[{"id":71,"uris":["http://zotero.org/users/local/ZNi8sr8v/items/GKJM5GU4"],"itemData":{"id":71,"type":"article-journal","container-title":"IEEE Access","DOI":"10.1109/ACCESS.2021.3073203","journalAbbreviation":"IEEE Access","title":"A Systematic Literature Review on Cloud Computing Security: Threats and Mitigation Strategies","URL":"https://ieeexplore.ieee.org/document/9404177","author":[{"family":"Hasnain","given":"Muhammad"}],"issued":{"date-parts":[["2021"]]}}},{"id":87,"uris":["http://zotero.org/users/local/ZNi8sr8v/items/9Y6YC7CU"],"itemData":{"id":87,"type":"paper-conference","DOI":"10.1145/3616131.3616142","event-title":"2023 7th International Conference on Cloud and Big Data Computing (ICCBDC 2023)","publisher":"ACM","title":"CACLE - Automated Mitigation for Misconfiguration Vulnerabilities in Cloud Systems","URL":"https://dl.acm.org/doi/10.1145/3616131.3616142","author":[{"family":"Millward","given":"Douglas J."},{"family":"Reed","given":"Martin J."},{"family":"Olaniyi","given":"Nkaepe"}],"issued":{"date-parts":[["2023"]]}}}],"schema":"https://github.com/citation-style-language/schema/raw/master/csl-citation.json"} </w:instrText>
            </w:r>
            <w:r w:rsidR="00F44EE8">
              <w:fldChar w:fldCharType="separate"/>
            </w:r>
            <w:r w:rsidR="00F44EE8" w:rsidRPr="00F44EE8">
              <w:rPr>
                <w:rFonts w:ascii="Aptos" w:hAnsi="Aptos"/>
              </w:rPr>
              <w:t>[8], [9]</w:t>
            </w:r>
            <w:r w:rsidR="00F44EE8">
              <w:fldChar w:fldCharType="end"/>
            </w:r>
          </w:p>
        </w:tc>
        <w:tc>
          <w:tcPr>
            <w:tcW w:w="3089" w:type="dxa"/>
            <w:tcBorders>
              <w:top w:val="single" w:sz="6" w:space="0" w:color="E6E6E6"/>
              <w:left w:val="single" w:sz="6" w:space="0" w:color="E6E6E6"/>
              <w:bottom w:val="single" w:sz="6" w:space="0" w:color="E6E6E6"/>
              <w:right w:val="single" w:sz="6" w:space="0" w:color="E6E6E6"/>
            </w:tcBorders>
            <w:vAlign w:val="center"/>
            <w:hideMark/>
          </w:tcPr>
          <w:p w14:paraId="085F2360" w14:textId="77777777" w:rsidR="00584008" w:rsidRPr="00584008" w:rsidRDefault="00584008" w:rsidP="00584008">
            <w:r w:rsidRPr="00584008">
              <w:t>CSPM can create alert fatigue without clear ownership and remediation deadlines.</w:t>
            </w:r>
          </w:p>
        </w:tc>
        <w:tc>
          <w:tcPr>
            <w:tcW w:w="3120" w:type="dxa"/>
            <w:tcBorders>
              <w:top w:val="single" w:sz="6" w:space="0" w:color="E6E6E6"/>
              <w:left w:val="single" w:sz="6" w:space="0" w:color="E6E6E6"/>
              <w:bottom w:val="single" w:sz="6" w:space="0" w:color="E6E6E6"/>
              <w:right w:val="single" w:sz="6" w:space="0" w:color="E6E6E6"/>
            </w:tcBorders>
            <w:vAlign w:val="center"/>
            <w:hideMark/>
          </w:tcPr>
          <w:p w14:paraId="44DCDF42" w14:textId="77777777" w:rsidR="00584008" w:rsidRPr="00584008" w:rsidRDefault="00584008" w:rsidP="00584008">
            <w:r w:rsidRPr="00584008">
              <w:t xml:space="preserve">Deploy CSPM, </w:t>
            </w:r>
            <w:proofErr w:type="spellStart"/>
            <w:r w:rsidRPr="00584008">
              <w:t>IaC</w:t>
            </w:r>
            <w:proofErr w:type="spellEnd"/>
            <w:r w:rsidRPr="00584008">
              <w:t xml:space="preserve"> scanning, secure baselines and </w:t>
            </w:r>
            <w:proofErr w:type="spellStart"/>
            <w:r w:rsidRPr="00584008">
              <w:t>DevSecOps</w:t>
            </w:r>
            <w:proofErr w:type="spellEnd"/>
            <w:r w:rsidRPr="00584008">
              <w:t xml:space="preserve"> controls.</w:t>
            </w:r>
          </w:p>
        </w:tc>
      </w:tr>
      <w:tr w:rsidR="00584008" w:rsidRPr="00584008" w14:paraId="1C5D9AF4" w14:textId="77777777" w:rsidTr="00BA16A2">
        <w:trPr>
          <w:tblCellSpacing w:w="15" w:type="dxa"/>
        </w:trPr>
        <w:tc>
          <w:tcPr>
            <w:tcW w:w="2506" w:type="dxa"/>
            <w:tcBorders>
              <w:top w:val="single" w:sz="6" w:space="0" w:color="E6E6E6"/>
              <w:left w:val="single" w:sz="6" w:space="0" w:color="E6E6E6"/>
              <w:bottom w:val="single" w:sz="6" w:space="0" w:color="E6E6E6"/>
              <w:right w:val="single" w:sz="6" w:space="0" w:color="E6E6E6"/>
            </w:tcBorders>
            <w:vAlign w:val="center"/>
            <w:hideMark/>
          </w:tcPr>
          <w:p w14:paraId="56B01668" w14:textId="77777777" w:rsidR="00584008" w:rsidRPr="00584008" w:rsidRDefault="00584008" w:rsidP="00584008">
            <w:r w:rsidRPr="00584008">
              <w:t>Ransomware requires recovery as well as prevention.</w:t>
            </w:r>
          </w:p>
        </w:tc>
        <w:tc>
          <w:tcPr>
            <w:tcW w:w="4932" w:type="dxa"/>
            <w:tcBorders>
              <w:top w:val="single" w:sz="6" w:space="0" w:color="E6E6E6"/>
              <w:left w:val="single" w:sz="6" w:space="0" w:color="E6E6E6"/>
              <w:bottom w:val="single" w:sz="6" w:space="0" w:color="E6E6E6"/>
              <w:right w:val="single" w:sz="6" w:space="0" w:color="E6E6E6"/>
            </w:tcBorders>
            <w:vAlign w:val="center"/>
            <w:hideMark/>
          </w:tcPr>
          <w:p w14:paraId="3C586ED2" w14:textId="4BAE6083" w:rsidR="00584008" w:rsidRPr="00584008" w:rsidRDefault="00584008" w:rsidP="00584008">
            <w:r w:rsidRPr="00584008">
              <w:t xml:space="preserve">NCSC guidance highlights the need for ransomware-resistant backups and tested recovery </w:t>
            </w:r>
            <w:r w:rsidR="00F44EE8">
              <w:fldChar w:fldCharType="begin"/>
            </w:r>
            <w:r w:rsidR="00F44EE8">
              <w:instrText xml:space="preserve"> ADDIN ZOTERO_ITEM CSL_CITATION {"citationID":"h9zOosyF","properties":{"unsorted":false,"formattedCitation":"[13]","plainCitation":"[13]","noteIndex":0},"citationItems":[{"id":83,"uris":["http://zotero.org/users/local/ZNi8sr8v/items/PKXSNW9I"],"itemData":{"id":83,"type":"webpage","publisher":"National Cyber Security Centre","title":"Ransomware-resistant backups","URL":"https://www.ncsc.gov.uk/collection/ransomware-resistant-backups","author":[{"literal":"National Cyber Security Centre"}],"issued":{"date-parts":[["2024",11,22]]}}}],"schema":"https://github.com/citation-style-language/schema/raw/master/csl-citation.json"} </w:instrText>
            </w:r>
            <w:r w:rsidR="00F44EE8">
              <w:fldChar w:fldCharType="separate"/>
            </w:r>
            <w:r w:rsidR="00F44EE8" w:rsidRPr="00F44EE8">
              <w:rPr>
                <w:rFonts w:ascii="Aptos" w:hAnsi="Aptos"/>
              </w:rPr>
              <w:t>[13]</w:t>
            </w:r>
            <w:r w:rsidR="00F44EE8">
              <w:fldChar w:fldCharType="end"/>
            </w:r>
          </w:p>
        </w:tc>
        <w:tc>
          <w:tcPr>
            <w:tcW w:w="3089" w:type="dxa"/>
            <w:tcBorders>
              <w:top w:val="single" w:sz="6" w:space="0" w:color="E6E6E6"/>
              <w:left w:val="single" w:sz="6" w:space="0" w:color="E6E6E6"/>
              <w:bottom w:val="single" w:sz="6" w:space="0" w:color="E6E6E6"/>
              <w:right w:val="single" w:sz="6" w:space="0" w:color="E6E6E6"/>
            </w:tcBorders>
            <w:vAlign w:val="center"/>
            <w:hideMark/>
          </w:tcPr>
          <w:p w14:paraId="27A03C5E" w14:textId="77777777" w:rsidR="00584008" w:rsidRPr="00584008" w:rsidRDefault="00584008" w:rsidP="00584008">
            <w:r w:rsidRPr="00584008">
              <w:t xml:space="preserve">Backups only reduce risk if restoration, </w:t>
            </w:r>
            <w:proofErr w:type="gramStart"/>
            <w:r w:rsidRPr="00584008">
              <w:t>integrity</w:t>
            </w:r>
            <w:proofErr w:type="gramEnd"/>
            <w:r w:rsidRPr="00584008">
              <w:t xml:space="preserve"> and credentials are </w:t>
            </w:r>
            <w:proofErr w:type="gramStart"/>
            <w:r w:rsidRPr="00584008">
              <w:t>tested</w:t>
            </w:r>
            <w:proofErr w:type="gramEnd"/>
            <w:r w:rsidRPr="00584008">
              <w:t>.</w:t>
            </w:r>
          </w:p>
        </w:tc>
        <w:tc>
          <w:tcPr>
            <w:tcW w:w="3120" w:type="dxa"/>
            <w:tcBorders>
              <w:top w:val="single" w:sz="6" w:space="0" w:color="E6E6E6"/>
              <w:left w:val="single" w:sz="6" w:space="0" w:color="E6E6E6"/>
              <w:bottom w:val="single" w:sz="6" w:space="0" w:color="E6E6E6"/>
              <w:right w:val="single" w:sz="6" w:space="0" w:color="E6E6E6"/>
            </w:tcBorders>
            <w:vAlign w:val="center"/>
            <w:hideMark/>
          </w:tcPr>
          <w:p w14:paraId="49389FF7" w14:textId="77777777" w:rsidR="00584008" w:rsidRPr="00584008" w:rsidRDefault="00584008" w:rsidP="00584008">
            <w:r w:rsidRPr="00584008">
              <w:t>Implement immutable backups, restore testing and a ransomware playbook.</w:t>
            </w:r>
          </w:p>
        </w:tc>
      </w:tr>
      <w:tr w:rsidR="00584008" w:rsidRPr="00584008" w14:paraId="613B3A2F" w14:textId="77777777" w:rsidTr="00BA16A2">
        <w:trPr>
          <w:tblCellSpacing w:w="15" w:type="dxa"/>
        </w:trPr>
        <w:tc>
          <w:tcPr>
            <w:tcW w:w="2506" w:type="dxa"/>
            <w:tcBorders>
              <w:top w:val="single" w:sz="6" w:space="0" w:color="E6E6E6"/>
              <w:left w:val="single" w:sz="6" w:space="0" w:color="E6E6E6"/>
              <w:bottom w:val="single" w:sz="6" w:space="0" w:color="E6E6E6"/>
              <w:right w:val="single" w:sz="6" w:space="0" w:color="E6E6E6"/>
            </w:tcBorders>
            <w:vAlign w:val="center"/>
            <w:hideMark/>
          </w:tcPr>
          <w:p w14:paraId="4E0E3C69" w14:textId="77777777" w:rsidR="00584008" w:rsidRPr="00584008" w:rsidRDefault="00584008" w:rsidP="00584008">
            <w:r w:rsidRPr="00584008">
              <w:t>Regulation requires evidence of governance and resilience.</w:t>
            </w:r>
          </w:p>
        </w:tc>
        <w:tc>
          <w:tcPr>
            <w:tcW w:w="4932" w:type="dxa"/>
            <w:tcBorders>
              <w:top w:val="single" w:sz="6" w:space="0" w:color="E6E6E6"/>
              <w:left w:val="single" w:sz="6" w:space="0" w:color="E6E6E6"/>
              <w:bottom w:val="single" w:sz="6" w:space="0" w:color="E6E6E6"/>
              <w:right w:val="single" w:sz="6" w:space="0" w:color="E6E6E6"/>
            </w:tcBorders>
            <w:vAlign w:val="center"/>
            <w:hideMark/>
          </w:tcPr>
          <w:p w14:paraId="133063B6" w14:textId="3204A820" w:rsidR="00584008" w:rsidRPr="00584008" w:rsidRDefault="00F95AB6" w:rsidP="00584008">
            <w:r>
              <w:t>GDPR and DORA</w:t>
            </w:r>
            <w:r w:rsidR="00584008" w:rsidRPr="00584008">
              <w:t xml:space="preserve"> require accountability, security of processing, incident handling, resilience and third-party ICT risk management </w:t>
            </w:r>
            <w:r w:rsidR="00F44EE8">
              <w:fldChar w:fldCharType="begin"/>
            </w:r>
            <w:r w:rsidR="00F44EE8">
              <w:instrText xml:space="preserve"> ADDIN ZOTERO_ITEM CSL_CITATION {"citationID":"1VuBmcC1","properties":{"unsorted":false,"formattedCitation":"[4], [5]","plainCitation":"[4], [5]","noteIndex":0},"citationItems":[{"id":75,"uris":["http://zotero.org/users/local/ZNi8sr8v/items/MK58I3WE"],"itemData":{"id":75,"type":"legislation","container-title":"Official Journal of the European Union","page":"1-88","title":"Regulation (EU) 2016/679: General Data Protection Regulation","URL":"https://eur-lex.europa.eu/eli/reg/2016/679/oj/eng","volume":"L119","author":[{"literal":"European Parliament"},{"literal":"Council of the European Union"}],"issued":{"date-parts":[["2016",4,27]]}}},{"id":76,"uris":["http://zotero.org/users/local/ZNi8sr8v/items/D6H5VDGY"],"itemData":{"id":76,"type":"legislation","container-title":"Official Journal of the European Union","page":"1-79","title":"Regulation (EU) 2022/2554 on Digital Operational Resilience for the Financial Sector (DORA)","URL":"https://eur-lex.europa.eu/eli/reg/2022/2554/oj","volume":"L333","author":[{"literal":"European Parliament"},{"literal":"Council of the European Union"}],"issued":{"date-parts":[["2022",12,14]]}}}],"schema":"https://github.com/citation-style-language/schema/raw/master/csl-citation.json"} </w:instrText>
            </w:r>
            <w:r w:rsidR="00F44EE8">
              <w:fldChar w:fldCharType="separate"/>
            </w:r>
            <w:r w:rsidR="00F44EE8" w:rsidRPr="00F44EE8">
              <w:rPr>
                <w:rFonts w:ascii="Aptos" w:hAnsi="Aptos"/>
              </w:rPr>
              <w:t>[4], [5]</w:t>
            </w:r>
            <w:r w:rsidR="00F44EE8">
              <w:fldChar w:fldCharType="end"/>
            </w:r>
          </w:p>
        </w:tc>
        <w:tc>
          <w:tcPr>
            <w:tcW w:w="3089" w:type="dxa"/>
            <w:tcBorders>
              <w:top w:val="single" w:sz="6" w:space="0" w:color="E6E6E6"/>
              <w:left w:val="single" w:sz="6" w:space="0" w:color="E6E6E6"/>
              <w:bottom w:val="single" w:sz="6" w:space="0" w:color="E6E6E6"/>
              <w:right w:val="single" w:sz="6" w:space="0" w:color="E6E6E6"/>
            </w:tcBorders>
            <w:vAlign w:val="center"/>
            <w:hideMark/>
          </w:tcPr>
          <w:p w14:paraId="426DEF3F" w14:textId="77777777" w:rsidR="00584008" w:rsidRPr="00584008" w:rsidRDefault="00584008" w:rsidP="00584008">
            <w:r w:rsidRPr="00584008">
              <w:t>Compliance can become superficial if it focuses on documents rather than operational controls.</w:t>
            </w:r>
          </w:p>
        </w:tc>
        <w:tc>
          <w:tcPr>
            <w:tcW w:w="3120" w:type="dxa"/>
            <w:tcBorders>
              <w:top w:val="single" w:sz="6" w:space="0" w:color="E6E6E6"/>
              <w:left w:val="single" w:sz="6" w:space="0" w:color="E6E6E6"/>
              <w:bottom w:val="single" w:sz="6" w:space="0" w:color="E6E6E6"/>
              <w:right w:val="single" w:sz="6" w:space="0" w:color="E6E6E6"/>
            </w:tcBorders>
            <w:vAlign w:val="center"/>
            <w:hideMark/>
          </w:tcPr>
          <w:p w14:paraId="0E800B39" w14:textId="77777777" w:rsidR="00584008" w:rsidRPr="00584008" w:rsidRDefault="00584008" w:rsidP="00584008">
            <w:r w:rsidRPr="00584008">
              <w:t>Create a compliance roadmap, evidence repository, DPO role and board reporting.</w:t>
            </w:r>
          </w:p>
        </w:tc>
      </w:tr>
      <w:tr w:rsidR="00584008" w:rsidRPr="00584008" w14:paraId="1719A943" w14:textId="77777777" w:rsidTr="00BA16A2">
        <w:trPr>
          <w:tblCellSpacing w:w="15" w:type="dxa"/>
        </w:trPr>
        <w:tc>
          <w:tcPr>
            <w:tcW w:w="2506" w:type="dxa"/>
            <w:tcBorders>
              <w:top w:val="single" w:sz="6" w:space="0" w:color="E6E6E6"/>
              <w:left w:val="single" w:sz="6" w:space="0" w:color="E6E6E6"/>
              <w:bottom w:val="single" w:sz="6" w:space="0" w:color="E6E6E6"/>
              <w:right w:val="single" w:sz="6" w:space="0" w:color="E6E6E6"/>
            </w:tcBorders>
            <w:vAlign w:val="center"/>
            <w:hideMark/>
          </w:tcPr>
          <w:p w14:paraId="38340AEB" w14:textId="77777777" w:rsidR="00584008" w:rsidRPr="00584008" w:rsidRDefault="00584008" w:rsidP="00584008">
            <w:r w:rsidRPr="00584008">
              <w:t xml:space="preserve">AI analytics creates additional integrity, </w:t>
            </w:r>
            <w:proofErr w:type="gramStart"/>
            <w:r w:rsidRPr="00584008">
              <w:t>privacy</w:t>
            </w:r>
            <w:proofErr w:type="gramEnd"/>
            <w:r w:rsidRPr="00584008">
              <w:t xml:space="preserve"> and governance risks.</w:t>
            </w:r>
          </w:p>
        </w:tc>
        <w:tc>
          <w:tcPr>
            <w:tcW w:w="4932" w:type="dxa"/>
            <w:tcBorders>
              <w:top w:val="single" w:sz="6" w:space="0" w:color="E6E6E6"/>
              <w:left w:val="single" w:sz="6" w:space="0" w:color="E6E6E6"/>
              <w:bottom w:val="single" w:sz="6" w:space="0" w:color="E6E6E6"/>
              <w:right w:val="single" w:sz="6" w:space="0" w:color="E6E6E6"/>
            </w:tcBorders>
            <w:vAlign w:val="center"/>
            <w:hideMark/>
          </w:tcPr>
          <w:p w14:paraId="3F93BE26" w14:textId="63557619" w:rsidR="00584008" w:rsidRPr="00584008" w:rsidRDefault="00584008" w:rsidP="00584008">
            <w:r w:rsidRPr="00584008">
              <w:t xml:space="preserve">AI governance literature highlights model monitoring, accountability, transparency and human oversight </w:t>
            </w:r>
            <w:r w:rsidR="004034BE">
              <w:fldChar w:fldCharType="begin"/>
            </w:r>
            <w:r w:rsidR="004034BE">
              <w:instrText xml:space="preserve"> ADDIN ZOTERO_ITEM CSL_CITATION {"citationID":"YghrYxJq","properties":{"unsorted":false,"formattedCitation":"[14], [15]","plainCitation":"[14], [15]","noteIndex":0},"citationItems":[{"id":90,"uris":["http://zotero.org/users/local/ZNi8sr8v/items/DGZUDNXB"],"itemData":{"id":90,"type":"paper-conference","DOI":"10.1145/3383455.3422564","event-title":"Proceedings of the 1st ACM International Conference on AI in Finance (ICAIF '20)","publisher":"ACM","title":"Towards Self-Regulating AI: Challenges and Opportunities of AI Model Governance in Financial Services","URL":"https://dl.acm.org/doi/10.1145/3383455.3422564","author":[{"family":"Kurshan","given":"Eren"},{"family":"Shen","given":"Hongda"},{"family":"Chen","given":"Jiahao"}],"issued":{"date-parts":[["2020"]]}}},{"id":92,"uris":["http://zotero.org/users/local/ZNi8sr8v/items/LSELPJ9D"],"itemData":{"id":92,"type":"article-journal","container-title":"Information","DOI":"10.3390/info15080432","issue":"8","journalAbbreviation":"Information","page":"432","title":"AI in the Financial Sector: The Line between Innovation, Regulation and Ethical Responsibility","volume":"15","author":[{"family":"Ridzuan","given":"Nurhadhinah Nadiah"},{"family":"Masri","given":"Masairol"},{"family":"Anshari","given":"Muhammad"},{"family":"Fitriyani","given":"Norma Latif"},{"family":"Syafrudin","given":"Muhammad"}],"issued":{"date-parts":[["2024"]]}}}],"schema":"https://github.com/citation-style-language/schema/raw/master/csl-citation.json"} </w:instrText>
            </w:r>
            <w:r w:rsidR="004034BE">
              <w:fldChar w:fldCharType="separate"/>
            </w:r>
            <w:r w:rsidR="004034BE" w:rsidRPr="004034BE">
              <w:rPr>
                <w:rFonts w:ascii="Aptos" w:hAnsi="Aptos"/>
              </w:rPr>
              <w:t>[14], [15]</w:t>
            </w:r>
            <w:r w:rsidR="004034BE">
              <w:fldChar w:fldCharType="end"/>
            </w:r>
          </w:p>
        </w:tc>
        <w:tc>
          <w:tcPr>
            <w:tcW w:w="3089" w:type="dxa"/>
            <w:tcBorders>
              <w:top w:val="single" w:sz="6" w:space="0" w:color="E6E6E6"/>
              <w:left w:val="single" w:sz="6" w:space="0" w:color="E6E6E6"/>
              <w:bottom w:val="single" w:sz="6" w:space="0" w:color="E6E6E6"/>
              <w:right w:val="single" w:sz="6" w:space="0" w:color="E6E6E6"/>
            </w:tcBorders>
            <w:vAlign w:val="center"/>
            <w:hideMark/>
          </w:tcPr>
          <w:p w14:paraId="21F29D69" w14:textId="77777777" w:rsidR="00584008" w:rsidRPr="00584008" w:rsidRDefault="00584008" w:rsidP="00584008">
            <w:r w:rsidRPr="00584008">
              <w:t xml:space="preserve">AI risks include data poisoning, biased outputs, privacy </w:t>
            </w:r>
            <w:proofErr w:type="gramStart"/>
            <w:r w:rsidRPr="00584008">
              <w:t>issues</w:t>
            </w:r>
            <w:proofErr w:type="gramEnd"/>
            <w:r w:rsidRPr="00584008">
              <w:t xml:space="preserve"> and over-reliance on automation.</w:t>
            </w:r>
          </w:p>
        </w:tc>
        <w:tc>
          <w:tcPr>
            <w:tcW w:w="3120" w:type="dxa"/>
            <w:tcBorders>
              <w:top w:val="single" w:sz="6" w:space="0" w:color="E6E6E6"/>
              <w:left w:val="single" w:sz="6" w:space="0" w:color="E6E6E6"/>
              <w:bottom w:val="single" w:sz="6" w:space="0" w:color="E6E6E6"/>
              <w:right w:val="single" w:sz="6" w:space="0" w:color="E6E6E6"/>
            </w:tcBorders>
            <w:vAlign w:val="center"/>
            <w:hideMark/>
          </w:tcPr>
          <w:p w14:paraId="738D844E" w14:textId="77777777" w:rsidR="00584008" w:rsidRPr="00584008" w:rsidRDefault="00584008" w:rsidP="00584008">
            <w:r w:rsidRPr="00584008">
              <w:t>Appoint an AI Security and Governance Specialist and control AI/cloud use through policy.</w:t>
            </w:r>
          </w:p>
        </w:tc>
      </w:tr>
    </w:tbl>
    <w:p w14:paraId="69520A90" w14:textId="77777777" w:rsidR="00844DEA" w:rsidRPr="00156C32" w:rsidRDefault="00844DEA" w:rsidP="00385118">
      <w:pPr>
        <w:sectPr w:rsidR="00844DEA" w:rsidRPr="00156C32" w:rsidSect="00BA16A2">
          <w:pgSz w:w="16840" w:h="19845" w:orient="landscape" w:code="9"/>
          <w:pgMar w:top="3805" w:right="1440" w:bottom="3805" w:left="6838" w:header="709" w:footer="709" w:gutter="0"/>
          <w:cols w:space="708"/>
          <w:docGrid w:linePitch="360"/>
        </w:sectPr>
      </w:pPr>
    </w:p>
    <w:p w14:paraId="2C7CEE14" w14:textId="5721605C" w:rsidR="009C09A1" w:rsidRPr="00156C32" w:rsidRDefault="00AF1B89" w:rsidP="00AF1B89">
      <w:pPr>
        <w:pStyle w:val="Heading2"/>
        <w:rPr>
          <w:rFonts w:asciiTheme="minorHAnsi" w:hAnsiTheme="minorHAnsi"/>
        </w:rPr>
      </w:pPr>
      <w:bookmarkStart w:id="10" w:name="_Toc234924623"/>
      <w:r w:rsidRPr="00156C32">
        <w:rPr>
          <w:rFonts w:asciiTheme="minorHAnsi" w:hAnsiTheme="minorHAnsi"/>
        </w:rPr>
        <w:lastRenderedPageBreak/>
        <w:t>9. Task 1 Conclusion</w:t>
      </w:r>
      <w:bookmarkEnd w:id="10"/>
    </w:p>
    <w:p w14:paraId="1DCF12F2" w14:textId="77777777" w:rsidR="00FC1D5C" w:rsidRDefault="00FC1D5C" w:rsidP="0055257C">
      <w:pPr>
        <w:sectPr w:rsidR="00FC1D5C" w:rsidSect="00EE7B5C">
          <w:pgSz w:w="11906" w:h="16838" w:code="9"/>
          <w:pgMar w:top="1440" w:right="1440" w:bottom="1440" w:left="1440" w:header="709" w:footer="709" w:gutter="0"/>
          <w:cols w:space="708"/>
          <w:docGrid w:linePitch="360"/>
        </w:sectPr>
      </w:pPr>
    </w:p>
    <w:p w14:paraId="013D7FBA" w14:textId="1B0EF2EA" w:rsidR="0055257C" w:rsidRPr="00156C32" w:rsidRDefault="0055257C" w:rsidP="0055257C">
      <w:r w:rsidRPr="00156C32">
        <w:t xml:space="preserve">This paper has argued that Zero Trust is necessary but not sufficient for modern data security and compliance. Its strength lies in replacing implicit trust with continuous verification, least privilege, segmentation, </w:t>
      </w:r>
      <w:proofErr w:type="gramStart"/>
      <w:r w:rsidRPr="00156C32">
        <w:t>monitoring</w:t>
      </w:r>
      <w:proofErr w:type="gramEnd"/>
      <w:r w:rsidRPr="00156C32">
        <w:t xml:space="preserve"> and automated response. However, it fails if treated as a product rather than a </w:t>
      </w:r>
      <w:r w:rsidRPr="00156C32">
        <w:t xml:space="preserve">governed transformation. For Aegis FinTech, Task 2 therefore combines Zero Trust controls with </w:t>
      </w:r>
      <w:r w:rsidR="00F95AB6">
        <w:t>GDPR and DORA</w:t>
      </w:r>
      <w:r w:rsidRPr="00156C32">
        <w:t xml:space="preserve"> evidence, ransomware recovery, cloud assurance, third-party oversight, AI </w:t>
      </w:r>
      <w:proofErr w:type="gramStart"/>
      <w:r w:rsidRPr="00156C32">
        <w:t>governance</w:t>
      </w:r>
      <w:proofErr w:type="gramEnd"/>
      <w:r w:rsidRPr="00156C32">
        <w:t xml:space="preserve"> and board-level accountability.</w:t>
      </w:r>
    </w:p>
    <w:p w14:paraId="2C168BE2" w14:textId="77777777" w:rsidR="00FC1D5C" w:rsidRDefault="00FC1D5C" w:rsidP="006C7D8A">
      <w:pPr>
        <w:pStyle w:val="Heading1"/>
        <w:rPr>
          <w:rFonts w:asciiTheme="minorHAnsi" w:hAnsiTheme="minorHAnsi"/>
        </w:rPr>
        <w:sectPr w:rsidR="00FC1D5C" w:rsidSect="00FC1D5C">
          <w:type w:val="continuous"/>
          <w:pgSz w:w="11906" w:h="16838" w:code="9"/>
          <w:pgMar w:top="1440" w:right="1440" w:bottom="1440" w:left="1440" w:header="709" w:footer="709" w:gutter="0"/>
          <w:cols w:num="2" w:space="708"/>
          <w:docGrid w:linePitch="360"/>
        </w:sectPr>
      </w:pPr>
    </w:p>
    <w:p w14:paraId="156E9FB3" w14:textId="68B19F69" w:rsidR="009C09A1" w:rsidRPr="00156C32" w:rsidRDefault="006C7D8A" w:rsidP="006C7D8A">
      <w:pPr>
        <w:pStyle w:val="Heading1"/>
        <w:rPr>
          <w:rFonts w:asciiTheme="minorHAnsi" w:hAnsiTheme="minorHAnsi"/>
        </w:rPr>
      </w:pPr>
      <w:bookmarkStart w:id="11" w:name="_Toc234924624"/>
      <w:r w:rsidRPr="00156C32">
        <w:rPr>
          <w:rFonts w:asciiTheme="minorHAnsi" w:hAnsiTheme="minorHAnsi"/>
        </w:rPr>
        <w:t xml:space="preserve">Task 2 </w:t>
      </w:r>
      <w:r w:rsidR="004B69AE" w:rsidRPr="00156C32">
        <w:rPr>
          <w:rFonts w:asciiTheme="minorHAnsi" w:hAnsiTheme="minorHAnsi"/>
        </w:rPr>
        <w:t>-</w:t>
      </w:r>
      <w:r w:rsidRPr="00156C32">
        <w:rPr>
          <w:rFonts w:asciiTheme="minorHAnsi" w:hAnsiTheme="minorHAnsi"/>
        </w:rPr>
        <w:t xml:space="preserve"> Work-Based Project: Chief Information Security Officer Proposal</w:t>
      </w:r>
      <w:bookmarkEnd w:id="11"/>
    </w:p>
    <w:p w14:paraId="79FC04BC" w14:textId="6087A04F" w:rsidR="009C09A1" w:rsidRPr="00156C32" w:rsidRDefault="00063EE1" w:rsidP="00063EE1">
      <w:pPr>
        <w:pStyle w:val="Heading2"/>
        <w:rPr>
          <w:rFonts w:asciiTheme="minorHAnsi" w:hAnsiTheme="minorHAnsi"/>
        </w:rPr>
      </w:pPr>
      <w:bookmarkStart w:id="12" w:name="_Toc234924625"/>
      <w:r w:rsidRPr="00156C32">
        <w:rPr>
          <w:rFonts w:asciiTheme="minorHAnsi" w:hAnsiTheme="minorHAnsi"/>
        </w:rPr>
        <w:t xml:space="preserve">1. </w:t>
      </w:r>
      <w:r w:rsidR="006C7D8A" w:rsidRPr="00156C32">
        <w:rPr>
          <w:rFonts w:asciiTheme="minorHAnsi" w:hAnsiTheme="minorHAnsi"/>
        </w:rPr>
        <w:t>Executive Overview</w:t>
      </w:r>
      <w:bookmarkEnd w:id="12"/>
    </w:p>
    <w:p w14:paraId="6156F78E" w14:textId="5D5473A1" w:rsidR="00FC52B6" w:rsidRPr="00FC52B6" w:rsidRDefault="00FC52B6" w:rsidP="00FC52B6">
      <w:r w:rsidRPr="00FC52B6">
        <w:t xml:space="preserve">As Chief Information Security Officer of Aegis FinTech Innovations Ltd., I propose the creation of a </w:t>
      </w:r>
      <w:proofErr w:type="gramStart"/>
      <w:r w:rsidRPr="00FC52B6">
        <w:t>dedicated</w:t>
      </w:r>
      <w:proofErr w:type="gramEnd"/>
      <w:r w:rsidRPr="00FC52B6">
        <w:t xml:space="preserve"> Information Security Unit to protect the company’s AI-powered financial analytics platform, support the Series B funding </w:t>
      </w:r>
      <w:proofErr w:type="gramStart"/>
      <w:r w:rsidRPr="00FC52B6">
        <w:t>round</w:t>
      </w:r>
      <w:proofErr w:type="gramEnd"/>
      <w:r w:rsidRPr="00FC52B6">
        <w:t xml:space="preserve"> and prepare for European Union expansion. The Task 1 research showed that Aegis must move beyond perimeter-based security towards Zero Trust, evidence-based governance, ransomware resilience, cloud assurance, AI </w:t>
      </w:r>
      <w:proofErr w:type="gramStart"/>
      <w:r w:rsidRPr="00FC52B6">
        <w:t>governance</w:t>
      </w:r>
      <w:proofErr w:type="gramEnd"/>
      <w:r w:rsidRPr="00FC52B6">
        <w:t xml:space="preserve"> and continuous monitoring.</w:t>
      </w:r>
    </w:p>
    <w:p w14:paraId="6063F4ED" w14:textId="77777777" w:rsidR="00FC52B6" w:rsidRDefault="00FC52B6" w:rsidP="00FC52B6">
      <w:r w:rsidRPr="00FC52B6">
        <w:t xml:space="preserve">The proposal converts those findings into seven board-level work-streams: organisational design, policy development, GDPR/DORA readiness, technical architecture, strategic risk assessment, ransomware </w:t>
      </w:r>
      <w:proofErr w:type="gramStart"/>
      <w:r w:rsidRPr="00FC52B6">
        <w:t>response</w:t>
      </w:r>
      <w:proofErr w:type="gramEnd"/>
      <w:r w:rsidRPr="00FC52B6">
        <w:t xml:space="preserve"> and governance roadmap. The programme has three priorities: reduce the highest operational risks first, evidence compliance through working controls rather than policy statements, and build a scalable security function suitable for EU expansion and investor due diligence.</w:t>
      </w:r>
    </w:p>
    <w:p w14:paraId="631896D5" w14:textId="6C7568FC" w:rsidR="00FC52B6" w:rsidRPr="00FC52B6" w:rsidRDefault="00FC52B6" w:rsidP="00FC52B6">
      <w:r w:rsidRPr="00FC52B6">
        <w:t xml:space="preserve">The design logic </w:t>
      </w:r>
      <w:proofErr w:type="gramStart"/>
      <w:r w:rsidRPr="00FC52B6">
        <w:t>is evidence-led</w:t>
      </w:r>
      <w:proofErr w:type="gramEnd"/>
      <w:r w:rsidRPr="00FC52B6">
        <w:t xml:space="preserve">. Identity compromise evidence from Verizon, IBM and Microsoft justifies MFA, Conditional Access, </w:t>
      </w:r>
      <w:proofErr w:type="gramStart"/>
      <w:r w:rsidRPr="00FC52B6">
        <w:t>PAM</w:t>
      </w:r>
      <w:proofErr w:type="gramEnd"/>
      <w:r w:rsidRPr="00FC52B6">
        <w:t xml:space="preserve"> and identity governance. Cloud misconfiguration evidence justifies CSPM, </w:t>
      </w:r>
      <w:proofErr w:type="spellStart"/>
      <w:r w:rsidRPr="00FC52B6">
        <w:t>IaC</w:t>
      </w:r>
      <w:proofErr w:type="spellEnd"/>
      <w:r w:rsidRPr="00FC52B6">
        <w:t xml:space="preserve"> scanning and secure baselines. Ransomware guidance justifies immutable backups, restore testing and an incident response playbook. </w:t>
      </w:r>
      <w:r w:rsidR="00F95AB6">
        <w:t>GDPR and DORA</w:t>
      </w:r>
      <w:r w:rsidRPr="00FC52B6">
        <w:t xml:space="preserve"> justify the DPO role, compliance roadmap, supplier </w:t>
      </w:r>
      <w:proofErr w:type="gramStart"/>
      <w:r w:rsidRPr="00FC52B6">
        <w:t>controls</w:t>
      </w:r>
      <w:proofErr w:type="gramEnd"/>
      <w:r w:rsidRPr="00FC52B6">
        <w:t xml:space="preserve"> and board reporting. Therefore, each work-stream is a direct response to risks identified in Task 1 rather than a generic security recommendation.</w:t>
      </w:r>
    </w:p>
    <w:p w14:paraId="144E647A" w14:textId="77777777" w:rsidR="00581E67" w:rsidRDefault="00581E67" w:rsidP="00385118"/>
    <w:p w14:paraId="5B0E8280" w14:textId="77777777" w:rsidR="00325AAF" w:rsidRDefault="00325AAF" w:rsidP="00385118"/>
    <w:p w14:paraId="6BFCB63D" w14:textId="77777777" w:rsidR="00325AAF" w:rsidRDefault="00325AAF" w:rsidP="00385118"/>
    <w:p w14:paraId="5CB7B009" w14:textId="77777777" w:rsidR="00325AAF" w:rsidRPr="00156C32" w:rsidRDefault="00325AAF" w:rsidP="00385118"/>
    <w:p w14:paraId="45FF863F" w14:textId="7E2478D5" w:rsidR="00581E67" w:rsidRPr="00156C32" w:rsidRDefault="00581E67" w:rsidP="00581E67">
      <w:pPr>
        <w:pStyle w:val="Heading2"/>
        <w:rPr>
          <w:rFonts w:asciiTheme="minorHAnsi" w:hAnsiTheme="minorHAnsi"/>
        </w:rPr>
      </w:pPr>
      <w:bookmarkStart w:id="13" w:name="_Toc234924626"/>
      <w:r w:rsidRPr="00156C32">
        <w:rPr>
          <w:rFonts w:asciiTheme="minorHAnsi" w:hAnsiTheme="minorHAnsi"/>
        </w:rPr>
        <w:t xml:space="preserve">2. Work-Stream 1: </w:t>
      </w:r>
      <w:r w:rsidR="00F95AB6">
        <w:rPr>
          <w:rFonts w:asciiTheme="minorHAnsi" w:hAnsiTheme="minorHAnsi"/>
        </w:rPr>
        <w:t>Organisational Design &amp; Resourcing</w:t>
      </w:r>
      <w:bookmarkEnd w:id="13"/>
    </w:p>
    <w:p w14:paraId="302E75C0" w14:textId="6D9C369F" w:rsidR="00325AAF" w:rsidRPr="0060545E" w:rsidRDefault="00325AAF" w:rsidP="00276DD4">
      <w:pPr>
        <w:rPr>
          <w:lang w:eastAsia="en-GB"/>
        </w:rPr>
      </w:pPr>
      <w:r w:rsidRPr="0060545E">
        <w:rPr>
          <w:lang w:eastAsia="en-GB"/>
        </w:rPr>
        <w:t>Figure 1: Proposed Information Security Unit Structure</w:t>
      </w:r>
    </w:p>
    <w:p w14:paraId="016803D2" w14:textId="77777777" w:rsidR="00325AAF" w:rsidRPr="0060545E" w:rsidRDefault="00325AAF" w:rsidP="00276DD4">
      <w:pPr>
        <w:rPr>
          <w:lang w:eastAsia="en-GB"/>
        </w:rPr>
      </w:pPr>
      <w:r w:rsidRPr="0060545E">
        <w:rPr>
          <w:lang w:eastAsia="en-GB"/>
        </w:rPr>
        <w:t>Board of Directors</w:t>
      </w:r>
    </w:p>
    <w:p w14:paraId="0E674431" w14:textId="77777777" w:rsidR="00325AAF" w:rsidRPr="0060545E" w:rsidRDefault="00325AAF" w:rsidP="00276DD4">
      <w:pPr>
        <w:rPr>
          <w:lang w:eastAsia="en-GB"/>
        </w:rPr>
      </w:pPr>
      <w:r w:rsidRPr="0060545E">
        <w:rPr>
          <w:lang w:eastAsia="en-GB"/>
        </w:rPr>
        <w:t>        ↓</w:t>
      </w:r>
    </w:p>
    <w:p w14:paraId="2AAFC86C" w14:textId="77777777" w:rsidR="00325AAF" w:rsidRPr="0060545E" w:rsidRDefault="00325AAF" w:rsidP="00276DD4">
      <w:pPr>
        <w:rPr>
          <w:lang w:eastAsia="en-GB"/>
        </w:rPr>
      </w:pPr>
      <w:r w:rsidRPr="0060545E">
        <w:rPr>
          <w:lang w:eastAsia="en-GB"/>
        </w:rPr>
        <w:t>Cyber Security Steering Committee</w:t>
      </w:r>
    </w:p>
    <w:p w14:paraId="34A89431" w14:textId="77777777" w:rsidR="00325AAF" w:rsidRPr="0060545E" w:rsidRDefault="00325AAF" w:rsidP="00276DD4">
      <w:pPr>
        <w:rPr>
          <w:lang w:eastAsia="en-GB"/>
        </w:rPr>
      </w:pPr>
      <w:r w:rsidRPr="0060545E">
        <w:rPr>
          <w:lang w:eastAsia="en-GB"/>
        </w:rPr>
        <w:t>        ↓</w:t>
      </w:r>
    </w:p>
    <w:p w14:paraId="4249D96E" w14:textId="77777777" w:rsidR="00325AAF" w:rsidRPr="0060545E" w:rsidRDefault="00325AAF" w:rsidP="00276DD4">
      <w:pPr>
        <w:rPr>
          <w:lang w:eastAsia="en-GB"/>
        </w:rPr>
      </w:pPr>
      <w:r w:rsidRPr="0060545E">
        <w:rPr>
          <w:lang w:eastAsia="en-GB"/>
        </w:rPr>
        <w:t>Chief Information Security Officer</w:t>
      </w:r>
    </w:p>
    <w:p w14:paraId="262726F1" w14:textId="77777777" w:rsidR="00325AAF" w:rsidRPr="00325AAF" w:rsidRDefault="00325AAF" w:rsidP="00276DD4">
      <w:pPr>
        <w:rPr>
          <w:lang w:eastAsia="en-GB"/>
        </w:rPr>
      </w:pPr>
      <w:r w:rsidRPr="00325AAF">
        <w:rPr>
          <w:lang w:eastAsia="en-GB"/>
        </w:rPr>
        <w:t>        ↓</w:t>
      </w:r>
    </w:p>
    <w:p w14:paraId="470DC2C4" w14:textId="77777777" w:rsidR="00325AAF" w:rsidRPr="00325AAF" w:rsidRDefault="00325AAF" w:rsidP="00276DD4">
      <w:pPr>
        <w:rPr>
          <w:lang w:eastAsia="en-GB"/>
        </w:rPr>
      </w:pPr>
      <w:r w:rsidRPr="00325AAF">
        <w:rPr>
          <w:lang w:eastAsia="en-GB"/>
        </w:rPr>
        <w:t xml:space="preserve">Security Operations | Cloud &amp; </w:t>
      </w:r>
      <w:proofErr w:type="spellStart"/>
      <w:r w:rsidRPr="00325AAF">
        <w:rPr>
          <w:lang w:eastAsia="en-GB"/>
        </w:rPr>
        <w:t>DevSecOps</w:t>
      </w:r>
      <w:proofErr w:type="spellEnd"/>
      <w:r w:rsidRPr="00325AAF">
        <w:rPr>
          <w:lang w:eastAsia="en-GB"/>
        </w:rPr>
        <w:t xml:space="preserve"> | GRC &amp; Compliance | AI Governance</w:t>
      </w:r>
    </w:p>
    <w:p w14:paraId="75F5C386" w14:textId="272CFB4E" w:rsidR="00325AAF" w:rsidRPr="00325AAF" w:rsidRDefault="00325AAF" w:rsidP="00276DD4">
      <w:pPr>
        <w:rPr>
          <w:lang w:eastAsia="en-GB"/>
        </w:rPr>
      </w:pPr>
      <w:r w:rsidRPr="00325AAF">
        <w:rPr>
          <w:lang w:eastAsia="en-GB"/>
        </w:rPr>
        <w:t>SOC Manager</w:t>
      </w:r>
      <w:r>
        <w:rPr>
          <w:lang w:eastAsia="en-GB"/>
        </w:rPr>
        <w:t xml:space="preserve"> </w:t>
      </w:r>
      <w:r w:rsidRPr="00325AAF">
        <w:rPr>
          <w:lang w:eastAsia="en-GB"/>
        </w:rPr>
        <w:t>|</w:t>
      </w:r>
      <w:r>
        <w:rPr>
          <w:lang w:eastAsia="en-GB"/>
        </w:rPr>
        <w:t xml:space="preserve"> </w:t>
      </w:r>
      <w:r w:rsidRPr="00325AAF">
        <w:rPr>
          <w:lang w:eastAsia="en-GB"/>
        </w:rPr>
        <w:t>Cloud Architect</w:t>
      </w:r>
      <w:r w:rsidR="008B5AB1">
        <w:rPr>
          <w:lang w:eastAsia="en-GB"/>
        </w:rPr>
        <w:t xml:space="preserve"> </w:t>
      </w:r>
      <w:r w:rsidRPr="00325AAF">
        <w:rPr>
          <w:lang w:eastAsia="en-GB"/>
        </w:rPr>
        <w:t>|</w:t>
      </w:r>
      <w:r w:rsidR="008B5AB1">
        <w:rPr>
          <w:lang w:eastAsia="en-GB"/>
        </w:rPr>
        <w:t xml:space="preserve"> </w:t>
      </w:r>
      <w:r w:rsidRPr="00325AAF">
        <w:rPr>
          <w:lang w:eastAsia="en-GB"/>
        </w:rPr>
        <w:t>GRC Lead</w:t>
      </w:r>
      <w:r w:rsidR="008B5AB1">
        <w:rPr>
          <w:lang w:eastAsia="en-GB"/>
        </w:rPr>
        <w:t xml:space="preserve"> </w:t>
      </w:r>
      <w:r w:rsidRPr="00325AAF">
        <w:rPr>
          <w:lang w:eastAsia="en-GB"/>
        </w:rPr>
        <w:t>| AI Security Specialist</w:t>
      </w:r>
    </w:p>
    <w:p w14:paraId="69A53F9B" w14:textId="57A8FDBF" w:rsidR="00325AAF" w:rsidRDefault="00325AAF" w:rsidP="00276DD4">
      <w:pPr>
        <w:rPr>
          <w:lang w:eastAsia="en-GB"/>
        </w:rPr>
      </w:pPr>
      <w:r w:rsidRPr="00325AAF">
        <w:rPr>
          <w:lang w:eastAsia="en-GB"/>
        </w:rPr>
        <w:t>Security Analysts</w:t>
      </w:r>
      <w:r w:rsidR="008B5AB1">
        <w:rPr>
          <w:lang w:eastAsia="en-GB"/>
        </w:rPr>
        <w:t xml:space="preserve"> </w:t>
      </w:r>
      <w:r w:rsidRPr="00325AAF">
        <w:rPr>
          <w:lang w:eastAsia="en-GB"/>
        </w:rPr>
        <w:t xml:space="preserve">| </w:t>
      </w:r>
      <w:proofErr w:type="spellStart"/>
      <w:r w:rsidRPr="00325AAF">
        <w:rPr>
          <w:lang w:eastAsia="en-GB"/>
        </w:rPr>
        <w:t>DevSecOps</w:t>
      </w:r>
      <w:proofErr w:type="spellEnd"/>
      <w:r w:rsidRPr="00325AAF">
        <w:rPr>
          <w:lang w:eastAsia="en-GB"/>
        </w:rPr>
        <w:t xml:space="preserve"> Eng.</w:t>
      </w:r>
      <w:r w:rsidR="008B5AB1">
        <w:rPr>
          <w:lang w:eastAsia="en-GB"/>
        </w:rPr>
        <w:t xml:space="preserve"> </w:t>
      </w:r>
      <w:r w:rsidRPr="00325AAF">
        <w:rPr>
          <w:lang w:eastAsia="en-GB"/>
        </w:rPr>
        <w:t>| DPO</w:t>
      </w:r>
      <w:r w:rsidR="008B5AB1">
        <w:rPr>
          <w:lang w:eastAsia="en-GB"/>
        </w:rPr>
        <w:t xml:space="preserve"> </w:t>
      </w:r>
      <w:r w:rsidRPr="00325AAF">
        <w:rPr>
          <w:lang w:eastAsia="en-GB"/>
        </w:rPr>
        <w:t>|</w:t>
      </w:r>
      <w:r w:rsidR="008B5AB1">
        <w:rPr>
          <w:lang w:eastAsia="en-GB"/>
        </w:rPr>
        <w:t xml:space="preserve"> </w:t>
      </w:r>
      <w:r w:rsidRPr="00325AAF">
        <w:rPr>
          <w:lang w:eastAsia="en-GB"/>
        </w:rPr>
        <w:t>IR Lead</w:t>
      </w:r>
      <w:r w:rsidR="008B5AB1">
        <w:rPr>
          <w:lang w:eastAsia="en-GB"/>
        </w:rPr>
        <w:t xml:space="preserve"> </w:t>
      </w:r>
      <w:r w:rsidRPr="00325AAF">
        <w:rPr>
          <w:lang w:eastAsia="en-GB"/>
        </w:rPr>
        <w:t>| Third-Party Risk |</w:t>
      </w:r>
    </w:p>
    <w:p w14:paraId="7CECE1B6" w14:textId="77777777" w:rsidR="008B5AB1" w:rsidRDefault="008B5AB1" w:rsidP="00276DD4">
      <w:pPr>
        <w:rPr>
          <w:lang w:eastAsia="en-GB"/>
        </w:rPr>
      </w:pPr>
    </w:p>
    <w:p w14:paraId="2B58D557" w14:textId="77777777" w:rsidR="008B5AB1" w:rsidRPr="008B5AB1" w:rsidRDefault="008B5AB1" w:rsidP="003D54DF">
      <w:pPr>
        <w:rPr>
          <w:lang w:eastAsia="en-GB"/>
        </w:rPr>
      </w:pPr>
      <w:r w:rsidRPr="008B5AB1">
        <w:rPr>
          <w:lang w:eastAsia="en-GB"/>
        </w:rPr>
        <w:t>Figure 1 separates operational security, cloud engineering, governance/</w:t>
      </w:r>
      <w:proofErr w:type="gramStart"/>
      <w:r w:rsidRPr="008B5AB1">
        <w:rPr>
          <w:lang w:eastAsia="en-GB"/>
        </w:rPr>
        <w:t>compliance</w:t>
      </w:r>
      <w:proofErr w:type="gramEnd"/>
      <w:r w:rsidRPr="008B5AB1">
        <w:rPr>
          <w:lang w:eastAsia="en-GB"/>
        </w:rPr>
        <w:t xml:space="preserve"> and AI risk while keeping accountability with the CISO and oversight with the Cyber Security Steering Committee. This reflects the Task 1 finding that Zero Trust requires governance, identity control, monitoring, supplier </w:t>
      </w:r>
      <w:proofErr w:type="gramStart"/>
      <w:r w:rsidRPr="008B5AB1">
        <w:rPr>
          <w:lang w:eastAsia="en-GB"/>
        </w:rPr>
        <w:t>assurance</w:t>
      </w:r>
      <w:proofErr w:type="gramEnd"/>
      <w:r w:rsidRPr="008B5AB1">
        <w:rPr>
          <w:lang w:eastAsia="en-GB"/>
        </w:rPr>
        <w:t xml:space="preserve"> and resilience rather than isolated technical tools.</w:t>
      </w:r>
    </w:p>
    <w:p w14:paraId="478EF143" w14:textId="77777777" w:rsidR="008B5AB1" w:rsidRPr="00325AAF" w:rsidRDefault="008B5AB1" w:rsidP="00325AAF">
      <w:pPr>
        <w:spacing w:after="0" w:line="240" w:lineRule="auto"/>
        <w:rPr>
          <w:rFonts w:eastAsia="Times New Roman" w:cs="Times New Roman"/>
          <w:kern w:val="0"/>
          <w:lang w:eastAsia="en-GB"/>
          <w14:ligatures w14:val="none"/>
        </w:rPr>
      </w:pPr>
    </w:p>
    <w:p w14:paraId="1D9F61FA" w14:textId="77777777" w:rsidR="00410895" w:rsidRDefault="00410895" w:rsidP="00410895"/>
    <w:p w14:paraId="1AEC707F" w14:textId="77777777" w:rsidR="00276DD4" w:rsidRDefault="00276DD4" w:rsidP="00410895"/>
    <w:p w14:paraId="7116F14B" w14:textId="77777777" w:rsidR="00276DD4" w:rsidRDefault="00276DD4" w:rsidP="00410895"/>
    <w:p w14:paraId="1668E9D6" w14:textId="77777777" w:rsidR="00276DD4" w:rsidRDefault="00276DD4" w:rsidP="00410895"/>
    <w:p w14:paraId="05873AAA" w14:textId="77777777" w:rsidR="00276DD4" w:rsidRDefault="00276DD4" w:rsidP="00410895"/>
    <w:p w14:paraId="13592CBA" w14:textId="77777777" w:rsidR="00276DD4" w:rsidRDefault="00276DD4" w:rsidP="00410895"/>
    <w:p w14:paraId="57EFBE9C" w14:textId="77777777" w:rsidR="00276DD4" w:rsidRDefault="00276DD4" w:rsidP="00410895"/>
    <w:p w14:paraId="25F1818C" w14:textId="77777777" w:rsidR="00276DD4" w:rsidRDefault="00276DD4" w:rsidP="00410895"/>
    <w:p w14:paraId="1C3DC458" w14:textId="77777777" w:rsidR="008121CD" w:rsidRDefault="008121CD" w:rsidP="00410895"/>
    <w:p w14:paraId="4D94C1F0" w14:textId="77777777" w:rsidR="00276DD4" w:rsidRPr="00156C32" w:rsidRDefault="00276DD4" w:rsidP="00410895"/>
    <w:tbl>
      <w:tblPr>
        <w:tblStyle w:val="GridTable1Light"/>
        <w:tblW w:w="0" w:type="auto"/>
        <w:tblLook w:val="04A0" w:firstRow="1" w:lastRow="0" w:firstColumn="1" w:lastColumn="0" w:noHBand="0" w:noVBand="1"/>
      </w:tblPr>
      <w:tblGrid>
        <w:gridCol w:w="2305"/>
        <w:gridCol w:w="2217"/>
        <w:gridCol w:w="2176"/>
        <w:gridCol w:w="2318"/>
      </w:tblGrid>
      <w:tr w:rsidR="00410895" w:rsidRPr="00156C32" w14:paraId="2221CCB8" w14:textId="77777777" w:rsidTr="003935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156082" w:themeFill="accent1"/>
            <w:hideMark/>
          </w:tcPr>
          <w:p w14:paraId="067E745B" w14:textId="77777777" w:rsidR="00410895" w:rsidRPr="00156C32" w:rsidRDefault="00410895" w:rsidP="00486748">
            <w:pPr>
              <w:rPr>
                <w:b w:val="0"/>
                <w:bCs w:val="0"/>
              </w:rPr>
            </w:pPr>
            <w:r w:rsidRPr="00156C32">
              <w:lastRenderedPageBreak/>
              <w:t>Role</w:t>
            </w:r>
          </w:p>
        </w:tc>
        <w:tc>
          <w:tcPr>
            <w:tcW w:w="0" w:type="auto"/>
            <w:shd w:val="clear" w:color="auto" w:fill="156082" w:themeFill="accent1"/>
            <w:hideMark/>
          </w:tcPr>
          <w:p w14:paraId="3C427644" w14:textId="77777777" w:rsidR="00410895" w:rsidRPr="00156C32" w:rsidRDefault="00410895"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Core responsibility</w:t>
            </w:r>
          </w:p>
        </w:tc>
        <w:tc>
          <w:tcPr>
            <w:tcW w:w="0" w:type="auto"/>
            <w:shd w:val="clear" w:color="auto" w:fill="156082" w:themeFill="accent1"/>
            <w:hideMark/>
          </w:tcPr>
          <w:p w14:paraId="5CBFD2D0" w14:textId="77777777" w:rsidR="00410895" w:rsidRPr="00156C32" w:rsidRDefault="00410895"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Justification</w:t>
            </w:r>
          </w:p>
        </w:tc>
        <w:tc>
          <w:tcPr>
            <w:tcW w:w="0" w:type="auto"/>
            <w:shd w:val="clear" w:color="auto" w:fill="156082" w:themeFill="accent1"/>
            <w:hideMark/>
          </w:tcPr>
          <w:p w14:paraId="460753AC" w14:textId="77777777" w:rsidR="00410895" w:rsidRPr="00156C32" w:rsidRDefault="00410895"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Link to Task 1</w:t>
            </w:r>
          </w:p>
        </w:tc>
      </w:tr>
      <w:tr w:rsidR="00410895" w:rsidRPr="00156C32" w14:paraId="2F2F422F"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05B78384" w14:textId="77777777" w:rsidR="00410895" w:rsidRPr="00156C32" w:rsidRDefault="00410895" w:rsidP="00486748">
            <w:r w:rsidRPr="00156C32">
              <w:t>CISO</w:t>
            </w:r>
          </w:p>
        </w:tc>
        <w:tc>
          <w:tcPr>
            <w:tcW w:w="0" w:type="auto"/>
            <w:hideMark/>
          </w:tcPr>
          <w:p w14:paraId="6C3D1C2B"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 xml:space="preserve">Own security strategy, risk appetite, board </w:t>
            </w:r>
            <w:proofErr w:type="gramStart"/>
            <w:r w:rsidRPr="00156C32">
              <w:t>reporting</w:t>
            </w:r>
            <w:proofErr w:type="gramEnd"/>
            <w:r w:rsidRPr="00156C32">
              <w:t xml:space="preserve"> and regulatory readiness</w:t>
            </w:r>
          </w:p>
        </w:tc>
        <w:tc>
          <w:tcPr>
            <w:tcW w:w="0" w:type="auto"/>
            <w:hideMark/>
          </w:tcPr>
          <w:p w14:paraId="7F6E86D1"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Aegis requires executive accountability for cyber risk</w:t>
            </w:r>
          </w:p>
        </w:tc>
        <w:tc>
          <w:tcPr>
            <w:tcW w:w="0" w:type="auto"/>
            <w:hideMark/>
          </w:tcPr>
          <w:p w14:paraId="4E370107"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 xml:space="preserve">Task </w:t>
            </w:r>
            <w:proofErr w:type="gramStart"/>
            <w:r w:rsidRPr="00156C32">
              <w:t>1</w:t>
            </w:r>
            <w:proofErr w:type="gramEnd"/>
            <w:r w:rsidRPr="00156C32">
              <w:t xml:space="preserve"> found Zero Trust requires governance, not tools alone</w:t>
            </w:r>
          </w:p>
        </w:tc>
      </w:tr>
      <w:tr w:rsidR="00410895" w:rsidRPr="00156C32" w14:paraId="69D1203A"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430ADA58" w14:textId="77777777" w:rsidR="00410895" w:rsidRPr="00156C32" w:rsidRDefault="00410895" w:rsidP="00486748">
            <w:r w:rsidRPr="00156C32">
              <w:t>Security Operations Manager</w:t>
            </w:r>
          </w:p>
        </w:tc>
        <w:tc>
          <w:tcPr>
            <w:tcW w:w="0" w:type="auto"/>
            <w:hideMark/>
          </w:tcPr>
          <w:p w14:paraId="12673092"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 xml:space="preserve">Run monitoring, </w:t>
            </w:r>
            <w:proofErr w:type="gramStart"/>
            <w:r w:rsidRPr="00156C32">
              <w:t>triage</w:t>
            </w:r>
            <w:proofErr w:type="gramEnd"/>
            <w:r w:rsidRPr="00156C32">
              <w:t xml:space="preserve"> and SOC processes</w:t>
            </w:r>
          </w:p>
        </w:tc>
        <w:tc>
          <w:tcPr>
            <w:tcW w:w="0" w:type="auto"/>
            <w:hideMark/>
          </w:tcPr>
          <w:p w14:paraId="1BBF1946"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Detection and response are essential for ransomware and identity threats</w:t>
            </w:r>
          </w:p>
        </w:tc>
        <w:tc>
          <w:tcPr>
            <w:tcW w:w="0" w:type="auto"/>
            <w:hideMark/>
          </w:tcPr>
          <w:p w14:paraId="0D3949CE"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Supports SIEM/SOAR/XDR findings</w:t>
            </w:r>
          </w:p>
        </w:tc>
      </w:tr>
      <w:tr w:rsidR="00410895" w:rsidRPr="00156C32" w14:paraId="30F66F66"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16CE3A59" w14:textId="77777777" w:rsidR="00410895" w:rsidRPr="00156C32" w:rsidRDefault="00410895" w:rsidP="00486748">
            <w:r w:rsidRPr="00156C32">
              <w:t>Cloud Security Architect</w:t>
            </w:r>
          </w:p>
        </w:tc>
        <w:tc>
          <w:tcPr>
            <w:tcW w:w="0" w:type="auto"/>
            <w:hideMark/>
          </w:tcPr>
          <w:p w14:paraId="00A123AE"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Design secure cloud architecture and CSPM controls</w:t>
            </w:r>
          </w:p>
        </w:tc>
        <w:tc>
          <w:tcPr>
            <w:tcW w:w="0" w:type="auto"/>
            <w:hideMark/>
          </w:tcPr>
          <w:p w14:paraId="40E2784B"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Aegis depends on cloud-hosted analytics and SaaS</w:t>
            </w:r>
          </w:p>
        </w:tc>
        <w:tc>
          <w:tcPr>
            <w:tcW w:w="0" w:type="auto"/>
            <w:hideMark/>
          </w:tcPr>
          <w:p w14:paraId="4B2DA3EC"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Responds to cloud misconfiguration risk</w:t>
            </w:r>
          </w:p>
        </w:tc>
      </w:tr>
      <w:tr w:rsidR="00410895" w:rsidRPr="00156C32" w14:paraId="42032737"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791C6DA6" w14:textId="77777777" w:rsidR="00410895" w:rsidRPr="00156C32" w:rsidRDefault="00410895" w:rsidP="00486748">
            <w:proofErr w:type="spellStart"/>
            <w:r w:rsidRPr="00156C32">
              <w:t>DevSecOps</w:t>
            </w:r>
            <w:proofErr w:type="spellEnd"/>
            <w:r w:rsidRPr="00156C32">
              <w:t xml:space="preserve"> Engineer</w:t>
            </w:r>
          </w:p>
        </w:tc>
        <w:tc>
          <w:tcPr>
            <w:tcW w:w="0" w:type="auto"/>
            <w:hideMark/>
          </w:tcPr>
          <w:p w14:paraId="52A77217"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 xml:space="preserve">Embed security into CI/CD, </w:t>
            </w:r>
            <w:proofErr w:type="spellStart"/>
            <w:r w:rsidRPr="00156C32">
              <w:t>IaC</w:t>
            </w:r>
            <w:proofErr w:type="spellEnd"/>
            <w:r w:rsidRPr="00156C32">
              <w:t xml:space="preserve"> and application pipelines</w:t>
            </w:r>
          </w:p>
        </w:tc>
        <w:tc>
          <w:tcPr>
            <w:tcW w:w="0" w:type="auto"/>
            <w:hideMark/>
          </w:tcPr>
          <w:p w14:paraId="7CD0AEB3"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Secure development reduces production vulnerabilities</w:t>
            </w:r>
          </w:p>
        </w:tc>
        <w:tc>
          <w:tcPr>
            <w:tcW w:w="0" w:type="auto"/>
            <w:hideMark/>
          </w:tcPr>
          <w:p w14:paraId="6CCAFAC4"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 xml:space="preserve">Based on </w:t>
            </w:r>
            <w:proofErr w:type="spellStart"/>
            <w:r w:rsidRPr="00156C32">
              <w:t>DevSecOps</w:t>
            </w:r>
            <w:proofErr w:type="spellEnd"/>
            <w:r w:rsidRPr="00156C32">
              <w:t xml:space="preserve"> evidence in Task 1</w:t>
            </w:r>
          </w:p>
        </w:tc>
      </w:tr>
      <w:tr w:rsidR="00410895" w:rsidRPr="00156C32" w14:paraId="5F965E61"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0E04461F" w14:textId="77777777" w:rsidR="00410895" w:rsidRPr="00156C32" w:rsidRDefault="00410895" w:rsidP="00486748">
            <w:r w:rsidRPr="00156C32">
              <w:t>Data Protection Officer</w:t>
            </w:r>
          </w:p>
        </w:tc>
        <w:tc>
          <w:tcPr>
            <w:tcW w:w="0" w:type="auto"/>
            <w:hideMark/>
          </w:tcPr>
          <w:p w14:paraId="5502BE45"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Oversee GDPR compliance, DPIAs and data subject rights</w:t>
            </w:r>
          </w:p>
        </w:tc>
        <w:tc>
          <w:tcPr>
            <w:tcW w:w="0" w:type="auto"/>
            <w:hideMark/>
          </w:tcPr>
          <w:p w14:paraId="654A40F2"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EU expansion requires privacy governance</w:t>
            </w:r>
          </w:p>
        </w:tc>
        <w:tc>
          <w:tcPr>
            <w:tcW w:w="0" w:type="auto"/>
            <w:hideMark/>
          </w:tcPr>
          <w:p w14:paraId="6CAA629F"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Supports GDPR accountability and data protection by design</w:t>
            </w:r>
          </w:p>
        </w:tc>
      </w:tr>
      <w:tr w:rsidR="00410895" w:rsidRPr="00156C32" w14:paraId="7CCDA180"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26AF8961" w14:textId="77777777" w:rsidR="00410895" w:rsidRPr="00156C32" w:rsidRDefault="00410895" w:rsidP="00486748">
            <w:r w:rsidRPr="00156C32">
              <w:t>GRC/Compliance Lead</w:t>
            </w:r>
          </w:p>
        </w:tc>
        <w:tc>
          <w:tcPr>
            <w:tcW w:w="0" w:type="auto"/>
            <w:hideMark/>
          </w:tcPr>
          <w:p w14:paraId="3736156C"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 xml:space="preserve">Maintain policies, risk register, </w:t>
            </w:r>
            <w:proofErr w:type="gramStart"/>
            <w:r w:rsidRPr="00156C32">
              <w:t>audits</w:t>
            </w:r>
            <w:proofErr w:type="gramEnd"/>
            <w:r w:rsidRPr="00156C32">
              <w:t xml:space="preserve"> and DORA evidence</w:t>
            </w:r>
          </w:p>
        </w:tc>
        <w:tc>
          <w:tcPr>
            <w:tcW w:w="0" w:type="auto"/>
            <w:hideMark/>
          </w:tcPr>
          <w:p w14:paraId="30E09924"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Board and regulators need evidence of control maturity</w:t>
            </w:r>
          </w:p>
        </w:tc>
        <w:tc>
          <w:tcPr>
            <w:tcW w:w="0" w:type="auto"/>
            <w:hideMark/>
          </w:tcPr>
          <w:p w14:paraId="335FC9CE"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Responds to governance and compliance findings</w:t>
            </w:r>
          </w:p>
        </w:tc>
      </w:tr>
      <w:tr w:rsidR="00410895" w:rsidRPr="00156C32" w14:paraId="76625FA3"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77B99825" w14:textId="77777777" w:rsidR="00410895" w:rsidRPr="00156C32" w:rsidRDefault="00410895" w:rsidP="00486748">
            <w:r w:rsidRPr="00156C32">
              <w:t>Security Analyst</w:t>
            </w:r>
          </w:p>
        </w:tc>
        <w:tc>
          <w:tcPr>
            <w:tcW w:w="0" w:type="auto"/>
            <w:hideMark/>
          </w:tcPr>
          <w:p w14:paraId="260EABF8"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Monitor alerts, investigate incidents and tune detections</w:t>
            </w:r>
          </w:p>
        </w:tc>
        <w:tc>
          <w:tcPr>
            <w:tcW w:w="0" w:type="auto"/>
            <w:hideMark/>
          </w:tcPr>
          <w:p w14:paraId="1BE80B8F"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Tools need skilled analysts to avoid alert fatigue</w:t>
            </w:r>
          </w:p>
        </w:tc>
        <w:tc>
          <w:tcPr>
            <w:tcW w:w="0" w:type="auto"/>
            <w:hideMark/>
          </w:tcPr>
          <w:p w14:paraId="301024D9"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Addresses SIEM/XDR limitations</w:t>
            </w:r>
          </w:p>
        </w:tc>
      </w:tr>
      <w:tr w:rsidR="00410895" w:rsidRPr="00156C32" w14:paraId="0A2DCBBF"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36FBE302" w14:textId="77777777" w:rsidR="00410895" w:rsidRPr="00156C32" w:rsidRDefault="00410895" w:rsidP="00486748">
            <w:r w:rsidRPr="00156C32">
              <w:t>Incident Response Lead</w:t>
            </w:r>
          </w:p>
        </w:tc>
        <w:tc>
          <w:tcPr>
            <w:tcW w:w="0" w:type="auto"/>
            <w:hideMark/>
          </w:tcPr>
          <w:p w14:paraId="784081B0"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 xml:space="preserve">Own playbooks, </w:t>
            </w:r>
            <w:proofErr w:type="gramStart"/>
            <w:r w:rsidRPr="00156C32">
              <w:t>exercises</w:t>
            </w:r>
            <w:proofErr w:type="gramEnd"/>
            <w:r w:rsidRPr="00156C32">
              <w:t xml:space="preserve"> and recovery coordination</w:t>
            </w:r>
          </w:p>
        </w:tc>
        <w:tc>
          <w:tcPr>
            <w:tcW w:w="0" w:type="auto"/>
            <w:hideMark/>
          </w:tcPr>
          <w:p w14:paraId="5DBC4575"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Ransomware requires rehearsed containment and recovery</w:t>
            </w:r>
          </w:p>
        </w:tc>
        <w:tc>
          <w:tcPr>
            <w:tcW w:w="0" w:type="auto"/>
            <w:hideMark/>
          </w:tcPr>
          <w:p w14:paraId="1AC1718C"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Links directly to ransomware evidence</w:t>
            </w:r>
          </w:p>
        </w:tc>
      </w:tr>
      <w:tr w:rsidR="00410895" w:rsidRPr="00156C32" w14:paraId="7934C821"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19EE2798" w14:textId="3035CAF3" w:rsidR="00410895" w:rsidRPr="00156C32" w:rsidRDefault="00A612C9" w:rsidP="00486748">
            <w:r>
              <w:t>AI Security and Governance Specialist</w:t>
            </w:r>
          </w:p>
        </w:tc>
        <w:tc>
          <w:tcPr>
            <w:tcW w:w="0" w:type="auto"/>
            <w:hideMark/>
          </w:tcPr>
          <w:p w14:paraId="6071B773"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 xml:space="preserve">Assess AI data, </w:t>
            </w:r>
            <w:proofErr w:type="gramStart"/>
            <w:r w:rsidRPr="00156C32">
              <w:t>model</w:t>
            </w:r>
            <w:proofErr w:type="gramEnd"/>
            <w:r w:rsidRPr="00156C32">
              <w:t xml:space="preserve"> and output risks</w:t>
            </w:r>
          </w:p>
        </w:tc>
        <w:tc>
          <w:tcPr>
            <w:tcW w:w="0" w:type="auto"/>
            <w:hideMark/>
          </w:tcPr>
          <w:p w14:paraId="0597B0B1"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Aegis uses AI-powered financial analytics</w:t>
            </w:r>
          </w:p>
        </w:tc>
        <w:tc>
          <w:tcPr>
            <w:tcW w:w="0" w:type="auto"/>
            <w:hideMark/>
          </w:tcPr>
          <w:p w14:paraId="276217B8"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Responds to AI governance findings</w:t>
            </w:r>
          </w:p>
        </w:tc>
      </w:tr>
      <w:tr w:rsidR="00410895" w:rsidRPr="00156C32" w14:paraId="1E7E3138" w14:textId="77777777" w:rsidTr="00393567">
        <w:tc>
          <w:tcPr>
            <w:cnfStyle w:val="001000000000" w:firstRow="0" w:lastRow="0" w:firstColumn="1" w:lastColumn="0" w:oddVBand="0" w:evenVBand="0" w:oddHBand="0" w:evenHBand="0" w:firstRowFirstColumn="0" w:firstRowLastColumn="0" w:lastRowFirstColumn="0" w:lastRowLastColumn="0"/>
            <w:tcW w:w="0" w:type="auto"/>
            <w:hideMark/>
          </w:tcPr>
          <w:p w14:paraId="78EE9578" w14:textId="77777777" w:rsidR="00410895" w:rsidRPr="00156C32" w:rsidRDefault="00410895" w:rsidP="00486748">
            <w:r w:rsidRPr="00156C32">
              <w:t>Third-Party Risk Manager</w:t>
            </w:r>
          </w:p>
        </w:tc>
        <w:tc>
          <w:tcPr>
            <w:tcW w:w="0" w:type="auto"/>
            <w:hideMark/>
          </w:tcPr>
          <w:p w14:paraId="73E9039E"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Assess suppliers, contracts, cloud vendors and exits</w:t>
            </w:r>
          </w:p>
        </w:tc>
        <w:tc>
          <w:tcPr>
            <w:tcW w:w="0" w:type="auto"/>
            <w:hideMark/>
          </w:tcPr>
          <w:p w14:paraId="4D3CBB4F"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DORA requires ICT third-party risk management</w:t>
            </w:r>
          </w:p>
        </w:tc>
        <w:tc>
          <w:tcPr>
            <w:tcW w:w="0" w:type="auto"/>
            <w:hideMark/>
          </w:tcPr>
          <w:p w14:paraId="2DEAA9BB" w14:textId="77777777" w:rsidR="00410895" w:rsidRPr="00156C32" w:rsidRDefault="00410895" w:rsidP="00486748">
            <w:pPr>
              <w:cnfStyle w:val="000000000000" w:firstRow="0" w:lastRow="0" w:firstColumn="0" w:lastColumn="0" w:oddVBand="0" w:evenVBand="0" w:oddHBand="0" w:evenHBand="0" w:firstRowFirstColumn="0" w:firstRowLastColumn="0" w:lastRowFirstColumn="0" w:lastRowLastColumn="0"/>
            </w:pPr>
            <w:r w:rsidRPr="00156C32">
              <w:t>Links to DORA and supply chain risk</w:t>
            </w:r>
          </w:p>
        </w:tc>
      </w:tr>
    </w:tbl>
    <w:p w14:paraId="3634D285" w14:textId="7D50A400" w:rsidR="00C8522E" w:rsidRPr="00156C32" w:rsidRDefault="00C8522E" w:rsidP="003D54DF">
      <w:r w:rsidRPr="00156C32">
        <w:t xml:space="preserve">Although shown within the security governance structure, the DPO must retain independence, senior management </w:t>
      </w:r>
      <w:proofErr w:type="gramStart"/>
      <w:r w:rsidRPr="00156C32">
        <w:t>access</w:t>
      </w:r>
      <w:proofErr w:type="gramEnd"/>
      <w:r w:rsidRPr="00156C32">
        <w:t xml:space="preserve"> and freedom from conflicts of </w:t>
      </w:r>
      <w:proofErr w:type="gramStart"/>
      <w:r w:rsidRPr="00156C32">
        <w:t>interest</w:t>
      </w:r>
      <w:proofErr w:type="gramEnd"/>
      <w:r w:rsidRPr="00156C32">
        <w:t xml:space="preserve"> so GDPR oversight </w:t>
      </w:r>
      <w:proofErr w:type="gramStart"/>
      <w:r w:rsidRPr="00156C32">
        <w:t>is not compromised</w:t>
      </w:r>
      <w:proofErr w:type="gramEnd"/>
      <w:r w:rsidRPr="00156C32">
        <w:t xml:space="preserve"> by operational security priorities. The DPO should </w:t>
      </w:r>
      <w:r w:rsidRPr="00156C32">
        <w:lastRenderedPageBreak/>
        <w:t xml:space="preserve">advise, </w:t>
      </w:r>
      <w:proofErr w:type="gramStart"/>
      <w:r w:rsidRPr="00156C32">
        <w:t>monitor</w:t>
      </w:r>
      <w:proofErr w:type="gramEnd"/>
      <w:r w:rsidRPr="00156C32">
        <w:t xml:space="preserve"> and challenge compliance activity, while the CISO remains accountable for implementing technical and organisational security controls.</w:t>
      </w:r>
    </w:p>
    <w:p w14:paraId="2F96B634" w14:textId="77777777" w:rsidR="00805E28" w:rsidRDefault="00805E28" w:rsidP="003D54DF">
      <w:r w:rsidRPr="00805E28">
        <w:t xml:space="preserve">The first-phase hires should be the Security Operations Manager, Cloud Security Architect, GRC/Compliance </w:t>
      </w:r>
      <w:proofErr w:type="gramStart"/>
      <w:r w:rsidRPr="00805E28">
        <w:t>Lead</w:t>
      </w:r>
      <w:proofErr w:type="gramEnd"/>
      <w:r w:rsidRPr="00805E28">
        <w:t xml:space="preserve"> and Incident Response Lead because they address the highest immediate risks: monitoring, cloud misconfiguration, regulatory </w:t>
      </w:r>
      <w:proofErr w:type="gramStart"/>
      <w:r w:rsidRPr="00805E28">
        <w:t>readiness</w:t>
      </w:r>
      <w:proofErr w:type="gramEnd"/>
      <w:r w:rsidRPr="00805E28">
        <w:t xml:space="preserve"> and ransomware recovery. The AI Security and Governance Specialist and Third-Party Risk Manager should then scale as the EU launch and supplier ecosystem matures. Board value: this structure creates clear accountability for operational security, compliance evidence, cloud assurance, AI </w:t>
      </w:r>
      <w:proofErr w:type="gramStart"/>
      <w:r w:rsidRPr="00805E28">
        <w:t>governance</w:t>
      </w:r>
      <w:proofErr w:type="gramEnd"/>
      <w:r w:rsidRPr="00805E28">
        <w:t xml:space="preserve"> and supplier risk before EU expansion.</w:t>
      </w:r>
    </w:p>
    <w:p w14:paraId="563751BF" w14:textId="44E21043" w:rsidR="00DA5F26" w:rsidRPr="00156C32" w:rsidRDefault="00DA5F26" w:rsidP="00DA5F26">
      <w:pPr>
        <w:pStyle w:val="Heading2"/>
        <w:rPr>
          <w:rFonts w:asciiTheme="minorHAnsi" w:hAnsiTheme="minorHAnsi"/>
        </w:rPr>
      </w:pPr>
      <w:bookmarkStart w:id="14" w:name="_Toc234924627"/>
      <w:r w:rsidRPr="00156C32">
        <w:rPr>
          <w:rFonts w:asciiTheme="minorHAnsi" w:hAnsiTheme="minorHAnsi"/>
        </w:rPr>
        <w:t>3. Work-Stream 2: Policy Framework Development</w:t>
      </w:r>
      <w:bookmarkEnd w:id="14"/>
    </w:p>
    <w:p w14:paraId="16AA0307" w14:textId="6C396C8E" w:rsidR="00DA5F26" w:rsidRPr="00156C32" w:rsidRDefault="00DA5F26" w:rsidP="00DA5F26">
      <w:pPr>
        <w:pStyle w:val="Heading3"/>
      </w:pPr>
      <w:bookmarkStart w:id="15" w:name="_Toc234924628"/>
      <w:r w:rsidRPr="00156C32">
        <w:t>3.1 Acceptable Use Policy for AI and Cloud Services</w:t>
      </w:r>
      <w:bookmarkEnd w:id="15"/>
    </w:p>
    <w:p w14:paraId="4EEC271F" w14:textId="7BF449FE" w:rsidR="009C09A1" w:rsidRPr="00156C32" w:rsidRDefault="00BE0CA4" w:rsidP="00385118">
      <w:r w:rsidRPr="00156C32">
        <w:t>This policy establishes mandatory controls for responsible AI and cloud service use at Aegis FinTech.</w:t>
      </w:r>
      <w:r w:rsidR="005A285B" w:rsidRPr="00156C32">
        <w:t xml:space="preserve"> </w:t>
      </w:r>
      <w:r w:rsidR="005A1218" w:rsidRPr="00156C32">
        <w:t xml:space="preserve">It prevents personal, financial, </w:t>
      </w:r>
      <w:proofErr w:type="gramStart"/>
      <w:r w:rsidR="005A1218" w:rsidRPr="00156C32">
        <w:t>confidential</w:t>
      </w:r>
      <w:proofErr w:type="gramEnd"/>
      <w:r w:rsidR="005A1218" w:rsidRPr="00156C32">
        <w:t xml:space="preserve"> or regulated data </w:t>
      </w:r>
      <w:proofErr w:type="gramStart"/>
      <w:r w:rsidR="005A1218" w:rsidRPr="00156C32">
        <w:t>being exposed</w:t>
      </w:r>
      <w:proofErr w:type="gramEnd"/>
      <w:r w:rsidR="005A1218" w:rsidRPr="00156C32">
        <w:t xml:space="preserve"> through unapproved AI tools, unmanaged </w:t>
      </w:r>
      <w:proofErr w:type="gramStart"/>
      <w:r w:rsidR="005A1218" w:rsidRPr="00156C32">
        <w:t>SaaS</w:t>
      </w:r>
      <w:proofErr w:type="gramEnd"/>
      <w:r w:rsidR="005A1218" w:rsidRPr="00156C32">
        <w:t xml:space="preserve"> or insecure cloud services</w:t>
      </w:r>
      <w:r w:rsidR="00506601" w:rsidRPr="00156C32">
        <w:t>. The policy applies to all employees, contractors, developers, analysts and third parties accessing Aegis systems or data.</w:t>
      </w:r>
    </w:p>
    <w:p w14:paraId="49A833F0" w14:textId="14CA45AC" w:rsidR="00506601" w:rsidRPr="00156C32" w:rsidRDefault="00506601" w:rsidP="00385118">
      <w:r w:rsidRPr="00156C32">
        <w:t xml:space="preserve">Only </w:t>
      </w:r>
      <w:r w:rsidR="00A50093" w:rsidRPr="00156C32">
        <w:t>approved</w:t>
      </w:r>
      <w:r w:rsidRPr="00156C32">
        <w:t xml:space="preserve"> AI tools and cloud services may </w:t>
      </w:r>
      <w:proofErr w:type="gramStart"/>
      <w:r w:rsidRPr="00156C32">
        <w:t>be used</w:t>
      </w:r>
      <w:proofErr w:type="gramEnd"/>
      <w:r w:rsidRPr="00156C32">
        <w:t xml:space="preserve"> for company business. Personal data, customer financial data, source code, credentials, security logs</w:t>
      </w:r>
      <w:r w:rsidR="00A50093" w:rsidRPr="00156C32">
        <w:t xml:space="preserve">, model training </w:t>
      </w:r>
      <w:proofErr w:type="gramStart"/>
      <w:r w:rsidR="00A50093" w:rsidRPr="00156C32">
        <w:t>data</w:t>
      </w:r>
      <w:proofErr w:type="gramEnd"/>
      <w:r w:rsidR="00A50093" w:rsidRPr="00156C32">
        <w:t xml:space="preserve"> and confidential business information </w:t>
      </w:r>
      <w:r w:rsidR="00A50093" w:rsidRPr="00156C32">
        <w:rPr>
          <w:b/>
          <w:bCs/>
        </w:rPr>
        <w:t>must</w:t>
      </w:r>
      <w:r w:rsidR="00A50093" w:rsidRPr="00156C32">
        <w:t xml:space="preserve"> not </w:t>
      </w:r>
      <w:proofErr w:type="gramStart"/>
      <w:r w:rsidR="00A50093" w:rsidRPr="00156C32">
        <w:t>be entered</w:t>
      </w:r>
      <w:proofErr w:type="gramEnd"/>
      <w:r w:rsidR="00A50093" w:rsidRPr="00156C32">
        <w:t xml:space="preserve"> into unauthorised AI tools.</w:t>
      </w:r>
      <w:r w:rsidR="00B64F7B" w:rsidRPr="00156C32">
        <w:t xml:space="preserve"> AI-generated outputs must </w:t>
      </w:r>
      <w:proofErr w:type="gramStart"/>
      <w:r w:rsidR="00B64F7B" w:rsidRPr="00156C32">
        <w:t>be reviewed</w:t>
      </w:r>
      <w:proofErr w:type="gramEnd"/>
      <w:r w:rsidR="00B64F7B" w:rsidRPr="00156C32">
        <w:t xml:space="preserve"> by a human before use in customer-facing, financial, compliance or security decisions. Cloud services must </w:t>
      </w:r>
      <w:proofErr w:type="gramStart"/>
      <w:r w:rsidR="00B64F7B" w:rsidRPr="00156C32">
        <w:t>be approved</w:t>
      </w:r>
      <w:proofErr w:type="gramEnd"/>
      <w:r w:rsidR="00B64F7B" w:rsidRPr="00156C32">
        <w:t xml:space="preserve"> through security review, </w:t>
      </w:r>
      <w:r w:rsidR="00E23DBF" w:rsidRPr="00156C32">
        <w:t xml:space="preserve">data protection </w:t>
      </w:r>
      <w:proofErr w:type="gramStart"/>
      <w:r w:rsidR="00E23DBF" w:rsidRPr="00156C32">
        <w:t>assessment</w:t>
      </w:r>
      <w:proofErr w:type="gramEnd"/>
      <w:r w:rsidR="00B64F7B" w:rsidRPr="00156C32">
        <w:t xml:space="preserve"> and procurement due diligence before use.</w:t>
      </w:r>
    </w:p>
    <w:p w14:paraId="388448FD" w14:textId="48D7ED4D" w:rsidR="000B2E25" w:rsidRDefault="000B2E25" w:rsidP="00385118">
      <w:r w:rsidRPr="00156C32">
        <w:t xml:space="preserve">Key controls include data classification, logging, DLP, encryption, access control, </w:t>
      </w:r>
      <w:proofErr w:type="gramStart"/>
      <w:r w:rsidRPr="00156C32">
        <w:t>monitoring</w:t>
      </w:r>
      <w:proofErr w:type="gramEnd"/>
      <w:r w:rsidRPr="00156C32">
        <w:t xml:space="preserve"> and periodic review.</w:t>
      </w:r>
      <w:r w:rsidR="00A56D20" w:rsidRPr="00156C32">
        <w:t xml:space="preserve"> Employees are accountable for misuse, and breaches may result in disciplinary action or contract termination. </w:t>
      </w:r>
      <w:r w:rsidR="009C7B50">
        <w:t xml:space="preserve">This converts the Task 1 evidence on AI governance, data </w:t>
      </w:r>
      <w:proofErr w:type="gramStart"/>
      <w:r w:rsidR="009C7B50">
        <w:t>exposure</w:t>
      </w:r>
      <w:proofErr w:type="gramEnd"/>
      <w:r w:rsidR="009C7B50">
        <w:t xml:space="preserve"> and cloud misconfiguration into enforceable controls for staff behaviour, approved </w:t>
      </w:r>
      <w:proofErr w:type="gramStart"/>
      <w:r w:rsidR="009C7B50">
        <w:t>services</w:t>
      </w:r>
      <w:proofErr w:type="gramEnd"/>
      <w:r w:rsidR="009C7B50">
        <w:t xml:space="preserve"> and audit evidence.</w:t>
      </w:r>
    </w:p>
    <w:p w14:paraId="766BB076" w14:textId="77777777" w:rsidR="00276DD4" w:rsidRDefault="00276DD4" w:rsidP="00385118"/>
    <w:p w14:paraId="4DF16FC4" w14:textId="77777777" w:rsidR="00276DD4" w:rsidRDefault="00276DD4" w:rsidP="00385118"/>
    <w:p w14:paraId="50DCBA62" w14:textId="77777777" w:rsidR="008121CD" w:rsidRDefault="008121CD" w:rsidP="00385118"/>
    <w:p w14:paraId="052B0FA0" w14:textId="77777777" w:rsidR="00276DD4" w:rsidRPr="00156C32" w:rsidRDefault="00276DD4" w:rsidP="00385118"/>
    <w:p w14:paraId="186FB162" w14:textId="71A590BF" w:rsidR="006E342F" w:rsidRPr="00156C32" w:rsidRDefault="006E342F" w:rsidP="006E342F">
      <w:pPr>
        <w:pStyle w:val="Heading3"/>
      </w:pPr>
      <w:bookmarkStart w:id="16" w:name="_Toc234924629"/>
      <w:r w:rsidRPr="00156C32">
        <w:lastRenderedPageBreak/>
        <w:t>3.2 Hybrid Work and Remote Access Security Policy</w:t>
      </w:r>
      <w:bookmarkEnd w:id="16"/>
    </w:p>
    <w:p w14:paraId="75E271EE" w14:textId="5B8AB167" w:rsidR="009C09A1" w:rsidRPr="00156C32" w:rsidRDefault="00DD711B" w:rsidP="00385118">
      <w:r w:rsidRPr="00156C32">
        <w:t>This policy defines secure access requirements for hybrid and remote working.</w:t>
      </w:r>
      <w:r w:rsidR="001334E1" w:rsidRPr="00156C32">
        <w:t xml:space="preserve"> </w:t>
      </w:r>
      <w:r w:rsidR="00AC1B18" w:rsidRPr="00156C32">
        <w:t xml:space="preserve">It enables flexible working while reducing identity compromise, </w:t>
      </w:r>
      <w:proofErr w:type="gramStart"/>
      <w:r w:rsidR="00AC1B18" w:rsidRPr="00156C32">
        <w:t>ransomware</w:t>
      </w:r>
      <w:proofErr w:type="gramEnd"/>
      <w:r w:rsidR="00AC1B18" w:rsidRPr="00156C32">
        <w:t xml:space="preserve"> and unauthorised access risk</w:t>
      </w:r>
      <w:r w:rsidR="001E16CF" w:rsidRPr="00156C32">
        <w:t xml:space="preserve">. It applies to all remote access to </w:t>
      </w:r>
      <w:r w:rsidR="00E23DBF" w:rsidRPr="00156C32">
        <w:t xml:space="preserve">Aegis applications, cloud services, development </w:t>
      </w:r>
      <w:proofErr w:type="gramStart"/>
      <w:r w:rsidR="00E23DBF" w:rsidRPr="00156C32">
        <w:t>environments</w:t>
      </w:r>
      <w:proofErr w:type="gramEnd"/>
      <w:r w:rsidR="00E23DBF" w:rsidRPr="00156C32">
        <w:t xml:space="preserve"> and data stores.</w:t>
      </w:r>
    </w:p>
    <w:p w14:paraId="650A05CB" w14:textId="11BA0584" w:rsidR="001E16CF" w:rsidRPr="00156C32" w:rsidRDefault="001E16CF" w:rsidP="00385118">
      <w:r w:rsidRPr="00156C32">
        <w:t xml:space="preserve">All remote access must use MFA, Conditional </w:t>
      </w:r>
      <w:proofErr w:type="gramStart"/>
      <w:r w:rsidRPr="00156C32">
        <w:t>Access</w:t>
      </w:r>
      <w:proofErr w:type="gramEnd"/>
      <w:r w:rsidRPr="00156C32">
        <w:t xml:space="preserve"> and compliant managed devices unless formally risk accepted. Access will </w:t>
      </w:r>
      <w:proofErr w:type="gramStart"/>
      <w:r w:rsidRPr="00156C32">
        <w:t>be granted</w:t>
      </w:r>
      <w:proofErr w:type="gramEnd"/>
      <w:r w:rsidRPr="00156C32">
        <w:t xml:space="preserve"> through ZTNA or approved secure connectivity rather than broad network access</w:t>
      </w:r>
      <w:r w:rsidR="00CA224A" w:rsidRPr="00156C32">
        <w:t xml:space="preserve">. Users must operate from </w:t>
      </w:r>
      <w:r w:rsidR="00AB768B">
        <w:t>secure Wi-Fi</w:t>
      </w:r>
      <w:r w:rsidR="00CA224A" w:rsidRPr="00156C32">
        <w:t xml:space="preserve"> or approved secure remote access services, protect devices from shared use, report </w:t>
      </w:r>
      <w:proofErr w:type="gramStart"/>
      <w:r w:rsidR="00CA224A" w:rsidRPr="00156C32">
        <w:t>loss</w:t>
      </w:r>
      <w:proofErr w:type="gramEnd"/>
      <w:r w:rsidR="00CA224A" w:rsidRPr="00156C32">
        <w:t xml:space="preserve"> or compromise immediately, and avoid s</w:t>
      </w:r>
      <w:r w:rsidR="00137A4E" w:rsidRPr="00156C32">
        <w:t>toring company data outside approved locations.</w:t>
      </w:r>
    </w:p>
    <w:p w14:paraId="01855F22" w14:textId="47D33CA1" w:rsidR="00137A4E" w:rsidRPr="00156C32" w:rsidRDefault="00137A4E" w:rsidP="00385118">
      <w:r w:rsidRPr="00156C32">
        <w:t xml:space="preserve">Least </w:t>
      </w:r>
      <w:r w:rsidR="001708C7" w:rsidRPr="00156C32">
        <w:t>privilege</w:t>
      </w:r>
      <w:r w:rsidRPr="00156C32">
        <w:t xml:space="preserve"> will apply to all remote sessions. </w:t>
      </w:r>
      <w:r w:rsidR="001708C7" w:rsidRPr="00156C32">
        <w:t>Privileged</w:t>
      </w:r>
      <w:r w:rsidRPr="00156C32">
        <w:t xml:space="preserve"> administration must use PAM, session </w:t>
      </w:r>
      <w:proofErr w:type="gramStart"/>
      <w:r w:rsidRPr="00156C32">
        <w:t>monitoring</w:t>
      </w:r>
      <w:proofErr w:type="gramEnd"/>
      <w:r w:rsidRPr="00156C32">
        <w:t xml:space="preserve"> and separate administrator accounts. Logs must </w:t>
      </w:r>
      <w:proofErr w:type="gramStart"/>
      <w:r w:rsidRPr="00156C32">
        <w:t>be sent</w:t>
      </w:r>
      <w:proofErr w:type="gramEnd"/>
      <w:r w:rsidRPr="00156C32">
        <w:t xml:space="preserve"> to the SIEM for </w:t>
      </w:r>
      <w:r w:rsidR="00AB768B">
        <w:t>detection and investigation</w:t>
      </w:r>
      <w:r w:rsidRPr="00156C32">
        <w:t xml:space="preserve">. </w:t>
      </w:r>
      <w:r w:rsidR="009C7B50">
        <w:t xml:space="preserve">The practical implication from Task 1 is that hybrid access should </w:t>
      </w:r>
      <w:proofErr w:type="gramStart"/>
      <w:r w:rsidR="009C7B50">
        <w:t>be granted</w:t>
      </w:r>
      <w:proofErr w:type="gramEnd"/>
      <w:r w:rsidR="009C7B50">
        <w:t xml:space="preserve"> only where identity, device posture and session risk </w:t>
      </w:r>
      <w:proofErr w:type="gramStart"/>
      <w:r w:rsidR="009C7B50">
        <w:t>are verified</w:t>
      </w:r>
      <w:proofErr w:type="gramEnd"/>
      <w:r w:rsidR="009C7B50">
        <w:t xml:space="preserve">, rather than because a user </w:t>
      </w:r>
      <w:proofErr w:type="gramStart"/>
      <w:r w:rsidR="009C7B50">
        <w:t>appears to be</w:t>
      </w:r>
      <w:proofErr w:type="gramEnd"/>
      <w:r w:rsidR="009C7B50">
        <w:t xml:space="preserve"> on a trusted network.</w:t>
      </w:r>
    </w:p>
    <w:p w14:paraId="0D68C4D0" w14:textId="2CA31AD3" w:rsidR="00D51A63" w:rsidRPr="00156C32" w:rsidRDefault="00D51A63" w:rsidP="00D51A63">
      <w:pPr>
        <w:pStyle w:val="Heading3"/>
      </w:pPr>
      <w:bookmarkStart w:id="17" w:name="_Toc234924630"/>
      <w:r w:rsidRPr="00156C32">
        <w:t>3.3 Third-Party and Cloud Vendor Risk Management Policy</w:t>
      </w:r>
      <w:bookmarkEnd w:id="17"/>
    </w:p>
    <w:p w14:paraId="3D0ECB8C" w14:textId="341D35D0" w:rsidR="009C09A1" w:rsidRPr="00156C32" w:rsidRDefault="00DD711B" w:rsidP="00385118">
      <w:r w:rsidRPr="00156C32">
        <w:t xml:space="preserve">This policy establishes mandatory security, </w:t>
      </w:r>
      <w:proofErr w:type="gramStart"/>
      <w:r w:rsidRPr="00156C32">
        <w:t>resilience</w:t>
      </w:r>
      <w:proofErr w:type="gramEnd"/>
      <w:r w:rsidRPr="00156C32">
        <w:t xml:space="preserve"> and data protection controls for third-party and cloud vendors.</w:t>
      </w:r>
      <w:r w:rsidR="006C6D0C" w:rsidRPr="00156C32">
        <w:t xml:space="preserve"> </w:t>
      </w:r>
      <w:r w:rsidR="00785C58" w:rsidRPr="00156C32">
        <w:t xml:space="preserve">It reduces supplier, SaaS, API, cloud </w:t>
      </w:r>
      <w:proofErr w:type="gramStart"/>
      <w:r w:rsidR="00785C58" w:rsidRPr="00156C32">
        <w:t>concentration</w:t>
      </w:r>
      <w:proofErr w:type="gramEnd"/>
      <w:r w:rsidR="00785C58" w:rsidRPr="00156C32">
        <w:t xml:space="preserve"> and ICT dependency risk.</w:t>
      </w:r>
      <w:r w:rsidR="006C6D0C" w:rsidRPr="00156C32">
        <w:t xml:space="preserve"> The policy applies to all vendors that process, store, transmit or can affect the availability of </w:t>
      </w:r>
      <w:r w:rsidR="00382653" w:rsidRPr="00156C32">
        <w:t xml:space="preserve">Aegis data, </w:t>
      </w:r>
      <w:proofErr w:type="gramStart"/>
      <w:r w:rsidR="00382653" w:rsidRPr="00156C32">
        <w:t>systems</w:t>
      </w:r>
      <w:proofErr w:type="gramEnd"/>
      <w:r w:rsidR="00382653" w:rsidRPr="00156C32">
        <w:t xml:space="preserve"> or services.</w:t>
      </w:r>
    </w:p>
    <w:p w14:paraId="685F3095" w14:textId="2489E8E4" w:rsidR="000D78EF" w:rsidRPr="00156C32" w:rsidRDefault="000D78EF" w:rsidP="00385118">
      <w:r w:rsidRPr="00156C32">
        <w:t xml:space="preserve">Before onboarding, </w:t>
      </w:r>
      <w:r w:rsidR="00B274AF" w:rsidRPr="00156C32">
        <w:t>vendors must complete due diligence covering security controls, certification</w:t>
      </w:r>
      <w:r w:rsidR="00EE5888" w:rsidRPr="00156C32">
        <w:t>s</w:t>
      </w:r>
      <w:r w:rsidR="00B274AF" w:rsidRPr="00156C32">
        <w:t>, data locations</w:t>
      </w:r>
      <w:r w:rsidR="002C0AAD" w:rsidRPr="00156C32">
        <w:t xml:space="preserve">, subcontractors, incident history, resilience, backup, access </w:t>
      </w:r>
      <w:proofErr w:type="gramStart"/>
      <w:r w:rsidR="002C0AAD" w:rsidRPr="00156C32">
        <w:t>management</w:t>
      </w:r>
      <w:proofErr w:type="gramEnd"/>
      <w:r w:rsidR="002C0AAD" w:rsidRPr="00156C32">
        <w:t xml:space="preserve"> and regulatory obligations</w:t>
      </w:r>
      <w:r w:rsidR="006253C2" w:rsidRPr="00156C32">
        <w:t xml:space="preserve">. Contracts must include security clauses, audit rights, data processing terms, breach notification requirements, DORA-aligned ICT incident obligations, exit planning, secure </w:t>
      </w:r>
      <w:proofErr w:type="gramStart"/>
      <w:r w:rsidR="006253C2" w:rsidRPr="00156C32">
        <w:t>deletion</w:t>
      </w:r>
      <w:proofErr w:type="gramEnd"/>
      <w:r w:rsidR="006253C2" w:rsidRPr="00156C32">
        <w:t xml:space="preserve"> and business continuity commitments.</w:t>
      </w:r>
    </w:p>
    <w:p w14:paraId="759CFB49" w14:textId="6609135E" w:rsidR="00FE0DF4" w:rsidRDefault="00FE0DF4" w:rsidP="00385118">
      <w:r w:rsidRPr="00156C32">
        <w:t xml:space="preserve">High-risk vendors must </w:t>
      </w:r>
      <w:proofErr w:type="gramStart"/>
      <w:r w:rsidRPr="00156C32">
        <w:t>be reviewed</w:t>
      </w:r>
      <w:proofErr w:type="gramEnd"/>
      <w:r w:rsidRPr="00156C32">
        <w:t xml:space="preserve"> at least annually and monitored for material changes. Cloud vendors must support logging, encrypti</w:t>
      </w:r>
      <w:r w:rsidR="001E2733" w:rsidRPr="00156C32">
        <w:t xml:space="preserve">on, identity integration, secure </w:t>
      </w:r>
      <w:proofErr w:type="gramStart"/>
      <w:r w:rsidR="001E2733" w:rsidRPr="00156C32">
        <w:t>configuration</w:t>
      </w:r>
      <w:proofErr w:type="gramEnd"/>
      <w:r w:rsidR="001E2733" w:rsidRPr="00156C32">
        <w:t xml:space="preserve"> and recovery evidence. </w:t>
      </w:r>
      <w:r w:rsidR="009C7B50">
        <w:t xml:space="preserve">This converts the Task 1 evidence on supplier dependency into contractual, assurance and exit controls, reducing the risk that SaaS, </w:t>
      </w:r>
      <w:proofErr w:type="gramStart"/>
      <w:r w:rsidR="009C7B50">
        <w:t>cloud</w:t>
      </w:r>
      <w:proofErr w:type="gramEnd"/>
      <w:r w:rsidR="009C7B50">
        <w:t xml:space="preserve"> or API providers become unmanaged operational weaknesses.</w:t>
      </w:r>
    </w:p>
    <w:p w14:paraId="332379E3" w14:textId="77777777" w:rsidR="009C7B50" w:rsidRPr="009C7B50" w:rsidRDefault="009C7B50" w:rsidP="009C7B50">
      <w:r w:rsidRPr="009C7B50">
        <w:t xml:space="preserve">Aegis should also map </w:t>
      </w:r>
      <w:proofErr w:type="gramStart"/>
      <w:r w:rsidRPr="009C7B50">
        <w:t>fourth-party</w:t>
      </w:r>
      <w:proofErr w:type="gramEnd"/>
      <w:r w:rsidRPr="009C7B50">
        <w:t xml:space="preserve"> and concentration risk, because </w:t>
      </w:r>
      <w:proofErr w:type="gramStart"/>
      <w:r w:rsidRPr="009C7B50">
        <w:t>several</w:t>
      </w:r>
      <w:proofErr w:type="gramEnd"/>
      <w:r w:rsidRPr="009C7B50">
        <w:t xml:space="preserve"> critical services may depend on the same cloud provider, </w:t>
      </w:r>
      <w:proofErr w:type="gramStart"/>
      <w:r w:rsidRPr="009C7B50">
        <w:t>subcontractor</w:t>
      </w:r>
      <w:proofErr w:type="gramEnd"/>
      <w:r w:rsidRPr="009C7B50">
        <w:t xml:space="preserve"> or managed platform.</w:t>
      </w:r>
    </w:p>
    <w:p w14:paraId="0D7C5714" w14:textId="256FAF04" w:rsidR="00D131C6" w:rsidRPr="00156C32" w:rsidRDefault="00BF67DE" w:rsidP="00385118">
      <w:r w:rsidRPr="00BF67DE">
        <w:t xml:space="preserve">Board value: these policies turn the Task 1 research findings into enforceable rules that reduce staff misuse, cloud/AI data leakage, remote access </w:t>
      </w:r>
      <w:proofErr w:type="gramStart"/>
      <w:r w:rsidRPr="00BF67DE">
        <w:t>risk</w:t>
      </w:r>
      <w:proofErr w:type="gramEnd"/>
      <w:r w:rsidRPr="00BF67DE">
        <w:t xml:space="preserve"> and supplier exposure.</w:t>
      </w:r>
    </w:p>
    <w:p w14:paraId="7F64EF5A" w14:textId="3436EB91" w:rsidR="00F11DE3" w:rsidRDefault="007E709B" w:rsidP="001A1DDB">
      <w:pPr>
        <w:pStyle w:val="Heading2"/>
        <w:rPr>
          <w:rFonts w:asciiTheme="minorHAnsi" w:hAnsiTheme="minorHAnsi"/>
        </w:rPr>
      </w:pPr>
      <w:bookmarkStart w:id="18" w:name="_Toc234924631"/>
      <w:r w:rsidRPr="00156C32">
        <w:rPr>
          <w:rFonts w:asciiTheme="minorHAnsi" w:hAnsiTheme="minorHAnsi"/>
        </w:rPr>
        <w:lastRenderedPageBreak/>
        <w:t>4. Work-Stream 3: Regulatory Compliance Strategy</w:t>
      </w:r>
      <w:bookmarkEnd w:id="18"/>
    </w:p>
    <w:p w14:paraId="7EA85C92" w14:textId="739FD533" w:rsidR="00DF296E" w:rsidRPr="00DF296E" w:rsidRDefault="00E052D2" w:rsidP="00DF296E">
      <w:r w:rsidRPr="00E052D2">
        <w:t xml:space="preserve">The compliance roadmap maps </w:t>
      </w:r>
      <w:r w:rsidR="00F95AB6">
        <w:t>GDPR and DORA</w:t>
      </w:r>
      <w:r w:rsidRPr="00E052D2">
        <w:t xml:space="preserve"> into operational evidence rather than treating compliance as documentation alone. GDPR controls will focus on accountability, records of processing activities, data protection by design and default, processor governance, security of processing, data subject </w:t>
      </w:r>
      <w:proofErr w:type="gramStart"/>
      <w:r w:rsidRPr="00E052D2">
        <w:t>rights</w:t>
      </w:r>
      <w:proofErr w:type="gramEnd"/>
      <w:r w:rsidRPr="00E052D2">
        <w:t xml:space="preserve"> and breach notification under Articles 5, 25, 28, 30, 32 and 33–34. DORA readiness will focus on ICT risk governance, incident reporting, resilience testing, backup and restoration evidence, and ICT third-party risk management. This ensures that Aegis can demonstrate both privacy compliance and operational resilience before EU expansion.</w:t>
      </w:r>
    </w:p>
    <w:tbl>
      <w:tblPr>
        <w:tblStyle w:val="GridTable1Light"/>
        <w:tblW w:w="10809" w:type="dxa"/>
        <w:tblInd w:w="-714" w:type="dxa"/>
        <w:tblLook w:val="04A0" w:firstRow="1" w:lastRow="0" w:firstColumn="1" w:lastColumn="0" w:noHBand="0" w:noVBand="1"/>
      </w:tblPr>
      <w:tblGrid>
        <w:gridCol w:w="1465"/>
        <w:gridCol w:w="1711"/>
        <w:gridCol w:w="1785"/>
        <w:gridCol w:w="1911"/>
        <w:gridCol w:w="74"/>
        <w:gridCol w:w="1560"/>
        <w:gridCol w:w="2303"/>
      </w:tblGrid>
      <w:tr w:rsidR="00F11DE3" w:rsidRPr="00156C32" w14:paraId="52F59901" w14:textId="77777777" w:rsidTr="00121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5" w:type="dxa"/>
            <w:shd w:val="clear" w:color="auto" w:fill="0070C0"/>
            <w:hideMark/>
          </w:tcPr>
          <w:p w14:paraId="5E3F40C3" w14:textId="77777777" w:rsidR="00F11DE3" w:rsidRPr="00156C32" w:rsidRDefault="00F11DE3" w:rsidP="00486748">
            <w:pPr>
              <w:rPr>
                <w:rFonts w:cs="Arial"/>
                <w:b w:val="0"/>
                <w:bCs w:val="0"/>
                <w:sz w:val="22"/>
                <w:szCs w:val="22"/>
              </w:rPr>
            </w:pPr>
            <w:proofErr w:type="gramStart"/>
            <w:r w:rsidRPr="00156C32">
              <w:rPr>
                <w:rFonts w:cs="Arial"/>
                <w:sz w:val="22"/>
                <w:szCs w:val="22"/>
              </w:rPr>
              <w:t>Timeframe</w:t>
            </w:r>
            <w:proofErr w:type="gramEnd"/>
          </w:p>
        </w:tc>
        <w:tc>
          <w:tcPr>
            <w:tcW w:w="1711" w:type="dxa"/>
            <w:shd w:val="clear" w:color="auto" w:fill="0070C0"/>
            <w:hideMark/>
          </w:tcPr>
          <w:p w14:paraId="3BA461F7" w14:textId="77777777" w:rsidR="00F11DE3" w:rsidRPr="00156C32" w:rsidRDefault="00F11DE3" w:rsidP="00486748">
            <w:pPr>
              <w:cnfStyle w:val="100000000000" w:firstRow="1" w:lastRow="0" w:firstColumn="0" w:lastColumn="0" w:oddVBand="0" w:evenVBand="0" w:oddHBand="0" w:evenHBand="0" w:firstRowFirstColumn="0" w:firstRowLastColumn="0" w:lastRowFirstColumn="0" w:lastRowLastColumn="0"/>
              <w:rPr>
                <w:rFonts w:cs="Arial"/>
                <w:b w:val="0"/>
                <w:bCs w:val="0"/>
                <w:sz w:val="22"/>
                <w:szCs w:val="22"/>
              </w:rPr>
            </w:pPr>
            <w:r w:rsidRPr="00156C32">
              <w:rPr>
                <w:rFonts w:cs="Arial"/>
                <w:sz w:val="22"/>
                <w:szCs w:val="22"/>
              </w:rPr>
              <w:t>Requirement</w:t>
            </w:r>
          </w:p>
        </w:tc>
        <w:tc>
          <w:tcPr>
            <w:tcW w:w="1785" w:type="dxa"/>
            <w:shd w:val="clear" w:color="auto" w:fill="0070C0"/>
            <w:hideMark/>
          </w:tcPr>
          <w:p w14:paraId="2C4F1480" w14:textId="77777777" w:rsidR="00F11DE3" w:rsidRPr="00156C32" w:rsidRDefault="00F11DE3" w:rsidP="00486748">
            <w:pPr>
              <w:cnfStyle w:val="100000000000" w:firstRow="1" w:lastRow="0" w:firstColumn="0" w:lastColumn="0" w:oddVBand="0" w:evenVBand="0" w:oddHBand="0" w:evenHBand="0" w:firstRowFirstColumn="0" w:firstRowLastColumn="0" w:lastRowFirstColumn="0" w:lastRowLastColumn="0"/>
              <w:rPr>
                <w:rFonts w:cs="Arial"/>
                <w:b w:val="0"/>
                <w:bCs w:val="0"/>
                <w:sz w:val="22"/>
                <w:szCs w:val="22"/>
              </w:rPr>
            </w:pPr>
            <w:r w:rsidRPr="00156C32">
              <w:rPr>
                <w:rFonts w:cs="Arial"/>
                <w:sz w:val="22"/>
                <w:szCs w:val="22"/>
              </w:rPr>
              <w:t>Action</w:t>
            </w:r>
          </w:p>
        </w:tc>
        <w:tc>
          <w:tcPr>
            <w:tcW w:w="1911" w:type="dxa"/>
            <w:shd w:val="clear" w:color="auto" w:fill="0070C0"/>
            <w:hideMark/>
          </w:tcPr>
          <w:p w14:paraId="70D24F2F" w14:textId="77777777" w:rsidR="00F11DE3" w:rsidRPr="00156C32" w:rsidRDefault="00F11DE3" w:rsidP="00486748">
            <w:pPr>
              <w:cnfStyle w:val="100000000000" w:firstRow="1" w:lastRow="0" w:firstColumn="0" w:lastColumn="0" w:oddVBand="0" w:evenVBand="0" w:oddHBand="0" w:evenHBand="0" w:firstRowFirstColumn="0" w:firstRowLastColumn="0" w:lastRowFirstColumn="0" w:lastRowLastColumn="0"/>
              <w:rPr>
                <w:rFonts w:cs="Arial"/>
                <w:b w:val="0"/>
                <w:bCs w:val="0"/>
                <w:sz w:val="22"/>
                <w:szCs w:val="22"/>
              </w:rPr>
            </w:pPr>
            <w:r w:rsidRPr="00156C32">
              <w:rPr>
                <w:rFonts w:cs="Arial"/>
                <w:sz w:val="22"/>
                <w:szCs w:val="22"/>
              </w:rPr>
              <w:t>Owner</w:t>
            </w:r>
          </w:p>
        </w:tc>
        <w:tc>
          <w:tcPr>
            <w:tcW w:w="1634" w:type="dxa"/>
            <w:gridSpan w:val="2"/>
            <w:shd w:val="clear" w:color="auto" w:fill="0070C0"/>
            <w:hideMark/>
          </w:tcPr>
          <w:p w14:paraId="4F34B25D" w14:textId="541D4393" w:rsidR="00F11DE3" w:rsidRPr="00156C32" w:rsidRDefault="00F11DE3" w:rsidP="00486748">
            <w:pPr>
              <w:cnfStyle w:val="100000000000" w:firstRow="1" w:lastRow="0" w:firstColumn="0" w:lastColumn="0" w:oddVBand="0" w:evenVBand="0" w:oddHBand="0" w:evenHBand="0" w:firstRowFirstColumn="0" w:firstRowLastColumn="0" w:lastRowFirstColumn="0" w:lastRowLastColumn="0"/>
              <w:rPr>
                <w:rFonts w:cs="Arial"/>
                <w:b w:val="0"/>
                <w:bCs w:val="0"/>
                <w:sz w:val="22"/>
                <w:szCs w:val="22"/>
              </w:rPr>
            </w:pPr>
            <w:r w:rsidRPr="00156C32">
              <w:rPr>
                <w:rFonts w:cs="Arial"/>
                <w:sz w:val="22"/>
                <w:szCs w:val="22"/>
              </w:rPr>
              <w:t>Evidence</w:t>
            </w:r>
          </w:p>
        </w:tc>
        <w:tc>
          <w:tcPr>
            <w:tcW w:w="2303" w:type="dxa"/>
            <w:shd w:val="clear" w:color="auto" w:fill="0070C0"/>
            <w:hideMark/>
          </w:tcPr>
          <w:p w14:paraId="33AB7007" w14:textId="77777777" w:rsidR="00F11DE3" w:rsidRPr="00156C32" w:rsidRDefault="00F11DE3" w:rsidP="00486748">
            <w:pPr>
              <w:cnfStyle w:val="100000000000" w:firstRow="1" w:lastRow="0" w:firstColumn="0" w:lastColumn="0" w:oddVBand="0" w:evenVBand="0" w:oddHBand="0" w:evenHBand="0" w:firstRowFirstColumn="0" w:firstRowLastColumn="0" w:lastRowFirstColumn="0" w:lastRowLastColumn="0"/>
              <w:rPr>
                <w:rFonts w:cs="Arial"/>
                <w:b w:val="0"/>
                <w:bCs w:val="0"/>
                <w:sz w:val="22"/>
                <w:szCs w:val="22"/>
              </w:rPr>
            </w:pPr>
            <w:r w:rsidRPr="00156C32">
              <w:rPr>
                <w:rFonts w:cs="Arial"/>
                <w:sz w:val="22"/>
                <w:szCs w:val="22"/>
              </w:rPr>
              <w:t>Success measure</w:t>
            </w:r>
          </w:p>
        </w:tc>
      </w:tr>
      <w:tr w:rsidR="00F11DE3" w:rsidRPr="00156C32" w14:paraId="1AEEB5F5"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32FB9AC0" w14:textId="00A9598A" w:rsidR="00F11DE3" w:rsidRPr="00156C32" w:rsidRDefault="00F11DE3" w:rsidP="00486748">
            <w:pPr>
              <w:rPr>
                <w:rFonts w:cs="Arial"/>
                <w:sz w:val="22"/>
                <w:szCs w:val="22"/>
              </w:rPr>
            </w:pPr>
            <w:r w:rsidRPr="00156C32">
              <w:rPr>
                <w:rFonts w:cs="Arial"/>
                <w:sz w:val="22"/>
                <w:szCs w:val="22"/>
              </w:rPr>
              <w:t>Months 1</w:t>
            </w:r>
            <w:r w:rsidR="00527A7E" w:rsidRPr="00156C32">
              <w:rPr>
                <w:rFonts w:cs="Arial"/>
                <w:sz w:val="22"/>
                <w:szCs w:val="22"/>
              </w:rPr>
              <w:t>-</w:t>
            </w:r>
            <w:r w:rsidRPr="00156C32">
              <w:rPr>
                <w:rFonts w:cs="Arial"/>
                <w:sz w:val="22"/>
                <w:szCs w:val="22"/>
              </w:rPr>
              <w:t>3</w:t>
            </w:r>
          </w:p>
        </w:tc>
        <w:tc>
          <w:tcPr>
            <w:tcW w:w="1711" w:type="dxa"/>
            <w:hideMark/>
          </w:tcPr>
          <w:p w14:paraId="796C73FD"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GDPR lawful processing</w:t>
            </w:r>
          </w:p>
        </w:tc>
        <w:tc>
          <w:tcPr>
            <w:tcW w:w="1785" w:type="dxa"/>
            <w:hideMark/>
          </w:tcPr>
          <w:p w14:paraId="50AAB29C"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Map processing activities and lawful bases</w:t>
            </w:r>
          </w:p>
        </w:tc>
        <w:tc>
          <w:tcPr>
            <w:tcW w:w="1985" w:type="dxa"/>
            <w:gridSpan w:val="2"/>
            <w:hideMark/>
          </w:tcPr>
          <w:p w14:paraId="3F92F4B2"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DPO</w:t>
            </w:r>
          </w:p>
        </w:tc>
        <w:tc>
          <w:tcPr>
            <w:tcW w:w="1560" w:type="dxa"/>
            <w:hideMark/>
          </w:tcPr>
          <w:p w14:paraId="03C22B55"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Records of Processing Activities</w:t>
            </w:r>
          </w:p>
        </w:tc>
        <w:tc>
          <w:tcPr>
            <w:tcW w:w="2303" w:type="dxa"/>
            <w:hideMark/>
          </w:tcPr>
          <w:p w14:paraId="4B05071D"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100% key processes recorded</w:t>
            </w:r>
          </w:p>
        </w:tc>
      </w:tr>
      <w:tr w:rsidR="00F11DE3" w:rsidRPr="00156C32" w14:paraId="44E956C4"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52C74A59" w14:textId="4721E061" w:rsidR="00F11DE3" w:rsidRPr="00156C32" w:rsidRDefault="00F11DE3" w:rsidP="00486748">
            <w:pPr>
              <w:rPr>
                <w:rFonts w:cs="Arial"/>
                <w:sz w:val="22"/>
                <w:szCs w:val="22"/>
              </w:rPr>
            </w:pPr>
            <w:r w:rsidRPr="00156C32">
              <w:rPr>
                <w:rFonts w:cs="Arial"/>
                <w:sz w:val="22"/>
                <w:szCs w:val="22"/>
              </w:rPr>
              <w:t>Months 1</w:t>
            </w:r>
            <w:r w:rsidR="004B69AE" w:rsidRPr="00156C32">
              <w:rPr>
                <w:rFonts w:cs="Arial"/>
                <w:sz w:val="22"/>
                <w:szCs w:val="22"/>
              </w:rPr>
              <w:t>-</w:t>
            </w:r>
            <w:r w:rsidRPr="00156C32">
              <w:rPr>
                <w:rFonts w:cs="Arial"/>
                <w:sz w:val="22"/>
                <w:szCs w:val="22"/>
              </w:rPr>
              <w:t>3</w:t>
            </w:r>
          </w:p>
        </w:tc>
        <w:tc>
          <w:tcPr>
            <w:tcW w:w="1711" w:type="dxa"/>
            <w:hideMark/>
          </w:tcPr>
          <w:p w14:paraId="427C2A13"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GDPR transparency</w:t>
            </w:r>
          </w:p>
        </w:tc>
        <w:tc>
          <w:tcPr>
            <w:tcW w:w="1785" w:type="dxa"/>
            <w:hideMark/>
          </w:tcPr>
          <w:p w14:paraId="3066EA67"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Update privacy notices</w:t>
            </w:r>
          </w:p>
        </w:tc>
        <w:tc>
          <w:tcPr>
            <w:tcW w:w="1985" w:type="dxa"/>
            <w:gridSpan w:val="2"/>
            <w:hideMark/>
          </w:tcPr>
          <w:p w14:paraId="773B408A"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DPO/Legal</w:t>
            </w:r>
          </w:p>
        </w:tc>
        <w:tc>
          <w:tcPr>
            <w:tcW w:w="1560" w:type="dxa"/>
            <w:hideMark/>
          </w:tcPr>
          <w:p w14:paraId="3727E725"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Approved privacy notices</w:t>
            </w:r>
          </w:p>
        </w:tc>
        <w:tc>
          <w:tcPr>
            <w:tcW w:w="2303" w:type="dxa"/>
            <w:hideMark/>
          </w:tcPr>
          <w:p w14:paraId="10DB3768"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Notices published before EU launch</w:t>
            </w:r>
          </w:p>
        </w:tc>
      </w:tr>
      <w:tr w:rsidR="00F11DE3" w:rsidRPr="00156C32" w14:paraId="78D2B08D"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46B269B4" w14:textId="01881E1D" w:rsidR="00F11DE3" w:rsidRPr="00156C32" w:rsidRDefault="00F11DE3" w:rsidP="00486748">
            <w:pPr>
              <w:rPr>
                <w:rFonts w:cs="Arial"/>
                <w:sz w:val="22"/>
                <w:szCs w:val="22"/>
              </w:rPr>
            </w:pPr>
            <w:r w:rsidRPr="00156C32">
              <w:rPr>
                <w:rFonts w:cs="Arial"/>
                <w:sz w:val="22"/>
                <w:szCs w:val="22"/>
              </w:rPr>
              <w:t>Months 1</w:t>
            </w:r>
            <w:r w:rsidR="004B69AE" w:rsidRPr="00156C32">
              <w:rPr>
                <w:rFonts w:cs="Arial"/>
                <w:sz w:val="22"/>
                <w:szCs w:val="22"/>
              </w:rPr>
              <w:t>-</w:t>
            </w:r>
            <w:r w:rsidRPr="00156C32">
              <w:rPr>
                <w:rFonts w:cs="Arial"/>
                <w:sz w:val="22"/>
                <w:szCs w:val="22"/>
              </w:rPr>
              <w:t>6</w:t>
            </w:r>
          </w:p>
        </w:tc>
        <w:tc>
          <w:tcPr>
            <w:tcW w:w="1711" w:type="dxa"/>
            <w:hideMark/>
          </w:tcPr>
          <w:p w14:paraId="458E09B0"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Data protection by design/default</w:t>
            </w:r>
          </w:p>
        </w:tc>
        <w:tc>
          <w:tcPr>
            <w:tcW w:w="1785" w:type="dxa"/>
            <w:hideMark/>
          </w:tcPr>
          <w:p w14:paraId="751682F8"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Embed DPIA gate into projects</w:t>
            </w:r>
          </w:p>
        </w:tc>
        <w:tc>
          <w:tcPr>
            <w:tcW w:w="1985" w:type="dxa"/>
            <w:gridSpan w:val="2"/>
            <w:hideMark/>
          </w:tcPr>
          <w:p w14:paraId="7BAB62B8"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DPO/Engineering</w:t>
            </w:r>
          </w:p>
        </w:tc>
        <w:tc>
          <w:tcPr>
            <w:tcW w:w="1560" w:type="dxa"/>
            <w:hideMark/>
          </w:tcPr>
          <w:p w14:paraId="78F72C25"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DPIA template and completed DPIAs</w:t>
            </w:r>
          </w:p>
        </w:tc>
        <w:tc>
          <w:tcPr>
            <w:tcW w:w="2303" w:type="dxa"/>
            <w:hideMark/>
          </w:tcPr>
          <w:p w14:paraId="3D6578A9"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DPIA completed for high-risk AI analytics</w:t>
            </w:r>
          </w:p>
        </w:tc>
      </w:tr>
      <w:tr w:rsidR="00F11DE3" w:rsidRPr="00156C32" w14:paraId="2BFDF65E"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45CC042A" w14:textId="0B0F3A26" w:rsidR="00F11DE3" w:rsidRPr="00156C32" w:rsidRDefault="00F11DE3" w:rsidP="00486748">
            <w:pPr>
              <w:rPr>
                <w:rFonts w:cs="Arial"/>
                <w:sz w:val="22"/>
                <w:szCs w:val="22"/>
              </w:rPr>
            </w:pPr>
            <w:r w:rsidRPr="00156C32">
              <w:rPr>
                <w:rFonts w:cs="Arial"/>
                <w:sz w:val="22"/>
                <w:szCs w:val="22"/>
              </w:rPr>
              <w:t>Months 1</w:t>
            </w:r>
            <w:r w:rsidR="004B69AE" w:rsidRPr="00156C32">
              <w:rPr>
                <w:rFonts w:cs="Arial"/>
                <w:sz w:val="22"/>
                <w:szCs w:val="22"/>
              </w:rPr>
              <w:t>-</w:t>
            </w:r>
            <w:r w:rsidRPr="00156C32">
              <w:rPr>
                <w:rFonts w:cs="Arial"/>
                <w:sz w:val="22"/>
                <w:szCs w:val="22"/>
              </w:rPr>
              <w:t>6</w:t>
            </w:r>
          </w:p>
        </w:tc>
        <w:tc>
          <w:tcPr>
            <w:tcW w:w="1711" w:type="dxa"/>
            <w:hideMark/>
          </w:tcPr>
          <w:p w14:paraId="3EC88B4F"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Security of processing</w:t>
            </w:r>
          </w:p>
        </w:tc>
        <w:tc>
          <w:tcPr>
            <w:tcW w:w="1785" w:type="dxa"/>
            <w:hideMark/>
          </w:tcPr>
          <w:p w14:paraId="2E953D8D"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Implement MFA, encryption, DLP and logging</w:t>
            </w:r>
          </w:p>
        </w:tc>
        <w:tc>
          <w:tcPr>
            <w:tcW w:w="1985" w:type="dxa"/>
            <w:gridSpan w:val="2"/>
            <w:hideMark/>
          </w:tcPr>
          <w:p w14:paraId="2E671A9F"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CISO/Cloud Architect</w:t>
            </w:r>
          </w:p>
        </w:tc>
        <w:tc>
          <w:tcPr>
            <w:tcW w:w="1560" w:type="dxa"/>
            <w:hideMark/>
          </w:tcPr>
          <w:p w14:paraId="44751BC8"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Control evidence</w:t>
            </w:r>
          </w:p>
        </w:tc>
        <w:tc>
          <w:tcPr>
            <w:tcW w:w="2303" w:type="dxa"/>
            <w:hideMark/>
          </w:tcPr>
          <w:p w14:paraId="5BB78F36"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Critical systems covered</w:t>
            </w:r>
          </w:p>
        </w:tc>
      </w:tr>
      <w:tr w:rsidR="00F11DE3" w:rsidRPr="00156C32" w14:paraId="18D77310"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48E12F44" w14:textId="5D0C8807" w:rsidR="00F11DE3" w:rsidRPr="00156C32" w:rsidRDefault="00F11DE3" w:rsidP="00486748">
            <w:pPr>
              <w:rPr>
                <w:rFonts w:cs="Arial"/>
                <w:sz w:val="22"/>
                <w:szCs w:val="22"/>
              </w:rPr>
            </w:pPr>
            <w:r w:rsidRPr="00156C32">
              <w:rPr>
                <w:rFonts w:cs="Arial"/>
                <w:sz w:val="22"/>
                <w:szCs w:val="22"/>
              </w:rPr>
              <w:t>Months 1</w:t>
            </w:r>
            <w:r w:rsidR="004B69AE" w:rsidRPr="00156C32">
              <w:rPr>
                <w:rFonts w:cs="Arial"/>
                <w:sz w:val="22"/>
                <w:szCs w:val="22"/>
              </w:rPr>
              <w:t>-</w:t>
            </w:r>
            <w:r w:rsidRPr="00156C32">
              <w:rPr>
                <w:rFonts w:cs="Arial"/>
                <w:sz w:val="22"/>
                <w:szCs w:val="22"/>
              </w:rPr>
              <w:t>6</w:t>
            </w:r>
          </w:p>
        </w:tc>
        <w:tc>
          <w:tcPr>
            <w:tcW w:w="1711" w:type="dxa"/>
            <w:hideMark/>
          </w:tcPr>
          <w:p w14:paraId="01DF299C"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Data subject rights</w:t>
            </w:r>
          </w:p>
        </w:tc>
        <w:tc>
          <w:tcPr>
            <w:tcW w:w="1785" w:type="dxa"/>
            <w:hideMark/>
          </w:tcPr>
          <w:p w14:paraId="694BFA58"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Define DSAR workflow</w:t>
            </w:r>
          </w:p>
        </w:tc>
        <w:tc>
          <w:tcPr>
            <w:tcW w:w="1985" w:type="dxa"/>
            <w:gridSpan w:val="2"/>
            <w:hideMark/>
          </w:tcPr>
          <w:p w14:paraId="22CFF669"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DPO</w:t>
            </w:r>
          </w:p>
        </w:tc>
        <w:tc>
          <w:tcPr>
            <w:tcW w:w="1560" w:type="dxa"/>
            <w:hideMark/>
          </w:tcPr>
          <w:p w14:paraId="1F2CEEF7"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DSAR procedure</w:t>
            </w:r>
          </w:p>
        </w:tc>
        <w:tc>
          <w:tcPr>
            <w:tcW w:w="2303" w:type="dxa"/>
            <w:hideMark/>
          </w:tcPr>
          <w:p w14:paraId="19D844E3"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 xml:space="preserve">Requests </w:t>
            </w:r>
            <w:proofErr w:type="gramStart"/>
            <w:r w:rsidRPr="00156C32">
              <w:rPr>
                <w:rFonts w:cs="Arial"/>
                <w:sz w:val="22"/>
                <w:szCs w:val="22"/>
              </w:rPr>
              <w:t>handled</w:t>
            </w:r>
            <w:proofErr w:type="gramEnd"/>
            <w:r w:rsidRPr="00156C32">
              <w:rPr>
                <w:rFonts w:cs="Arial"/>
                <w:sz w:val="22"/>
                <w:szCs w:val="22"/>
              </w:rPr>
              <w:t xml:space="preserve"> within statutory timescales</w:t>
            </w:r>
          </w:p>
        </w:tc>
      </w:tr>
      <w:tr w:rsidR="00F11DE3" w:rsidRPr="00156C32" w14:paraId="4A3C92DF"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1C65E1F0" w14:textId="4820250A" w:rsidR="00F11DE3" w:rsidRPr="00156C32" w:rsidRDefault="00F11DE3" w:rsidP="00486748">
            <w:pPr>
              <w:rPr>
                <w:rFonts w:cs="Arial"/>
                <w:sz w:val="22"/>
                <w:szCs w:val="22"/>
              </w:rPr>
            </w:pPr>
            <w:r w:rsidRPr="00156C32">
              <w:rPr>
                <w:rFonts w:cs="Arial"/>
                <w:sz w:val="22"/>
                <w:szCs w:val="22"/>
              </w:rPr>
              <w:t>Months 1</w:t>
            </w:r>
            <w:r w:rsidR="004B69AE" w:rsidRPr="00156C32">
              <w:rPr>
                <w:rFonts w:cs="Arial"/>
                <w:sz w:val="22"/>
                <w:szCs w:val="22"/>
              </w:rPr>
              <w:t>-</w:t>
            </w:r>
            <w:r w:rsidRPr="00156C32">
              <w:rPr>
                <w:rFonts w:cs="Arial"/>
                <w:sz w:val="22"/>
                <w:szCs w:val="22"/>
              </w:rPr>
              <w:t>6</w:t>
            </w:r>
          </w:p>
        </w:tc>
        <w:tc>
          <w:tcPr>
            <w:tcW w:w="1711" w:type="dxa"/>
            <w:hideMark/>
          </w:tcPr>
          <w:p w14:paraId="0B9985B7"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Breach notification</w:t>
            </w:r>
          </w:p>
        </w:tc>
        <w:tc>
          <w:tcPr>
            <w:tcW w:w="1785" w:type="dxa"/>
            <w:hideMark/>
          </w:tcPr>
          <w:p w14:paraId="1BAB6293"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Establish incident assessment process</w:t>
            </w:r>
          </w:p>
        </w:tc>
        <w:tc>
          <w:tcPr>
            <w:tcW w:w="1985" w:type="dxa"/>
            <w:gridSpan w:val="2"/>
            <w:hideMark/>
          </w:tcPr>
          <w:p w14:paraId="18F15182"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Incident Response Lead/DPO</w:t>
            </w:r>
          </w:p>
        </w:tc>
        <w:tc>
          <w:tcPr>
            <w:tcW w:w="1560" w:type="dxa"/>
            <w:hideMark/>
          </w:tcPr>
          <w:p w14:paraId="7CD0B33A"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Breach playbook</w:t>
            </w:r>
          </w:p>
        </w:tc>
        <w:tc>
          <w:tcPr>
            <w:tcW w:w="2303" w:type="dxa"/>
            <w:hideMark/>
          </w:tcPr>
          <w:p w14:paraId="6D78B174"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72-hour GDPR assessment capability</w:t>
            </w:r>
          </w:p>
        </w:tc>
      </w:tr>
      <w:tr w:rsidR="00F11DE3" w:rsidRPr="00156C32" w14:paraId="7ED6C8FF"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10DB45DD" w14:textId="0730801C" w:rsidR="00F11DE3" w:rsidRPr="00156C32" w:rsidRDefault="00F11DE3" w:rsidP="00486748">
            <w:pPr>
              <w:rPr>
                <w:rFonts w:cs="Arial"/>
                <w:sz w:val="22"/>
                <w:szCs w:val="22"/>
              </w:rPr>
            </w:pPr>
            <w:r w:rsidRPr="00156C32">
              <w:rPr>
                <w:rFonts w:cs="Arial"/>
                <w:sz w:val="22"/>
                <w:szCs w:val="22"/>
              </w:rPr>
              <w:t>Months 1</w:t>
            </w:r>
            <w:r w:rsidR="004B69AE" w:rsidRPr="00156C32">
              <w:rPr>
                <w:rFonts w:cs="Arial"/>
                <w:sz w:val="22"/>
                <w:szCs w:val="22"/>
              </w:rPr>
              <w:t>-</w:t>
            </w:r>
            <w:r w:rsidRPr="00156C32">
              <w:rPr>
                <w:rFonts w:cs="Arial"/>
                <w:sz w:val="22"/>
                <w:szCs w:val="22"/>
              </w:rPr>
              <w:t>9</w:t>
            </w:r>
          </w:p>
        </w:tc>
        <w:tc>
          <w:tcPr>
            <w:tcW w:w="1711" w:type="dxa"/>
            <w:hideMark/>
          </w:tcPr>
          <w:p w14:paraId="4713E263"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DORA ICT risk management</w:t>
            </w:r>
          </w:p>
        </w:tc>
        <w:tc>
          <w:tcPr>
            <w:tcW w:w="1785" w:type="dxa"/>
            <w:hideMark/>
          </w:tcPr>
          <w:p w14:paraId="60E0C528"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Create ICT risk framework</w:t>
            </w:r>
          </w:p>
        </w:tc>
        <w:tc>
          <w:tcPr>
            <w:tcW w:w="1985" w:type="dxa"/>
            <w:gridSpan w:val="2"/>
            <w:hideMark/>
          </w:tcPr>
          <w:p w14:paraId="29F87D87"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GRC Lead</w:t>
            </w:r>
          </w:p>
        </w:tc>
        <w:tc>
          <w:tcPr>
            <w:tcW w:w="1560" w:type="dxa"/>
            <w:hideMark/>
          </w:tcPr>
          <w:p w14:paraId="3CF47065"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ICT risk register</w:t>
            </w:r>
          </w:p>
        </w:tc>
        <w:tc>
          <w:tcPr>
            <w:tcW w:w="2303" w:type="dxa"/>
            <w:hideMark/>
          </w:tcPr>
          <w:p w14:paraId="0888B00E"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Board-approved risk framework</w:t>
            </w:r>
          </w:p>
        </w:tc>
      </w:tr>
      <w:tr w:rsidR="00F11DE3" w:rsidRPr="00156C32" w14:paraId="1080D6DD"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10E9DC85" w14:textId="6412578A" w:rsidR="00F11DE3" w:rsidRPr="00156C32" w:rsidRDefault="00F11DE3" w:rsidP="00486748">
            <w:pPr>
              <w:rPr>
                <w:rFonts w:cs="Arial"/>
                <w:sz w:val="22"/>
                <w:szCs w:val="22"/>
              </w:rPr>
            </w:pPr>
            <w:r w:rsidRPr="00156C32">
              <w:rPr>
                <w:rFonts w:cs="Arial"/>
                <w:sz w:val="22"/>
                <w:szCs w:val="22"/>
              </w:rPr>
              <w:t>Months 3</w:t>
            </w:r>
            <w:r w:rsidR="004B69AE" w:rsidRPr="00156C32">
              <w:rPr>
                <w:rFonts w:cs="Arial"/>
                <w:sz w:val="22"/>
                <w:szCs w:val="22"/>
              </w:rPr>
              <w:t>-</w:t>
            </w:r>
            <w:r w:rsidRPr="00156C32">
              <w:rPr>
                <w:rFonts w:cs="Arial"/>
                <w:sz w:val="22"/>
                <w:szCs w:val="22"/>
              </w:rPr>
              <w:t>9</w:t>
            </w:r>
          </w:p>
        </w:tc>
        <w:tc>
          <w:tcPr>
            <w:tcW w:w="1711" w:type="dxa"/>
            <w:hideMark/>
          </w:tcPr>
          <w:p w14:paraId="76BD93C9"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DORA incident reporting</w:t>
            </w:r>
          </w:p>
        </w:tc>
        <w:tc>
          <w:tcPr>
            <w:tcW w:w="1785" w:type="dxa"/>
            <w:hideMark/>
          </w:tcPr>
          <w:p w14:paraId="61DB6C12"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Classify and report ICT incidents</w:t>
            </w:r>
          </w:p>
        </w:tc>
        <w:tc>
          <w:tcPr>
            <w:tcW w:w="1985" w:type="dxa"/>
            <w:gridSpan w:val="2"/>
            <w:hideMark/>
          </w:tcPr>
          <w:p w14:paraId="39CDD7AA"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GRC/IR Lead</w:t>
            </w:r>
          </w:p>
        </w:tc>
        <w:tc>
          <w:tcPr>
            <w:tcW w:w="1560" w:type="dxa"/>
            <w:hideMark/>
          </w:tcPr>
          <w:p w14:paraId="28D76888"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Reporting procedure</w:t>
            </w:r>
          </w:p>
        </w:tc>
        <w:tc>
          <w:tcPr>
            <w:tcW w:w="2303" w:type="dxa"/>
            <w:hideMark/>
          </w:tcPr>
          <w:p w14:paraId="6AD1DFBA"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Exercise completed</w:t>
            </w:r>
          </w:p>
        </w:tc>
      </w:tr>
      <w:tr w:rsidR="00F11DE3" w:rsidRPr="00156C32" w14:paraId="74C17ADF"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39BF8C2A" w14:textId="76701799" w:rsidR="00F11DE3" w:rsidRPr="00156C32" w:rsidRDefault="00F11DE3" w:rsidP="00486748">
            <w:pPr>
              <w:rPr>
                <w:rFonts w:cs="Arial"/>
                <w:sz w:val="22"/>
                <w:szCs w:val="22"/>
              </w:rPr>
            </w:pPr>
            <w:r w:rsidRPr="00156C32">
              <w:rPr>
                <w:rFonts w:cs="Arial"/>
                <w:sz w:val="22"/>
                <w:szCs w:val="22"/>
              </w:rPr>
              <w:t>Months 3</w:t>
            </w:r>
            <w:r w:rsidR="004B69AE" w:rsidRPr="00156C32">
              <w:rPr>
                <w:rFonts w:cs="Arial"/>
                <w:sz w:val="22"/>
                <w:szCs w:val="22"/>
              </w:rPr>
              <w:t>-</w:t>
            </w:r>
            <w:r w:rsidRPr="00156C32">
              <w:rPr>
                <w:rFonts w:cs="Arial"/>
                <w:sz w:val="22"/>
                <w:szCs w:val="22"/>
              </w:rPr>
              <w:t>9</w:t>
            </w:r>
          </w:p>
        </w:tc>
        <w:tc>
          <w:tcPr>
            <w:tcW w:w="1711" w:type="dxa"/>
            <w:hideMark/>
          </w:tcPr>
          <w:p w14:paraId="047103B9"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DORA resilience testing</w:t>
            </w:r>
          </w:p>
        </w:tc>
        <w:tc>
          <w:tcPr>
            <w:tcW w:w="1785" w:type="dxa"/>
            <w:hideMark/>
          </w:tcPr>
          <w:p w14:paraId="7EA88939"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 xml:space="preserve">Conduct backup, </w:t>
            </w:r>
            <w:proofErr w:type="gramStart"/>
            <w:r w:rsidRPr="00156C32">
              <w:rPr>
                <w:rFonts w:cs="Arial"/>
                <w:sz w:val="22"/>
                <w:szCs w:val="22"/>
              </w:rPr>
              <w:t>DR</w:t>
            </w:r>
            <w:proofErr w:type="gramEnd"/>
            <w:r w:rsidRPr="00156C32">
              <w:rPr>
                <w:rFonts w:cs="Arial"/>
                <w:sz w:val="22"/>
                <w:szCs w:val="22"/>
              </w:rPr>
              <w:t xml:space="preserve"> and tabletop tests</w:t>
            </w:r>
          </w:p>
        </w:tc>
        <w:tc>
          <w:tcPr>
            <w:tcW w:w="1985" w:type="dxa"/>
            <w:gridSpan w:val="2"/>
            <w:hideMark/>
          </w:tcPr>
          <w:p w14:paraId="22A558AE"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IR Lead/Cloud Architect</w:t>
            </w:r>
          </w:p>
        </w:tc>
        <w:tc>
          <w:tcPr>
            <w:tcW w:w="1560" w:type="dxa"/>
            <w:hideMark/>
          </w:tcPr>
          <w:p w14:paraId="3C47C030"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proofErr w:type="gramStart"/>
            <w:r w:rsidRPr="00156C32">
              <w:rPr>
                <w:rFonts w:cs="Arial"/>
                <w:sz w:val="22"/>
                <w:szCs w:val="22"/>
              </w:rPr>
              <w:t>Test</w:t>
            </w:r>
            <w:proofErr w:type="gramEnd"/>
            <w:r w:rsidRPr="00156C32">
              <w:rPr>
                <w:rFonts w:cs="Arial"/>
                <w:sz w:val="22"/>
                <w:szCs w:val="22"/>
              </w:rPr>
              <w:t xml:space="preserve"> reports</w:t>
            </w:r>
          </w:p>
        </w:tc>
        <w:tc>
          <w:tcPr>
            <w:tcW w:w="2303" w:type="dxa"/>
            <w:hideMark/>
          </w:tcPr>
          <w:p w14:paraId="27A4B506"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Successful restore test</w:t>
            </w:r>
          </w:p>
        </w:tc>
      </w:tr>
      <w:tr w:rsidR="00F11DE3" w:rsidRPr="00156C32" w14:paraId="691AEA1F"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3D93B918" w14:textId="35B36990" w:rsidR="00F11DE3" w:rsidRPr="00156C32" w:rsidRDefault="00F11DE3" w:rsidP="00486748">
            <w:pPr>
              <w:rPr>
                <w:rFonts w:cs="Arial"/>
                <w:sz w:val="22"/>
                <w:szCs w:val="22"/>
              </w:rPr>
            </w:pPr>
            <w:r w:rsidRPr="00156C32">
              <w:rPr>
                <w:rFonts w:cs="Arial"/>
                <w:sz w:val="22"/>
                <w:szCs w:val="22"/>
              </w:rPr>
              <w:t>Months 3</w:t>
            </w:r>
            <w:r w:rsidR="004B69AE" w:rsidRPr="00156C32">
              <w:rPr>
                <w:rFonts w:cs="Arial"/>
                <w:sz w:val="22"/>
                <w:szCs w:val="22"/>
              </w:rPr>
              <w:t>-</w:t>
            </w:r>
            <w:r w:rsidRPr="00156C32">
              <w:rPr>
                <w:rFonts w:cs="Arial"/>
                <w:sz w:val="22"/>
                <w:szCs w:val="22"/>
              </w:rPr>
              <w:t>12</w:t>
            </w:r>
          </w:p>
        </w:tc>
        <w:tc>
          <w:tcPr>
            <w:tcW w:w="1711" w:type="dxa"/>
            <w:hideMark/>
          </w:tcPr>
          <w:p w14:paraId="67309FC3"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DORA third-party risk</w:t>
            </w:r>
          </w:p>
        </w:tc>
        <w:tc>
          <w:tcPr>
            <w:tcW w:w="1785" w:type="dxa"/>
            <w:hideMark/>
          </w:tcPr>
          <w:p w14:paraId="4F6DF812"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Assess ICT providers</w:t>
            </w:r>
          </w:p>
        </w:tc>
        <w:tc>
          <w:tcPr>
            <w:tcW w:w="1985" w:type="dxa"/>
            <w:gridSpan w:val="2"/>
            <w:hideMark/>
          </w:tcPr>
          <w:p w14:paraId="48D2AA86"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Third-Party Risk Manager</w:t>
            </w:r>
          </w:p>
        </w:tc>
        <w:tc>
          <w:tcPr>
            <w:tcW w:w="1560" w:type="dxa"/>
            <w:hideMark/>
          </w:tcPr>
          <w:p w14:paraId="54E4A44E"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Supplier register</w:t>
            </w:r>
          </w:p>
        </w:tc>
        <w:tc>
          <w:tcPr>
            <w:tcW w:w="2303" w:type="dxa"/>
            <w:hideMark/>
          </w:tcPr>
          <w:p w14:paraId="62802511"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100% critical suppliers assessed</w:t>
            </w:r>
          </w:p>
        </w:tc>
      </w:tr>
      <w:tr w:rsidR="00F11DE3" w:rsidRPr="00156C32" w14:paraId="2C1B4C20"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48948526" w14:textId="04F55741" w:rsidR="00F11DE3" w:rsidRPr="00156C32" w:rsidRDefault="00F11DE3" w:rsidP="00486748">
            <w:pPr>
              <w:rPr>
                <w:rFonts w:cs="Arial"/>
                <w:sz w:val="22"/>
                <w:szCs w:val="22"/>
              </w:rPr>
            </w:pPr>
            <w:r w:rsidRPr="00156C32">
              <w:rPr>
                <w:rFonts w:cs="Arial"/>
                <w:sz w:val="22"/>
                <w:szCs w:val="22"/>
              </w:rPr>
              <w:t>Months 6</w:t>
            </w:r>
            <w:r w:rsidR="004B69AE" w:rsidRPr="00156C32">
              <w:rPr>
                <w:rFonts w:cs="Arial"/>
                <w:sz w:val="22"/>
                <w:szCs w:val="22"/>
              </w:rPr>
              <w:t>-</w:t>
            </w:r>
            <w:r w:rsidRPr="00156C32">
              <w:rPr>
                <w:rFonts w:cs="Arial"/>
                <w:sz w:val="22"/>
                <w:szCs w:val="22"/>
              </w:rPr>
              <w:t>12</w:t>
            </w:r>
          </w:p>
        </w:tc>
        <w:tc>
          <w:tcPr>
            <w:tcW w:w="1711" w:type="dxa"/>
            <w:hideMark/>
          </w:tcPr>
          <w:p w14:paraId="04C4CD23"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Governance oversight</w:t>
            </w:r>
          </w:p>
        </w:tc>
        <w:tc>
          <w:tcPr>
            <w:tcW w:w="1785" w:type="dxa"/>
            <w:hideMark/>
          </w:tcPr>
          <w:p w14:paraId="0CFE7263"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Board reporting and steering committee</w:t>
            </w:r>
          </w:p>
        </w:tc>
        <w:tc>
          <w:tcPr>
            <w:tcW w:w="1985" w:type="dxa"/>
            <w:gridSpan w:val="2"/>
            <w:hideMark/>
          </w:tcPr>
          <w:p w14:paraId="1876FC0F"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CISO</w:t>
            </w:r>
          </w:p>
        </w:tc>
        <w:tc>
          <w:tcPr>
            <w:tcW w:w="1560" w:type="dxa"/>
            <w:hideMark/>
          </w:tcPr>
          <w:p w14:paraId="27B098DA"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Board reports</w:t>
            </w:r>
          </w:p>
        </w:tc>
        <w:tc>
          <w:tcPr>
            <w:tcW w:w="2303" w:type="dxa"/>
            <w:hideMark/>
          </w:tcPr>
          <w:p w14:paraId="3CE4AF06"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Quarterly cyber risk reporting</w:t>
            </w:r>
          </w:p>
        </w:tc>
      </w:tr>
      <w:tr w:rsidR="00F11DE3" w:rsidRPr="00156C32" w14:paraId="3CAA62F7" w14:textId="77777777" w:rsidTr="00121D10">
        <w:tc>
          <w:tcPr>
            <w:cnfStyle w:val="001000000000" w:firstRow="0" w:lastRow="0" w:firstColumn="1" w:lastColumn="0" w:oddVBand="0" w:evenVBand="0" w:oddHBand="0" w:evenHBand="0" w:firstRowFirstColumn="0" w:firstRowLastColumn="0" w:lastRowFirstColumn="0" w:lastRowLastColumn="0"/>
            <w:tcW w:w="1465" w:type="dxa"/>
            <w:hideMark/>
          </w:tcPr>
          <w:p w14:paraId="2E444463" w14:textId="353B8724" w:rsidR="00F11DE3" w:rsidRPr="00156C32" w:rsidRDefault="00F11DE3" w:rsidP="00486748">
            <w:pPr>
              <w:rPr>
                <w:rFonts w:cs="Arial"/>
                <w:sz w:val="22"/>
                <w:szCs w:val="22"/>
              </w:rPr>
            </w:pPr>
            <w:r w:rsidRPr="00156C32">
              <w:rPr>
                <w:rFonts w:cs="Arial"/>
                <w:sz w:val="22"/>
                <w:szCs w:val="22"/>
              </w:rPr>
              <w:t>Months 6</w:t>
            </w:r>
            <w:r w:rsidR="004B69AE" w:rsidRPr="00156C32">
              <w:rPr>
                <w:rFonts w:cs="Arial"/>
                <w:sz w:val="22"/>
                <w:szCs w:val="22"/>
              </w:rPr>
              <w:t>-</w:t>
            </w:r>
            <w:r w:rsidRPr="00156C32">
              <w:rPr>
                <w:rFonts w:cs="Arial"/>
                <w:sz w:val="22"/>
                <w:szCs w:val="22"/>
              </w:rPr>
              <w:t>12</w:t>
            </w:r>
          </w:p>
        </w:tc>
        <w:tc>
          <w:tcPr>
            <w:tcW w:w="1711" w:type="dxa"/>
            <w:hideMark/>
          </w:tcPr>
          <w:p w14:paraId="0C005EDD"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Evidence of resilience</w:t>
            </w:r>
          </w:p>
        </w:tc>
        <w:tc>
          <w:tcPr>
            <w:tcW w:w="1785" w:type="dxa"/>
            <w:hideMark/>
          </w:tcPr>
          <w:p w14:paraId="0543F00C"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Build audit evidence pack</w:t>
            </w:r>
          </w:p>
        </w:tc>
        <w:tc>
          <w:tcPr>
            <w:tcW w:w="1985" w:type="dxa"/>
            <w:gridSpan w:val="2"/>
            <w:hideMark/>
          </w:tcPr>
          <w:p w14:paraId="1A5CB2D6"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GRC Lead</w:t>
            </w:r>
          </w:p>
        </w:tc>
        <w:tc>
          <w:tcPr>
            <w:tcW w:w="1560" w:type="dxa"/>
            <w:hideMark/>
          </w:tcPr>
          <w:p w14:paraId="7145713D"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Compliance evidence repository</w:t>
            </w:r>
          </w:p>
        </w:tc>
        <w:tc>
          <w:tcPr>
            <w:tcW w:w="2303" w:type="dxa"/>
            <w:hideMark/>
          </w:tcPr>
          <w:p w14:paraId="10162587" w14:textId="77777777" w:rsidR="00F11DE3" w:rsidRPr="00156C32" w:rsidRDefault="00F11DE3" w:rsidP="0048674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156C32">
              <w:rPr>
                <w:rFonts w:cs="Arial"/>
                <w:sz w:val="22"/>
                <w:szCs w:val="22"/>
              </w:rPr>
              <w:t>Evidence ready for investor due diligence</w:t>
            </w:r>
          </w:p>
        </w:tc>
      </w:tr>
    </w:tbl>
    <w:p w14:paraId="4C5AB7BA" w14:textId="364F6237" w:rsidR="009C09A1" w:rsidRPr="00156C32" w:rsidRDefault="00DF296E" w:rsidP="00385118">
      <w:r>
        <w:lastRenderedPageBreak/>
        <w:t xml:space="preserve">This roadmap supports EU expansion by converting </w:t>
      </w:r>
      <w:r w:rsidR="00F95AB6">
        <w:t>GDPR and DORA</w:t>
      </w:r>
      <w:r>
        <w:t xml:space="preserve"> into practical work packages built around governance, </w:t>
      </w:r>
      <w:proofErr w:type="gramStart"/>
      <w:r>
        <w:t>resilience</w:t>
      </w:r>
      <w:proofErr w:type="gramEnd"/>
      <w:r>
        <w:t xml:space="preserve"> and audit evidence as core design principles.</w:t>
      </w:r>
    </w:p>
    <w:p w14:paraId="7995B31B" w14:textId="7F3E2DD1" w:rsidR="009C09A1" w:rsidRPr="00156C32" w:rsidRDefault="00C3391A" w:rsidP="00C3391A">
      <w:pPr>
        <w:pStyle w:val="Heading2"/>
        <w:rPr>
          <w:rFonts w:asciiTheme="minorHAnsi" w:hAnsiTheme="minorHAnsi"/>
        </w:rPr>
      </w:pPr>
      <w:bookmarkStart w:id="19" w:name="_Toc234924632"/>
      <w:r w:rsidRPr="00156C32">
        <w:rPr>
          <w:rFonts w:asciiTheme="minorHAnsi" w:hAnsiTheme="minorHAnsi"/>
        </w:rPr>
        <w:t>5. Work-Stream 4: Technical Standards and Architecture</w:t>
      </w:r>
      <w:bookmarkEnd w:id="19"/>
    </w:p>
    <w:p w14:paraId="60547F8E" w14:textId="641EEE85" w:rsidR="00C078DC" w:rsidRPr="00156C32" w:rsidRDefault="0079117C" w:rsidP="0030234D">
      <w:r w:rsidRPr="0079117C">
        <w:t>NIST Cybersecurity Framework 2.0 will be the core first-year framework because it is risk-based, board-facing and structured around Govern, Identify, Protect, Detect, Respond and Recover</w:t>
      </w:r>
      <w:r>
        <w:t xml:space="preserve"> </w:t>
      </w:r>
      <w:r w:rsidR="00127B32" w:rsidRPr="00156C32">
        <w:fldChar w:fldCharType="begin"/>
      </w:r>
      <w:r w:rsidR="00127B32" w:rsidRPr="00156C32">
        <w:instrText xml:space="preserve"> ADDIN ZOTERO_ITEM CSL_CITATION {"citationID":"eV8kzlku","properties":{"unsorted":false,"formattedCitation":"[12]","plainCitation":"[12]","noteIndex":0},"citationItems":[{"id":77,"uris":["http://zotero.org/users/local/ZNi8sr8v/items/2SJ984CQ"],"itemData":{"id":77,"type":"report","collection-title":"NIST Cybersecurity White Paper 29","DOI":"10.6028/NIST.CSWP.29","publisher":"National Institute of Standards and Technology","title":"The NIST Cybersecurity Framework (CSF) 2.0","URL":"https://www.nist.gov/cyberframework","author":[{"literal":"National Institute of Standards and Technology"}],"issued":{"date-parts":[["2024",2,26]]}}}],"schema":"https://github.com/citation-style-language/schema/raw/master/csl-citation.json"} </w:instrText>
      </w:r>
      <w:r w:rsidR="00127B32" w:rsidRPr="00156C32">
        <w:fldChar w:fldCharType="separate"/>
      </w:r>
      <w:r w:rsidR="00127B32" w:rsidRPr="00156C32">
        <w:t>[12]</w:t>
      </w:r>
      <w:r w:rsidR="00127B32" w:rsidRPr="00156C32">
        <w:fldChar w:fldCharType="end"/>
      </w:r>
      <w:r w:rsidR="00DE278D" w:rsidRPr="00156C32">
        <w:t xml:space="preserve">. </w:t>
      </w:r>
      <w:r w:rsidR="0028728A" w:rsidRPr="0028728A">
        <w:t xml:space="preserve">This makes it suitable for a growing fintech that needs rapid risk visibility, executive </w:t>
      </w:r>
      <w:proofErr w:type="gramStart"/>
      <w:r w:rsidR="0028728A" w:rsidRPr="0028728A">
        <w:t>reporting</w:t>
      </w:r>
      <w:proofErr w:type="gramEnd"/>
      <w:r w:rsidR="0028728A" w:rsidRPr="0028728A">
        <w:t xml:space="preserve"> and measurable control maturity. ISO/IEC 27001:2022 should complement NIST CSF as Aegis matures because it provides stronger ISMS discipline, </w:t>
      </w:r>
      <w:proofErr w:type="gramStart"/>
      <w:r w:rsidR="0028728A" w:rsidRPr="0028728A">
        <w:t>assurance</w:t>
      </w:r>
      <w:proofErr w:type="gramEnd"/>
      <w:r w:rsidR="0028728A" w:rsidRPr="0028728A">
        <w:t xml:space="preserve"> and certification potentia</w:t>
      </w:r>
      <w:r w:rsidR="0028728A">
        <w:t xml:space="preserve">l </w:t>
      </w:r>
      <w:r w:rsidR="00140D71" w:rsidRPr="00140D71">
        <w:t>[18]. Therefore, NIST CSF should guide the roadmap, while ISO 27001 supports longer-term assurance.</w:t>
      </w:r>
      <w:r w:rsidR="00741A63" w:rsidRPr="00156C32">
        <w:t xml:space="preserve"> </w:t>
      </w:r>
    </w:p>
    <w:p w14:paraId="0AF58AE7" w14:textId="77777777" w:rsidR="000F4075" w:rsidRDefault="000F4075" w:rsidP="00527A7E">
      <w:pPr>
        <w:spacing w:after="0" w:line="240" w:lineRule="auto"/>
      </w:pPr>
      <w:r w:rsidRPr="000F4075">
        <w:t>Figure 2: High-Level Zero Trust Technical Architecture</w:t>
      </w:r>
    </w:p>
    <w:p w14:paraId="5E51CACD" w14:textId="22900AA8"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User / Device / Third-Party Access</w:t>
      </w:r>
    </w:p>
    <w:p w14:paraId="02DE0B18" w14:textId="77777777" w:rsidR="00527A7E" w:rsidRPr="00156C32" w:rsidRDefault="00527A7E" w:rsidP="00527A7E">
      <w:pPr>
        <w:spacing w:after="0" w:line="240" w:lineRule="auto"/>
        <w:rPr>
          <w:rFonts w:eastAsia="Times New Roman" w:cs="Times New Roman"/>
          <w:kern w:val="0"/>
          <w:sz w:val="20"/>
          <w:szCs w:val="20"/>
          <w:lang w:eastAsia="en-GB"/>
          <w14:ligatures w14:val="none"/>
        </w:rPr>
      </w:pPr>
      <w:r w:rsidRPr="00156C32">
        <w:rPr>
          <w:rFonts w:eastAsia="Times New Roman" w:cs="Times New Roman"/>
          <w:kern w:val="0"/>
          <w:sz w:val="20"/>
          <w:szCs w:val="20"/>
          <w:lang w:eastAsia="en-GB"/>
          <w14:ligatures w14:val="none"/>
        </w:rPr>
        <w:t>        ↓</w:t>
      </w:r>
    </w:p>
    <w:p w14:paraId="1B5C4B6C"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Identity Verification</w:t>
      </w:r>
    </w:p>
    <w:p w14:paraId="3EC62E73"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(MFA + Conditional Access)</w:t>
      </w:r>
    </w:p>
    <w:p w14:paraId="53F0D5CE" w14:textId="77777777" w:rsidR="00527A7E" w:rsidRPr="00156C32" w:rsidRDefault="00527A7E" w:rsidP="00527A7E">
      <w:pPr>
        <w:spacing w:after="0" w:line="240" w:lineRule="auto"/>
        <w:rPr>
          <w:rFonts w:eastAsia="Times New Roman" w:cs="Times New Roman"/>
          <w:kern w:val="0"/>
          <w:sz w:val="20"/>
          <w:szCs w:val="20"/>
          <w:lang w:eastAsia="en-GB"/>
          <w14:ligatures w14:val="none"/>
        </w:rPr>
      </w:pPr>
      <w:r w:rsidRPr="00156C32">
        <w:rPr>
          <w:rFonts w:eastAsia="Times New Roman" w:cs="Times New Roman"/>
          <w:kern w:val="0"/>
          <w:sz w:val="20"/>
          <w:szCs w:val="20"/>
          <w:lang w:eastAsia="en-GB"/>
          <w14:ligatures w14:val="none"/>
        </w:rPr>
        <w:t>        ↓</w:t>
      </w:r>
    </w:p>
    <w:p w14:paraId="59472C7B"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Access Control and Governance</w:t>
      </w:r>
    </w:p>
    <w:p w14:paraId="1A825310"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(Identity Governance + PAM + Device Compliance)</w:t>
      </w:r>
    </w:p>
    <w:p w14:paraId="14B94144" w14:textId="77777777" w:rsidR="00527A7E" w:rsidRPr="00156C32" w:rsidRDefault="00527A7E" w:rsidP="00527A7E">
      <w:pPr>
        <w:spacing w:after="0" w:line="240" w:lineRule="auto"/>
        <w:rPr>
          <w:rFonts w:eastAsia="Times New Roman" w:cs="Times New Roman"/>
          <w:kern w:val="0"/>
          <w:sz w:val="20"/>
          <w:szCs w:val="20"/>
          <w:lang w:eastAsia="en-GB"/>
          <w14:ligatures w14:val="none"/>
        </w:rPr>
      </w:pPr>
      <w:r w:rsidRPr="00156C32">
        <w:rPr>
          <w:rFonts w:eastAsia="Times New Roman" w:cs="Times New Roman"/>
          <w:kern w:val="0"/>
          <w:sz w:val="20"/>
          <w:szCs w:val="20"/>
          <w:lang w:eastAsia="en-GB"/>
          <w14:ligatures w14:val="none"/>
        </w:rPr>
        <w:t>        ↓</w:t>
      </w:r>
    </w:p>
    <w:p w14:paraId="220986E0"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Secure Access Layer</w:t>
      </w:r>
    </w:p>
    <w:p w14:paraId="6288098D"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(ZTNA / SASE / Secure Web Gateway)</w:t>
      </w:r>
    </w:p>
    <w:p w14:paraId="17E35FAF" w14:textId="77777777" w:rsidR="00527A7E" w:rsidRPr="00156C32" w:rsidRDefault="00527A7E" w:rsidP="00527A7E">
      <w:pPr>
        <w:spacing w:after="0" w:line="240" w:lineRule="auto"/>
        <w:rPr>
          <w:rFonts w:eastAsia="Times New Roman" w:cs="Times New Roman"/>
          <w:kern w:val="0"/>
          <w:sz w:val="20"/>
          <w:szCs w:val="20"/>
          <w:lang w:eastAsia="en-GB"/>
          <w14:ligatures w14:val="none"/>
        </w:rPr>
      </w:pPr>
      <w:r w:rsidRPr="00156C32">
        <w:rPr>
          <w:rFonts w:eastAsia="Times New Roman" w:cs="Times New Roman"/>
          <w:kern w:val="0"/>
          <w:sz w:val="20"/>
          <w:szCs w:val="20"/>
          <w:lang w:eastAsia="en-GB"/>
          <w14:ligatures w14:val="none"/>
        </w:rPr>
        <w:t>        ↓</w:t>
      </w:r>
    </w:p>
    <w:p w14:paraId="08DA80EA"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Application and API Protection</w:t>
      </w:r>
    </w:p>
    <w:p w14:paraId="4190374C"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(Application Gateway + API Security)</w:t>
      </w:r>
    </w:p>
    <w:p w14:paraId="54A6317B" w14:textId="77777777" w:rsidR="00527A7E" w:rsidRPr="00156C32" w:rsidRDefault="00527A7E" w:rsidP="00527A7E">
      <w:pPr>
        <w:spacing w:after="0" w:line="240" w:lineRule="auto"/>
        <w:rPr>
          <w:rFonts w:eastAsia="Times New Roman" w:cs="Times New Roman"/>
          <w:kern w:val="0"/>
          <w:sz w:val="20"/>
          <w:szCs w:val="20"/>
          <w:lang w:eastAsia="en-GB"/>
          <w14:ligatures w14:val="none"/>
        </w:rPr>
      </w:pPr>
      <w:r w:rsidRPr="00156C32">
        <w:rPr>
          <w:rFonts w:eastAsia="Times New Roman" w:cs="Times New Roman"/>
          <w:kern w:val="0"/>
          <w:sz w:val="20"/>
          <w:szCs w:val="20"/>
          <w:lang w:eastAsia="en-GB"/>
          <w14:ligatures w14:val="none"/>
        </w:rPr>
        <w:t>        ↓</w:t>
      </w:r>
    </w:p>
    <w:p w14:paraId="06C5117B"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Core Systems and Data</w:t>
      </w:r>
    </w:p>
    <w:p w14:paraId="513C4E56"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(Cloud Workloads / SaaS / AI Platform / Data Stores)</w:t>
      </w:r>
    </w:p>
    <w:p w14:paraId="11960AFE" w14:textId="77777777" w:rsidR="00527A7E" w:rsidRPr="00156C32" w:rsidRDefault="00527A7E" w:rsidP="00527A7E">
      <w:pPr>
        <w:spacing w:after="0" w:line="240" w:lineRule="auto"/>
        <w:rPr>
          <w:rFonts w:eastAsia="Times New Roman" w:cs="Times New Roman"/>
          <w:kern w:val="0"/>
          <w:sz w:val="20"/>
          <w:szCs w:val="20"/>
          <w:lang w:eastAsia="en-GB"/>
          <w14:ligatures w14:val="none"/>
        </w:rPr>
      </w:pPr>
      <w:r w:rsidRPr="00156C32">
        <w:rPr>
          <w:rFonts w:eastAsia="Times New Roman" w:cs="Times New Roman"/>
          <w:kern w:val="0"/>
          <w:sz w:val="20"/>
          <w:szCs w:val="20"/>
          <w:lang w:eastAsia="en-GB"/>
          <w14:ligatures w14:val="none"/>
        </w:rPr>
        <w:t>        ↓</w:t>
      </w:r>
    </w:p>
    <w:p w14:paraId="44306C45"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Data and Platform Security Controls</w:t>
      </w:r>
    </w:p>
    <w:p w14:paraId="10B65D2C"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 xml:space="preserve">(DLP + Encryption + CSPM + Vulnerability Management + </w:t>
      </w:r>
      <w:proofErr w:type="spellStart"/>
      <w:r w:rsidRPr="00156C32">
        <w:rPr>
          <w:rFonts w:eastAsia="Times New Roman" w:cs="Arial"/>
          <w:kern w:val="0"/>
          <w:sz w:val="20"/>
          <w:szCs w:val="20"/>
          <w:lang w:eastAsia="en-GB"/>
          <w14:ligatures w14:val="none"/>
        </w:rPr>
        <w:t>DevSecOps</w:t>
      </w:r>
      <w:proofErr w:type="spellEnd"/>
      <w:r w:rsidRPr="00156C32">
        <w:rPr>
          <w:rFonts w:eastAsia="Times New Roman" w:cs="Arial"/>
          <w:kern w:val="0"/>
          <w:sz w:val="20"/>
          <w:szCs w:val="20"/>
          <w:lang w:eastAsia="en-GB"/>
          <w14:ligatures w14:val="none"/>
        </w:rPr>
        <w:t>)</w:t>
      </w:r>
    </w:p>
    <w:p w14:paraId="3F212D1D" w14:textId="77777777" w:rsidR="00527A7E" w:rsidRPr="00156C32" w:rsidRDefault="00527A7E" w:rsidP="00527A7E">
      <w:pPr>
        <w:spacing w:after="0" w:line="240" w:lineRule="auto"/>
        <w:rPr>
          <w:rFonts w:eastAsia="Times New Roman" w:cs="Times New Roman"/>
          <w:kern w:val="0"/>
          <w:sz w:val="20"/>
          <w:szCs w:val="20"/>
          <w:lang w:eastAsia="en-GB"/>
          <w14:ligatures w14:val="none"/>
        </w:rPr>
      </w:pPr>
      <w:r w:rsidRPr="00156C32">
        <w:rPr>
          <w:rFonts w:eastAsia="Times New Roman" w:cs="Times New Roman"/>
          <w:kern w:val="0"/>
          <w:sz w:val="20"/>
          <w:szCs w:val="20"/>
          <w:lang w:eastAsia="en-GB"/>
          <w14:ligatures w14:val="none"/>
        </w:rPr>
        <w:t>        ↓</w:t>
      </w:r>
    </w:p>
    <w:p w14:paraId="76CC79FD"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Monitoring and Detection</w:t>
      </w:r>
    </w:p>
    <w:p w14:paraId="1D70D18E"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(SIEM + SOAR + EDR/XDR + Threat Intelligence)</w:t>
      </w:r>
    </w:p>
    <w:p w14:paraId="0C23E4C5" w14:textId="77777777" w:rsidR="00527A7E" w:rsidRPr="00156C32" w:rsidRDefault="00527A7E" w:rsidP="00527A7E">
      <w:pPr>
        <w:spacing w:after="0" w:line="240" w:lineRule="auto"/>
        <w:rPr>
          <w:rFonts w:eastAsia="Times New Roman" w:cs="Times New Roman"/>
          <w:kern w:val="0"/>
          <w:sz w:val="20"/>
          <w:szCs w:val="20"/>
          <w:lang w:eastAsia="en-GB"/>
          <w14:ligatures w14:val="none"/>
        </w:rPr>
      </w:pPr>
      <w:r w:rsidRPr="00156C32">
        <w:rPr>
          <w:rFonts w:eastAsia="Times New Roman" w:cs="Times New Roman"/>
          <w:kern w:val="0"/>
          <w:sz w:val="20"/>
          <w:szCs w:val="20"/>
          <w:lang w:eastAsia="en-GB"/>
          <w14:ligatures w14:val="none"/>
        </w:rPr>
        <w:t>        ↓</w:t>
      </w:r>
    </w:p>
    <w:p w14:paraId="580C052C"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Response and Recovery</w:t>
      </w:r>
    </w:p>
    <w:p w14:paraId="602F5E3F" w14:textId="77777777" w:rsidR="00527A7E" w:rsidRPr="00156C32" w:rsidRDefault="00527A7E" w:rsidP="00527A7E">
      <w:pPr>
        <w:spacing w:after="0" w:line="240" w:lineRule="auto"/>
        <w:rPr>
          <w:rFonts w:eastAsia="Times New Roman" w:cs="Arial"/>
          <w:kern w:val="0"/>
          <w:sz w:val="20"/>
          <w:szCs w:val="20"/>
          <w:lang w:eastAsia="en-GB"/>
          <w14:ligatures w14:val="none"/>
        </w:rPr>
      </w:pPr>
      <w:r w:rsidRPr="00156C32">
        <w:rPr>
          <w:rFonts w:eastAsia="Times New Roman" w:cs="Arial"/>
          <w:kern w:val="0"/>
          <w:sz w:val="20"/>
          <w:szCs w:val="20"/>
          <w:lang w:eastAsia="en-GB"/>
          <w14:ligatures w14:val="none"/>
        </w:rPr>
        <w:t>(Incident Response + Immutable Backups + Tested Recovery)</w:t>
      </w:r>
    </w:p>
    <w:p w14:paraId="53AD6712" w14:textId="77777777" w:rsidR="00527A7E" w:rsidRPr="00156C32" w:rsidRDefault="00527A7E" w:rsidP="00555DC4"/>
    <w:p w14:paraId="4DC2678F" w14:textId="63AB25C3" w:rsidR="00143DD2" w:rsidRDefault="000F4075" w:rsidP="00143DD2">
      <w:r w:rsidRPr="000F4075">
        <w:t xml:space="preserve">Figure 2 applies Zero Trust by making identity, device health, access </w:t>
      </w:r>
      <w:proofErr w:type="gramStart"/>
      <w:r w:rsidRPr="000F4075">
        <w:t>context</w:t>
      </w:r>
      <w:proofErr w:type="gramEnd"/>
      <w:r w:rsidRPr="000F4075">
        <w:t xml:space="preserve"> and data sensitivity central to access decisions. IAM, MFA, Conditional Access, </w:t>
      </w:r>
      <w:proofErr w:type="gramStart"/>
      <w:r w:rsidRPr="000F4075">
        <w:t>PAM</w:t>
      </w:r>
      <w:proofErr w:type="gramEnd"/>
      <w:r w:rsidRPr="000F4075">
        <w:t xml:space="preserve"> and device compliance reduce identity risk before access </w:t>
      </w:r>
      <w:proofErr w:type="gramStart"/>
      <w:r w:rsidRPr="000F4075">
        <w:t>is granted</w:t>
      </w:r>
      <w:proofErr w:type="gramEnd"/>
      <w:r w:rsidRPr="000F4075">
        <w:t xml:space="preserve">. ZTNA and SASE restrict users and third parties to approved applications rather than broad network access. DLP, encryption, CSPM and </w:t>
      </w:r>
      <w:proofErr w:type="spellStart"/>
      <w:r w:rsidRPr="000F4075">
        <w:t>DevSecOps</w:t>
      </w:r>
      <w:proofErr w:type="spellEnd"/>
      <w:r w:rsidRPr="000F4075">
        <w:t xml:space="preserve"> protect the cloud, AI </w:t>
      </w:r>
      <w:proofErr w:type="gramStart"/>
      <w:r w:rsidRPr="000F4075">
        <w:t>platform</w:t>
      </w:r>
      <w:proofErr w:type="gramEnd"/>
      <w:r w:rsidRPr="000F4075">
        <w:t xml:space="preserve"> and data stores, while SIEM, SOAR, EDR/XDR and threat intelligence provide detection and response. Immutable backups and tested recovery </w:t>
      </w:r>
      <w:proofErr w:type="gramStart"/>
      <w:r w:rsidRPr="000F4075">
        <w:t>are included</w:t>
      </w:r>
      <w:proofErr w:type="gramEnd"/>
      <w:r w:rsidRPr="000F4075">
        <w:t xml:space="preserve"> because ransomware resilience cannot depend on prevention alone.</w:t>
      </w:r>
    </w:p>
    <w:p w14:paraId="6E8F1BB1" w14:textId="77777777" w:rsidR="009E3CA8" w:rsidRDefault="009E3CA8" w:rsidP="002674A4">
      <w:pPr>
        <w:pStyle w:val="Heading2"/>
        <w:rPr>
          <w:rFonts w:asciiTheme="minorHAnsi" w:hAnsiTheme="minorHAnsi"/>
        </w:rPr>
        <w:sectPr w:rsidR="009E3CA8" w:rsidSect="00FC1D5C">
          <w:type w:val="continuous"/>
          <w:pgSz w:w="11906" w:h="16838" w:code="9"/>
          <w:pgMar w:top="1440" w:right="1440" w:bottom="1440" w:left="1440" w:header="709" w:footer="709" w:gutter="0"/>
          <w:cols w:space="708"/>
          <w:docGrid w:linePitch="360"/>
        </w:sectPr>
      </w:pPr>
    </w:p>
    <w:p w14:paraId="4D520D35" w14:textId="68A4028F" w:rsidR="009C09A1" w:rsidRPr="00156C32" w:rsidRDefault="00CF4D06" w:rsidP="002674A4">
      <w:pPr>
        <w:pStyle w:val="Heading2"/>
        <w:rPr>
          <w:rFonts w:asciiTheme="minorHAnsi" w:hAnsiTheme="minorHAnsi"/>
        </w:rPr>
      </w:pPr>
      <w:bookmarkStart w:id="20" w:name="_Toc234924633"/>
      <w:r w:rsidRPr="00156C32">
        <w:rPr>
          <w:rFonts w:asciiTheme="minorHAnsi" w:hAnsiTheme="minorHAnsi"/>
        </w:rPr>
        <w:lastRenderedPageBreak/>
        <w:t>6. Work-Stream 5: Strategic Risk Assessment</w:t>
      </w:r>
      <w:bookmarkEnd w:id="20"/>
    </w:p>
    <w:p w14:paraId="4588C611" w14:textId="07D5DEF3" w:rsidR="00143DD2" w:rsidRPr="00143DD2" w:rsidRDefault="00143DD2" w:rsidP="00143DD2">
      <w:r w:rsidRPr="00143DD2">
        <w:t xml:space="preserve">Likelihood and impact </w:t>
      </w:r>
      <w:proofErr w:type="gramStart"/>
      <w:r w:rsidRPr="00143DD2">
        <w:t>are rated</w:t>
      </w:r>
      <w:proofErr w:type="gramEnd"/>
      <w:r w:rsidRPr="00143DD2">
        <w:t xml:space="preserve"> High, </w:t>
      </w:r>
      <w:proofErr w:type="gramStart"/>
      <w:r w:rsidRPr="00143DD2">
        <w:t>Medium</w:t>
      </w:r>
      <w:proofErr w:type="gramEnd"/>
      <w:r w:rsidRPr="00143DD2">
        <w:t xml:space="preserve"> or Low using a qualitative </w:t>
      </w:r>
      <w:proofErr w:type="gramStart"/>
      <w:r w:rsidRPr="00143DD2">
        <w:t>3x3</w:t>
      </w:r>
      <w:proofErr w:type="gramEnd"/>
      <w:r w:rsidRPr="00143DD2">
        <w:t xml:space="preserve"> matrix. The first three risks are the board-level priority threats required by the brief; risks four and five </w:t>
      </w:r>
      <w:proofErr w:type="gramStart"/>
      <w:r w:rsidRPr="00143DD2">
        <w:t>are included</w:t>
      </w:r>
      <w:proofErr w:type="gramEnd"/>
      <w:r w:rsidRPr="00143DD2">
        <w:t xml:space="preserve"> as additional strategic risks because Aegis uses AI analytics and is preparing for EU expansion. Likelihood reflects threat prevalence, </w:t>
      </w:r>
      <w:proofErr w:type="gramStart"/>
      <w:r w:rsidRPr="00143DD2">
        <w:t>exposure</w:t>
      </w:r>
      <w:proofErr w:type="gramEnd"/>
      <w:r w:rsidRPr="00143DD2">
        <w:t xml:space="preserve"> and control maturity, while impact reflects harm to confidentiality, integrity, availability, compliance, customer </w:t>
      </w:r>
      <w:proofErr w:type="gramStart"/>
      <w:r w:rsidRPr="00143DD2">
        <w:t>trust</w:t>
      </w:r>
      <w:proofErr w:type="gramEnd"/>
      <w:r w:rsidRPr="00143DD2">
        <w:t xml:space="preserve"> and investor confidence.</w:t>
      </w:r>
    </w:p>
    <w:tbl>
      <w:tblPr>
        <w:tblStyle w:val="GridTable1Light"/>
        <w:tblW w:w="19420" w:type="dxa"/>
        <w:tblInd w:w="-3549" w:type="dxa"/>
        <w:tblLook w:val="04A0" w:firstRow="1" w:lastRow="0" w:firstColumn="1" w:lastColumn="0" w:noHBand="0" w:noVBand="1"/>
      </w:tblPr>
      <w:tblGrid>
        <w:gridCol w:w="1134"/>
        <w:gridCol w:w="3119"/>
        <w:gridCol w:w="1559"/>
        <w:gridCol w:w="1134"/>
        <w:gridCol w:w="3686"/>
        <w:gridCol w:w="3685"/>
        <w:gridCol w:w="1658"/>
        <w:gridCol w:w="1177"/>
        <w:gridCol w:w="2268"/>
      </w:tblGrid>
      <w:tr w:rsidR="00C36F4E" w:rsidRPr="00156C32" w14:paraId="28E71A84" w14:textId="77777777" w:rsidTr="009E3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shd w:val="clear" w:color="auto" w:fill="0070C0"/>
            <w:hideMark/>
          </w:tcPr>
          <w:p w14:paraId="379678CD" w14:textId="77777777" w:rsidR="00C36F4E" w:rsidRPr="00156C32" w:rsidRDefault="00C36F4E" w:rsidP="00486748">
            <w:pPr>
              <w:rPr>
                <w:b w:val="0"/>
                <w:bCs w:val="0"/>
              </w:rPr>
            </w:pPr>
            <w:r w:rsidRPr="00156C32">
              <w:t>Risk ID</w:t>
            </w:r>
          </w:p>
        </w:tc>
        <w:tc>
          <w:tcPr>
            <w:tcW w:w="3119" w:type="dxa"/>
            <w:shd w:val="clear" w:color="auto" w:fill="0070C0"/>
            <w:hideMark/>
          </w:tcPr>
          <w:p w14:paraId="22A51662" w14:textId="77777777" w:rsidR="00C36F4E" w:rsidRPr="00156C32" w:rsidRDefault="00C36F4E"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Risk description</w:t>
            </w:r>
          </w:p>
        </w:tc>
        <w:tc>
          <w:tcPr>
            <w:tcW w:w="1559" w:type="dxa"/>
            <w:shd w:val="clear" w:color="auto" w:fill="0070C0"/>
            <w:hideMark/>
          </w:tcPr>
          <w:p w14:paraId="32587323" w14:textId="77777777" w:rsidR="00C36F4E" w:rsidRPr="00156C32" w:rsidRDefault="00C36F4E"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Likelihood</w:t>
            </w:r>
          </w:p>
        </w:tc>
        <w:tc>
          <w:tcPr>
            <w:tcW w:w="1134" w:type="dxa"/>
            <w:shd w:val="clear" w:color="auto" w:fill="0070C0"/>
            <w:hideMark/>
          </w:tcPr>
          <w:p w14:paraId="0645CEC6" w14:textId="77777777" w:rsidR="00C36F4E" w:rsidRPr="00156C32" w:rsidRDefault="00C36F4E"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Impact</w:t>
            </w:r>
          </w:p>
        </w:tc>
        <w:tc>
          <w:tcPr>
            <w:tcW w:w="3686" w:type="dxa"/>
            <w:shd w:val="clear" w:color="auto" w:fill="0070C0"/>
            <w:hideMark/>
          </w:tcPr>
          <w:p w14:paraId="3F1A393A" w14:textId="77777777" w:rsidR="00C36F4E" w:rsidRPr="00156C32" w:rsidRDefault="00C36F4E"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Business consequence</w:t>
            </w:r>
          </w:p>
        </w:tc>
        <w:tc>
          <w:tcPr>
            <w:tcW w:w="3685" w:type="dxa"/>
            <w:shd w:val="clear" w:color="auto" w:fill="0070C0"/>
            <w:hideMark/>
          </w:tcPr>
          <w:p w14:paraId="6C1241DB" w14:textId="77777777" w:rsidR="00C36F4E" w:rsidRPr="00156C32" w:rsidRDefault="00C36F4E"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Recommended mitigation</w:t>
            </w:r>
          </w:p>
        </w:tc>
        <w:tc>
          <w:tcPr>
            <w:tcW w:w="1658" w:type="dxa"/>
            <w:shd w:val="clear" w:color="auto" w:fill="0070C0"/>
            <w:hideMark/>
          </w:tcPr>
          <w:p w14:paraId="13755BF5" w14:textId="77777777" w:rsidR="00C36F4E" w:rsidRPr="00156C32" w:rsidRDefault="00C36F4E"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Owner</w:t>
            </w:r>
          </w:p>
        </w:tc>
        <w:tc>
          <w:tcPr>
            <w:tcW w:w="1177" w:type="dxa"/>
            <w:shd w:val="clear" w:color="auto" w:fill="0070C0"/>
            <w:hideMark/>
          </w:tcPr>
          <w:p w14:paraId="185580FA" w14:textId="77777777" w:rsidR="00C36F4E" w:rsidRPr="00156C32" w:rsidRDefault="00C36F4E"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Residual risk</w:t>
            </w:r>
          </w:p>
        </w:tc>
        <w:tc>
          <w:tcPr>
            <w:tcW w:w="2268" w:type="dxa"/>
            <w:shd w:val="clear" w:color="auto" w:fill="0070C0"/>
            <w:hideMark/>
          </w:tcPr>
          <w:p w14:paraId="2341A86D" w14:textId="1EB6B8FA" w:rsidR="00C36F4E" w:rsidRPr="00156C32" w:rsidRDefault="00D56F13" w:rsidP="00486748">
            <w:pPr>
              <w:cnfStyle w:val="100000000000" w:firstRow="1" w:lastRow="0" w:firstColumn="0" w:lastColumn="0" w:oddVBand="0" w:evenVBand="0" w:oddHBand="0" w:evenHBand="0" w:firstRowFirstColumn="0" w:firstRowLastColumn="0" w:lastRowFirstColumn="0" w:lastRowLastColumn="0"/>
              <w:rPr>
                <w:b w:val="0"/>
                <w:bCs w:val="0"/>
              </w:rPr>
            </w:pPr>
            <w:r w:rsidRPr="00156C32">
              <w:t>E</w:t>
            </w:r>
            <w:r w:rsidR="00C36F4E" w:rsidRPr="00156C32">
              <w:t>vidence</w:t>
            </w:r>
          </w:p>
        </w:tc>
      </w:tr>
      <w:tr w:rsidR="00C36F4E" w:rsidRPr="00156C32" w14:paraId="75A1F3E9" w14:textId="77777777" w:rsidTr="009E3CA8">
        <w:tc>
          <w:tcPr>
            <w:cnfStyle w:val="001000000000" w:firstRow="0" w:lastRow="0" w:firstColumn="1" w:lastColumn="0" w:oddVBand="0" w:evenVBand="0" w:oddHBand="0" w:evenHBand="0" w:firstRowFirstColumn="0" w:firstRowLastColumn="0" w:lastRowFirstColumn="0" w:lastRowLastColumn="0"/>
            <w:tcW w:w="1134" w:type="dxa"/>
            <w:hideMark/>
          </w:tcPr>
          <w:p w14:paraId="44F10747" w14:textId="77777777" w:rsidR="00C36F4E" w:rsidRPr="00156C32" w:rsidRDefault="00C36F4E" w:rsidP="00486748">
            <w:r w:rsidRPr="00156C32">
              <w:t>R1</w:t>
            </w:r>
          </w:p>
        </w:tc>
        <w:tc>
          <w:tcPr>
            <w:tcW w:w="3119" w:type="dxa"/>
            <w:hideMark/>
          </w:tcPr>
          <w:p w14:paraId="7574B723" w14:textId="77777777" w:rsidR="00EA45CD" w:rsidRPr="00156C32" w:rsidRDefault="00EA45CD" w:rsidP="00EA45CD">
            <w:pPr>
              <w:cnfStyle w:val="000000000000" w:firstRow="0" w:lastRow="0" w:firstColumn="0" w:lastColumn="0" w:oddVBand="0" w:evenVBand="0" w:oddHBand="0" w:evenHBand="0" w:firstRowFirstColumn="0" w:firstRowLastColumn="0" w:lastRowFirstColumn="0" w:lastRowLastColumn="0"/>
            </w:pPr>
            <w:r w:rsidRPr="00156C32">
              <w:t xml:space="preserve">Ransomware attack affecting cloud workloads, </w:t>
            </w:r>
            <w:proofErr w:type="gramStart"/>
            <w:r w:rsidRPr="00156C32">
              <w:t>endpoints</w:t>
            </w:r>
            <w:proofErr w:type="gramEnd"/>
            <w:r w:rsidRPr="00156C32">
              <w:t xml:space="preserve"> or identity </w:t>
            </w:r>
            <w:proofErr w:type="gramStart"/>
            <w:r w:rsidRPr="00156C32">
              <w:t>services</w:t>
            </w:r>
            <w:proofErr w:type="gramEnd"/>
          </w:p>
          <w:p w14:paraId="6DB11A03" w14:textId="35681830"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1559" w:type="dxa"/>
            <w:hideMark/>
          </w:tcPr>
          <w:p w14:paraId="3E3FE285"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High</w:t>
            </w:r>
          </w:p>
        </w:tc>
        <w:tc>
          <w:tcPr>
            <w:tcW w:w="1134" w:type="dxa"/>
            <w:hideMark/>
          </w:tcPr>
          <w:p w14:paraId="33E1E4DB"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High</w:t>
            </w:r>
          </w:p>
        </w:tc>
        <w:tc>
          <w:tcPr>
            <w:tcW w:w="3686" w:type="dxa"/>
            <w:hideMark/>
          </w:tcPr>
          <w:p w14:paraId="694C3B25" w14:textId="77777777" w:rsidR="00227E7A" w:rsidRPr="00156C32" w:rsidRDefault="00227E7A" w:rsidP="00227E7A">
            <w:pPr>
              <w:cnfStyle w:val="000000000000" w:firstRow="0" w:lastRow="0" w:firstColumn="0" w:lastColumn="0" w:oddVBand="0" w:evenVBand="0" w:oddHBand="0" w:evenHBand="0" w:firstRowFirstColumn="0" w:firstRowLastColumn="0" w:lastRowFirstColumn="0" w:lastRowLastColumn="0"/>
            </w:pPr>
            <w:r w:rsidRPr="00156C32">
              <w:t xml:space="preserve">Service outage, data loss, regulatory notification and reputational </w:t>
            </w:r>
            <w:proofErr w:type="gramStart"/>
            <w:r w:rsidRPr="00156C32">
              <w:t>damage</w:t>
            </w:r>
            <w:proofErr w:type="gramEnd"/>
          </w:p>
          <w:p w14:paraId="7C15658B" w14:textId="68C6595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3685" w:type="dxa"/>
            <w:hideMark/>
          </w:tcPr>
          <w:p w14:paraId="36F86995" w14:textId="77777777" w:rsidR="00CA0922" w:rsidRPr="00156C32" w:rsidRDefault="00CA0922" w:rsidP="00CA0922">
            <w:pPr>
              <w:cnfStyle w:val="000000000000" w:firstRow="0" w:lastRow="0" w:firstColumn="0" w:lastColumn="0" w:oddVBand="0" w:evenVBand="0" w:oddHBand="0" w:evenHBand="0" w:firstRowFirstColumn="0" w:firstRowLastColumn="0" w:lastRowFirstColumn="0" w:lastRowLastColumn="0"/>
            </w:pPr>
            <w:r w:rsidRPr="00156C32">
              <w:t xml:space="preserve">EDR/XDR, MFA, PAM, segmentation, immutable backups, restore testing and ransomware </w:t>
            </w:r>
            <w:proofErr w:type="gramStart"/>
            <w:r w:rsidRPr="00156C32">
              <w:t>playbook</w:t>
            </w:r>
            <w:proofErr w:type="gramEnd"/>
          </w:p>
          <w:p w14:paraId="5BE58A58" w14:textId="09E0B83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1658" w:type="dxa"/>
            <w:hideMark/>
          </w:tcPr>
          <w:p w14:paraId="5801E065" w14:textId="77777777" w:rsidR="00CA0922" w:rsidRPr="00156C32" w:rsidRDefault="00CA0922" w:rsidP="00CA0922">
            <w:pPr>
              <w:cnfStyle w:val="000000000000" w:firstRow="0" w:lastRow="0" w:firstColumn="0" w:lastColumn="0" w:oddVBand="0" w:evenVBand="0" w:oddHBand="0" w:evenHBand="0" w:firstRowFirstColumn="0" w:firstRowLastColumn="0" w:lastRowFirstColumn="0" w:lastRowLastColumn="0"/>
            </w:pPr>
            <w:r w:rsidRPr="00156C32">
              <w:t>Security Operations Manager / IR Lead</w:t>
            </w:r>
          </w:p>
          <w:p w14:paraId="0FF92DC2" w14:textId="17D9AD39"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1177" w:type="dxa"/>
            <w:hideMark/>
          </w:tcPr>
          <w:p w14:paraId="655D3282"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Medium</w:t>
            </w:r>
          </w:p>
        </w:tc>
        <w:tc>
          <w:tcPr>
            <w:tcW w:w="2268" w:type="dxa"/>
            <w:hideMark/>
          </w:tcPr>
          <w:p w14:paraId="77EECFFD" w14:textId="77777777" w:rsidR="00CA0922" w:rsidRPr="00156C32" w:rsidRDefault="00CA0922" w:rsidP="00CA0922">
            <w:pPr>
              <w:cnfStyle w:val="000000000000" w:firstRow="0" w:lastRow="0" w:firstColumn="0" w:lastColumn="0" w:oddVBand="0" w:evenVBand="0" w:oddHBand="0" w:evenHBand="0" w:firstRowFirstColumn="0" w:firstRowLastColumn="0" w:lastRowFirstColumn="0" w:lastRowLastColumn="0"/>
            </w:pPr>
            <w:r w:rsidRPr="00156C32">
              <w:t>Ransomware and backup evidence</w:t>
            </w:r>
          </w:p>
          <w:p w14:paraId="4D20239D" w14:textId="6B9E5FCB" w:rsidR="003D17F7" w:rsidRPr="00156C32" w:rsidRDefault="00AB0959" w:rsidP="003D17F7">
            <w:pPr>
              <w:cnfStyle w:val="000000000000" w:firstRow="0" w:lastRow="0" w:firstColumn="0" w:lastColumn="0" w:oddVBand="0" w:evenVBand="0" w:oddHBand="0" w:evenHBand="0" w:firstRowFirstColumn="0" w:firstRowLastColumn="0" w:lastRowFirstColumn="0" w:lastRowLastColumn="0"/>
            </w:pPr>
            <w:r w:rsidRPr="00156C32">
              <w:fldChar w:fldCharType="begin"/>
            </w:r>
            <w:r w:rsidR="004742D8">
              <w:instrText xml:space="preserve"> ADDIN ZOTERO_ITEM CSL_CITATION {"citationID":"OSvm9ZNg","properties":{"unsorted":false,"formattedCitation":"[13]","plainCitation":"[13]","noteIndex":0},"citationItems":[{"id":83,"uris":["http://zotero.org/users/local/ZNi8sr8v/items/PKXSNW9I"],"itemData":{"id":83,"type":"webpage","publisher":"National Cyber Security Centre","title":"Ransomware-resistant backups","URL":"https://www.ncsc.gov.uk/collection/ransomware-resistant-backups","author":[{"literal":"National Cyber Security Centre"}],"issued":{"date-parts":[["2024",11,22]]}}}],"schema":"https://github.com/citation-style-language/schema/raw/master/csl-citation.json"} </w:instrText>
            </w:r>
            <w:r w:rsidRPr="00156C32">
              <w:fldChar w:fldCharType="separate"/>
            </w:r>
            <w:r w:rsidR="004742D8" w:rsidRPr="004742D8">
              <w:rPr>
                <w:rFonts w:ascii="Aptos" w:hAnsi="Aptos"/>
              </w:rPr>
              <w:t>[13]</w:t>
            </w:r>
            <w:r w:rsidRPr="00156C32">
              <w:fldChar w:fldCharType="end"/>
            </w:r>
          </w:p>
          <w:p w14:paraId="4367868F" w14:textId="2A16F0C9"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r>
      <w:tr w:rsidR="00C36F4E" w:rsidRPr="00156C32" w14:paraId="643BC76D" w14:textId="77777777" w:rsidTr="009E3CA8">
        <w:tc>
          <w:tcPr>
            <w:cnfStyle w:val="001000000000" w:firstRow="0" w:lastRow="0" w:firstColumn="1" w:lastColumn="0" w:oddVBand="0" w:evenVBand="0" w:oddHBand="0" w:evenHBand="0" w:firstRowFirstColumn="0" w:firstRowLastColumn="0" w:lastRowFirstColumn="0" w:lastRowLastColumn="0"/>
            <w:tcW w:w="1134" w:type="dxa"/>
            <w:hideMark/>
          </w:tcPr>
          <w:p w14:paraId="61173B49" w14:textId="77777777" w:rsidR="00C36F4E" w:rsidRPr="00156C32" w:rsidRDefault="00C36F4E" w:rsidP="00486748">
            <w:r w:rsidRPr="00156C32">
              <w:t>R2</w:t>
            </w:r>
          </w:p>
        </w:tc>
        <w:tc>
          <w:tcPr>
            <w:tcW w:w="3119" w:type="dxa"/>
            <w:hideMark/>
          </w:tcPr>
          <w:p w14:paraId="534A5348" w14:textId="7DBAA503" w:rsidR="00C36F4E" w:rsidRPr="00156C32" w:rsidRDefault="009C3CF0" w:rsidP="00486748">
            <w:pPr>
              <w:cnfStyle w:val="000000000000" w:firstRow="0" w:lastRow="0" w:firstColumn="0" w:lastColumn="0" w:oddVBand="0" w:evenVBand="0" w:oddHBand="0" w:evenHBand="0" w:firstRowFirstColumn="0" w:firstRowLastColumn="0" w:lastRowFirstColumn="0" w:lastRowLastColumn="0"/>
            </w:pPr>
            <w:r w:rsidRPr="00156C32">
              <w:t>Cloud misconfiguration exposing personal, financial or analytics data</w:t>
            </w:r>
          </w:p>
        </w:tc>
        <w:tc>
          <w:tcPr>
            <w:tcW w:w="1559" w:type="dxa"/>
            <w:hideMark/>
          </w:tcPr>
          <w:p w14:paraId="6569E358"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High</w:t>
            </w:r>
          </w:p>
        </w:tc>
        <w:tc>
          <w:tcPr>
            <w:tcW w:w="1134" w:type="dxa"/>
            <w:hideMark/>
          </w:tcPr>
          <w:p w14:paraId="2A43A048"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High</w:t>
            </w:r>
          </w:p>
        </w:tc>
        <w:tc>
          <w:tcPr>
            <w:tcW w:w="3686" w:type="dxa"/>
            <w:hideMark/>
          </w:tcPr>
          <w:p w14:paraId="7F68A08D" w14:textId="7A5A196B" w:rsidR="00C36F4E" w:rsidRPr="00156C32" w:rsidRDefault="009C3CF0" w:rsidP="00486748">
            <w:pPr>
              <w:cnfStyle w:val="000000000000" w:firstRow="0" w:lastRow="0" w:firstColumn="0" w:lastColumn="0" w:oddVBand="0" w:evenVBand="0" w:oddHBand="0" w:evenHBand="0" w:firstRowFirstColumn="0" w:firstRowLastColumn="0" w:lastRowFirstColumn="0" w:lastRowLastColumn="0"/>
            </w:pPr>
            <w:r w:rsidRPr="00156C32">
              <w:t xml:space="preserve">GDPR breach, customer harm, unauthorised </w:t>
            </w:r>
            <w:proofErr w:type="gramStart"/>
            <w:r w:rsidRPr="00156C32">
              <w:t>access</w:t>
            </w:r>
            <w:proofErr w:type="gramEnd"/>
            <w:r w:rsidRPr="00156C32">
              <w:t xml:space="preserve"> and investor concern</w:t>
            </w:r>
          </w:p>
        </w:tc>
        <w:tc>
          <w:tcPr>
            <w:tcW w:w="3685" w:type="dxa"/>
            <w:hideMark/>
          </w:tcPr>
          <w:p w14:paraId="262F1633" w14:textId="77777777" w:rsidR="009C3CF0" w:rsidRPr="00156C32" w:rsidRDefault="009C3CF0" w:rsidP="009C3CF0">
            <w:pPr>
              <w:cnfStyle w:val="000000000000" w:firstRow="0" w:lastRow="0" w:firstColumn="0" w:lastColumn="0" w:oddVBand="0" w:evenVBand="0" w:oddHBand="0" w:evenHBand="0" w:firstRowFirstColumn="0" w:firstRowLastColumn="0" w:lastRowFirstColumn="0" w:lastRowLastColumn="0"/>
            </w:pPr>
            <w:r w:rsidRPr="00156C32">
              <w:t xml:space="preserve">CSPM, </w:t>
            </w:r>
            <w:proofErr w:type="spellStart"/>
            <w:r w:rsidRPr="00156C32">
              <w:t>IaC</w:t>
            </w:r>
            <w:proofErr w:type="spellEnd"/>
            <w:r w:rsidRPr="00156C32">
              <w:t xml:space="preserve"> scanning, encryption, DLP, secure baselines and change </w:t>
            </w:r>
            <w:proofErr w:type="gramStart"/>
            <w:r w:rsidRPr="00156C32">
              <w:t>control</w:t>
            </w:r>
            <w:proofErr w:type="gramEnd"/>
          </w:p>
          <w:p w14:paraId="6BE43C7A" w14:textId="295B1486"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1658" w:type="dxa"/>
            <w:hideMark/>
          </w:tcPr>
          <w:p w14:paraId="0544129C" w14:textId="77777777" w:rsidR="00ED1A4D" w:rsidRPr="00156C32" w:rsidRDefault="00ED1A4D" w:rsidP="00ED1A4D">
            <w:pPr>
              <w:cnfStyle w:val="000000000000" w:firstRow="0" w:lastRow="0" w:firstColumn="0" w:lastColumn="0" w:oddVBand="0" w:evenVBand="0" w:oddHBand="0" w:evenHBand="0" w:firstRowFirstColumn="0" w:firstRowLastColumn="0" w:lastRowFirstColumn="0" w:lastRowLastColumn="0"/>
            </w:pPr>
            <w:r w:rsidRPr="00156C32">
              <w:t xml:space="preserve">Cloud Security Architect / </w:t>
            </w:r>
            <w:proofErr w:type="spellStart"/>
            <w:r w:rsidRPr="00156C32">
              <w:t>DevSecOps</w:t>
            </w:r>
            <w:proofErr w:type="spellEnd"/>
            <w:r w:rsidRPr="00156C32">
              <w:t xml:space="preserve"> Engineer</w:t>
            </w:r>
          </w:p>
          <w:p w14:paraId="2DF10CE2" w14:textId="553249BF"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1177" w:type="dxa"/>
            <w:hideMark/>
          </w:tcPr>
          <w:p w14:paraId="1387F79F"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Medium</w:t>
            </w:r>
          </w:p>
        </w:tc>
        <w:tc>
          <w:tcPr>
            <w:tcW w:w="2268" w:type="dxa"/>
            <w:hideMark/>
          </w:tcPr>
          <w:p w14:paraId="048294A1" w14:textId="099AD0C8" w:rsidR="00ED1A4D" w:rsidRPr="00156C32" w:rsidRDefault="00ED1A4D" w:rsidP="00ED1A4D">
            <w:pPr>
              <w:cnfStyle w:val="000000000000" w:firstRow="0" w:lastRow="0" w:firstColumn="0" w:lastColumn="0" w:oddVBand="0" w:evenVBand="0" w:oddHBand="0" w:evenHBand="0" w:firstRowFirstColumn="0" w:firstRowLastColumn="0" w:lastRowFirstColumn="0" w:lastRowLastColumn="0"/>
            </w:pPr>
            <w:r w:rsidRPr="00156C32">
              <w:t>Cloud misconfiguration evidence</w:t>
            </w:r>
            <w:r w:rsidR="00396293" w:rsidRPr="00156C32">
              <w:t xml:space="preserve"> </w:t>
            </w:r>
            <w:r w:rsidR="00396293" w:rsidRPr="00156C32">
              <w:fldChar w:fldCharType="begin"/>
            </w:r>
            <w:r w:rsidR="00396293" w:rsidRPr="00156C32">
              <w:instrText xml:space="preserve"> ADDIN ZOTERO_ITEM CSL_CITATION {"citationID":"9nDs4sBl","properties":{"unsorted":false,"formattedCitation":"[8], [9]","plainCitation":"[8], [9]","noteIndex":0},"citationItems":[{"id":71,"uris":["http://zotero.org/users/local/ZNi8sr8v/items/GKJM5GU4"],"itemData":{"id":71,"type":"article-journal","container-title":"IEEE Access","DOI":"10.1109/ACCESS.2021.3073203","journalAbbreviation":"IEEE Access","title":"A Systematic Literature Review on Cloud Computing Security: Threats and Mitigation Strategies","URL":"https://ieeexplore.ieee.org/document/9404177","author":[{"family":"Hasnain","given":"Muhammad"}],"issued":{"date-parts":[["2021"]]}}},{"id":87,"uris":["http://zotero.org/users/local/ZNi8sr8v/items/9Y6YC7CU"],"itemData":{"id":87,"type":"paper-conference","DOI":"10.1145/3616131.3616142","event-title":"2023 7th International Conference on Cloud and Big Data Computing (ICCBDC 2023)","publisher":"ACM","title":"CACLE - Automated Mitigation for Misconfiguration Vulnerabilities in Cloud Systems","URL":"https://dl.acm.org/doi/10.1145/3616131.3616142","author":[{"family":"Millward","given":"Douglas J."},{"family":"Reed","given":"Martin J."},{"family":"Olaniyi","given":"Nkaepe"}],"issued":{"date-parts":[["2023"]]}}}],"schema":"https://github.com/citation-style-language/schema/raw/master/csl-citation.json"} </w:instrText>
            </w:r>
            <w:r w:rsidR="00396293" w:rsidRPr="00156C32">
              <w:fldChar w:fldCharType="separate"/>
            </w:r>
            <w:r w:rsidR="00396293" w:rsidRPr="00156C32">
              <w:t>[8], [9]</w:t>
            </w:r>
            <w:r w:rsidR="00396293" w:rsidRPr="00156C32">
              <w:fldChar w:fldCharType="end"/>
            </w:r>
          </w:p>
          <w:p w14:paraId="6233471B" w14:textId="5D2C388E"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r>
      <w:tr w:rsidR="00C36F4E" w:rsidRPr="00156C32" w14:paraId="3B5602CA" w14:textId="77777777" w:rsidTr="009E3CA8">
        <w:tc>
          <w:tcPr>
            <w:cnfStyle w:val="001000000000" w:firstRow="0" w:lastRow="0" w:firstColumn="1" w:lastColumn="0" w:oddVBand="0" w:evenVBand="0" w:oddHBand="0" w:evenHBand="0" w:firstRowFirstColumn="0" w:firstRowLastColumn="0" w:lastRowFirstColumn="0" w:lastRowLastColumn="0"/>
            <w:tcW w:w="1134" w:type="dxa"/>
            <w:hideMark/>
          </w:tcPr>
          <w:p w14:paraId="645E7AA9" w14:textId="77777777" w:rsidR="00C36F4E" w:rsidRPr="00156C32" w:rsidRDefault="00C36F4E" w:rsidP="00486748">
            <w:r w:rsidRPr="00156C32">
              <w:t>R3</w:t>
            </w:r>
          </w:p>
        </w:tc>
        <w:tc>
          <w:tcPr>
            <w:tcW w:w="3119" w:type="dxa"/>
            <w:hideMark/>
          </w:tcPr>
          <w:p w14:paraId="0720F8B7" w14:textId="77777777" w:rsidR="00396293" w:rsidRPr="00156C32" w:rsidRDefault="00396293" w:rsidP="00396293">
            <w:pPr>
              <w:cnfStyle w:val="000000000000" w:firstRow="0" w:lastRow="0" w:firstColumn="0" w:lastColumn="0" w:oddVBand="0" w:evenVBand="0" w:oddHBand="0" w:evenHBand="0" w:firstRowFirstColumn="0" w:firstRowLastColumn="0" w:lastRowFirstColumn="0" w:lastRowLastColumn="0"/>
            </w:pPr>
            <w:r w:rsidRPr="00156C32">
              <w:t>Third-party ICT provider compromise or service failure</w:t>
            </w:r>
          </w:p>
          <w:p w14:paraId="17948BF9" w14:textId="7D88E0B2"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1559" w:type="dxa"/>
            <w:hideMark/>
          </w:tcPr>
          <w:p w14:paraId="38CA9C7C"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Medium</w:t>
            </w:r>
          </w:p>
        </w:tc>
        <w:tc>
          <w:tcPr>
            <w:tcW w:w="1134" w:type="dxa"/>
            <w:hideMark/>
          </w:tcPr>
          <w:p w14:paraId="4FE21065"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High</w:t>
            </w:r>
          </w:p>
        </w:tc>
        <w:tc>
          <w:tcPr>
            <w:tcW w:w="3686" w:type="dxa"/>
            <w:hideMark/>
          </w:tcPr>
          <w:p w14:paraId="5CEFA0A0" w14:textId="77777777" w:rsidR="003166ED" w:rsidRPr="00156C32" w:rsidRDefault="003166ED" w:rsidP="003166ED">
            <w:pPr>
              <w:cnfStyle w:val="000000000000" w:firstRow="0" w:lastRow="0" w:firstColumn="0" w:lastColumn="0" w:oddVBand="0" w:evenVBand="0" w:oddHBand="0" w:evenHBand="0" w:firstRowFirstColumn="0" w:firstRowLastColumn="0" w:lastRowFirstColumn="0" w:lastRowLastColumn="0"/>
            </w:pPr>
            <w:r w:rsidRPr="00156C32">
              <w:t xml:space="preserve">Supplier breach, SaaS/API outage, operational </w:t>
            </w:r>
            <w:proofErr w:type="gramStart"/>
            <w:r w:rsidRPr="00156C32">
              <w:t>disruption</w:t>
            </w:r>
            <w:proofErr w:type="gramEnd"/>
            <w:r w:rsidRPr="00156C32">
              <w:t xml:space="preserve"> and regulatory exposure</w:t>
            </w:r>
          </w:p>
          <w:p w14:paraId="2E9BDA3E" w14:textId="45D6CFD3"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3685" w:type="dxa"/>
            <w:hideMark/>
          </w:tcPr>
          <w:p w14:paraId="35949D2B" w14:textId="77777777" w:rsidR="00554234" w:rsidRPr="00156C32" w:rsidRDefault="00554234" w:rsidP="00554234">
            <w:pPr>
              <w:cnfStyle w:val="000000000000" w:firstRow="0" w:lastRow="0" w:firstColumn="0" w:lastColumn="0" w:oddVBand="0" w:evenVBand="0" w:oddHBand="0" w:evenHBand="0" w:firstRowFirstColumn="0" w:firstRowLastColumn="0" w:lastRowFirstColumn="0" w:lastRowLastColumn="0"/>
            </w:pPr>
            <w:r w:rsidRPr="00156C32">
              <w:t xml:space="preserve">Supplier due diligence, contractual controls, supplier monitoring, access review, incident clauses and exit </w:t>
            </w:r>
            <w:proofErr w:type="gramStart"/>
            <w:r w:rsidRPr="00156C32">
              <w:t>planning</w:t>
            </w:r>
            <w:proofErr w:type="gramEnd"/>
          </w:p>
          <w:p w14:paraId="2C10576A" w14:textId="1559EAE2"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1658" w:type="dxa"/>
            <w:hideMark/>
          </w:tcPr>
          <w:p w14:paraId="1F73F079" w14:textId="77777777" w:rsidR="00554234" w:rsidRPr="00156C32" w:rsidRDefault="00554234" w:rsidP="00554234">
            <w:pPr>
              <w:cnfStyle w:val="000000000000" w:firstRow="0" w:lastRow="0" w:firstColumn="0" w:lastColumn="0" w:oddVBand="0" w:evenVBand="0" w:oddHBand="0" w:evenHBand="0" w:firstRowFirstColumn="0" w:firstRowLastColumn="0" w:lastRowFirstColumn="0" w:lastRowLastColumn="0"/>
            </w:pPr>
            <w:r w:rsidRPr="00156C32">
              <w:t>Third-Party Risk Manager / GRC Lead</w:t>
            </w:r>
          </w:p>
          <w:p w14:paraId="09F63DA6" w14:textId="101F650A"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c>
          <w:tcPr>
            <w:tcW w:w="1177" w:type="dxa"/>
            <w:hideMark/>
          </w:tcPr>
          <w:p w14:paraId="46A7CF5D" w14:textId="7777777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r w:rsidRPr="00156C32">
              <w:t>Medium</w:t>
            </w:r>
          </w:p>
        </w:tc>
        <w:tc>
          <w:tcPr>
            <w:tcW w:w="2268" w:type="dxa"/>
            <w:hideMark/>
          </w:tcPr>
          <w:p w14:paraId="35817997" w14:textId="54849356" w:rsidR="00554234" w:rsidRPr="00156C32" w:rsidRDefault="00554234" w:rsidP="00554234">
            <w:pPr>
              <w:cnfStyle w:val="000000000000" w:firstRow="0" w:lastRow="0" w:firstColumn="0" w:lastColumn="0" w:oddVBand="0" w:evenVBand="0" w:oddHBand="0" w:evenHBand="0" w:firstRowFirstColumn="0" w:firstRowLastColumn="0" w:lastRowFirstColumn="0" w:lastRowLastColumn="0"/>
            </w:pPr>
            <w:r w:rsidRPr="00156C32">
              <w:t xml:space="preserve">DORA and third-party breach evidence </w:t>
            </w:r>
            <w:r w:rsidR="00AB4598" w:rsidRPr="00156C32">
              <w:fldChar w:fldCharType="begin"/>
            </w:r>
            <w:r w:rsidR="00AB4598" w:rsidRPr="00156C32">
              <w:instrText xml:space="preserve"> ADDIN ZOTERO_ITEM CSL_CITATION {"citationID":"ArxkqFLW","properties":{"unsorted":false,"formattedCitation":"[2], [5]","plainCitation":"[2], [5]","noteIndex":0},"citationItems":[{"id":80,"uris":["http://zotero.org/users/local/ZNi8sr8v/items/3432IUHK"],"itemData":{"id":80,"type":"report","publisher":"Verizon Business","title":"2025 Data Breach Investigations Report","URL":"https://www.verizon.com/business/resources/reports/dbir/","author":[{"literal":"Verizon"}],"issued":{"date-parts":[["2025"]]}}},{"id":76,"uris":["http://zotero.org/users/local/ZNi8sr8v/items/D6H5VDGY"],"itemData":{"id":76,"type":"legislation","container-title":"Official Journal of the European Union","page":"1-79","title":"Regulation (EU) 2022/2554 on Digital Operational Resilience for the Financial Sector (DORA)","URL":"https://eur-lex.europa.eu/eli/reg/2022/2554/oj","volume":"L333","author":[{"literal":"European Parliament"},{"literal":"Council of the European Union"}],"issued":{"date-parts":[["2022",12,14]]}}}],"schema":"https://github.com/citation-style-language/schema/raw/master/csl-citation.json"} </w:instrText>
            </w:r>
            <w:r w:rsidR="00AB4598" w:rsidRPr="00156C32">
              <w:fldChar w:fldCharType="separate"/>
            </w:r>
            <w:r w:rsidR="00AB4598" w:rsidRPr="00156C32">
              <w:t>[2], [5]</w:t>
            </w:r>
            <w:r w:rsidR="00AB4598" w:rsidRPr="00156C32">
              <w:fldChar w:fldCharType="end"/>
            </w:r>
          </w:p>
          <w:p w14:paraId="2ECAF642" w14:textId="73343927" w:rsidR="00C36F4E" w:rsidRPr="00156C32" w:rsidRDefault="00C36F4E" w:rsidP="00486748">
            <w:pPr>
              <w:cnfStyle w:val="000000000000" w:firstRow="0" w:lastRow="0" w:firstColumn="0" w:lastColumn="0" w:oddVBand="0" w:evenVBand="0" w:oddHBand="0" w:evenHBand="0" w:firstRowFirstColumn="0" w:firstRowLastColumn="0" w:lastRowFirstColumn="0" w:lastRowLastColumn="0"/>
            </w:pPr>
          </w:p>
        </w:tc>
      </w:tr>
      <w:tr w:rsidR="00AB4598" w:rsidRPr="00156C32" w14:paraId="5C6D80D7" w14:textId="77777777" w:rsidTr="009E3CA8">
        <w:tc>
          <w:tcPr>
            <w:cnfStyle w:val="001000000000" w:firstRow="0" w:lastRow="0" w:firstColumn="1" w:lastColumn="0" w:oddVBand="0" w:evenVBand="0" w:oddHBand="0" w:evenHBand="0" w:firstRowFirstColumn="0" w:firstRowLastColumn="0" w:lastRowFirstColumn="0" w:lastRowLastColumn="0"/>
            <w:tcW w:w="1134" w:type="dxa"/>
          </w:tcPr>
          <w:p w14:paraId="66B5A10F" w14:textId="65C43735" w:rsidR="00AB4598" w:rsidRPr="00156C32" w:rsidRDefault="00AB4598" w:rsidP="00486748">
            <w:r w:rsidRPr="00156C32">
              <w:t>R4</w:t>
            </w:r>
          </w:p>
        </w:tc>
        <w:tc>
          <w:tcPr>
            <w:tcW w:w="3119" w:type="dxa"/>
          </w:tcPr>
          <w:p w14:paraId="160008D4" w14:textId="77777777" w:rsidR="00275FAC" w:rsidRPr="00156C32" w:rsidRDefault="00275FAC" w:rsidP="00275FAC">
            <w:pPr>
              <w:cnfStyle w:val="000000000000" w:firstRow="0" w:lastRow="0" w:firstColumn="0" w:lastColumn="0" w:oddVBand="0" w:evenVBand="0" w:oddHBand="0" w:evenHBand="0" w:firstRowFirstColumn="0" w:firstRowLastColumn="0" w:lastRowFirstColumn="0" w:lastRowLastColumn="0"/>
            </w:pPr>
            <w:r w:rsidRPr="00156C32">
              <w:t xml:space="preserve">AI data poisoning, model </w:t>
            </w:r>
            <w:proofErr w:type="gramStart"/>
            <w:r w:rsidRPr="00156C32">
              <w:t>manipulation</w:t>
            </w:r>
            <w:proofErr w:type="gramEnd"/>
            <w:r w:rsidRPr="00156C32">
              <w:t xml:space="preserve"> or unreliable analytics output</w:t>
            </w:r>
          </w:p>
          <w:p w14:paraId="60F09876" w14:textId="77777777" w:rsidR="00AB4598" w:rsidRPr="00156C32" w:rsidRDefault="00AB4598" w:rsidP="00396293">
            <w:pPr>
              <w:cnfStyle w:val="000000000000" w:firstRow="0" w:lastRow="0" w:firstColumn="0" w:lastColumn="0" w:oddVBand="0" w:evenVBand="0" w:oddHBand="0" w:evenHBand="0" w:firstRowFirstColumn="0" w:firstRowLastColumn="0" w:lastRowFirstColumn="0" w:lastRowLastColumn="0"/>
            </w:pPr>
          </w:p>
        </w:tc>
        <w:tc>
          <w:tcPr>
            <w:tcW w:w="1559" w:type="dxa"/>
          </w:tcPr>
          <w:p w14:paraId="0915C2CF" w14:textId="1C0FF80C" w:rsidR="00AB4598" w:rsidRPr="00156C32" w:rsidRDefault="00275FAC" w:rsidP="00486748">
            <w:pPr>
              <w:cnfStyle w:val="000000000000" w:firstRow="0" w:lastRow="0" w:firstColumn="0" w:lastColumn="0" w:oddVBand="0" w:evenVBand="0" w:oddHBand="0" w:evenHBand="0" w:firstRowFirstColumn="0" w:firstRowLastColumn="0" w:lastRowFirstColumn="0" w:lastRowLastColumn="0"/>
            </w:pPr>
            <w:r w:rsidRPr="00156C32">
              <w:t>Medium</w:t>
            </w:r>
          </w:p>
        </w:tc>
        <w:tc>
          <w:tcPr>
            <w:tcW w:w="1134" w:type="dxa"/>
          </w:tcPr>
          <w:p w14:paraId="22DF2DCF" w14:textId="78EE3304" w:rsidR="00AB4598" w:rsidRPr="00156C32" w:rsidRDefault="00275FAC" w:rsidP="00486748">
            <w:pPr>
              <w:cnfStyle w:val="000000000000" w:firstRow="0" w:lastRow="0" w:firstColumn="0" w:lastColumn="0" w:oddVBand="0" w:evenVBand="0" w:oddHBand="0" w:evenHBand="0" w:firstRowFirstColumn="0" w:firstRowLastColumn="0" w:lastRowFirstColumn="0" w:lastRowLastColumn="0"/>
            </w:pPr>
            <w:r w:rsidRPr="00156C32">
              <w:t>High</w:t>
            </w:r>
          </w:p>
        </w:tc>
        <w:tc>
          <w:tcPr>
            <w:tcW w:w="3686" w:type="dxa"/>
          </w:tcPr>
          <w:p w14:paraId="75F02F70" w14:textId="77777777" w:rsidR="00275FAC" w:rsidRPr="00156C32" w:rsidRDefault="00275FAC" w:rsidP="00275FAC">
            <w:pPr>
              <w:cnfStyle w:val="000000000000" w:firstRow="0" w:lastRow="0" w:firstColumn="0" w:lastColumn="0" w:oddVBand="0" w:evenVBand="0" w:oddHBand="0" w:evenHBand="0" w:firstRowFirstColumn="0" w:firstRowLastColumn="0" w:lastRowFirstColumn="0" w:lastRowLastColumn="0"/>
            </w:pPr>
            <w:r w:rsidRPr="00156C32">
              <w:t xml:space="preserve">Manipulated analytics, poor decisions, privacy </w:t>
            </w:r>
            <w:proofErr w:type="gramStart"/>
            <w:r w:rsidRPr="00156C32">
              <w:t>concerns</w:t>
            </w:r>
            <w:proofErr w:type="gramEnd"/>
            <w:r w:rsidRPr="00156C32">
              <w:t xml:space="preserve"> and loss of </w:t>
            </w:r>
            <w:proofErr w:type="gramStart"/>
            <w:r w:rsidRPr="00156C32">
              <w:t>trust</w:t>
            </w:r>
            <w:proofErr w:type="gramEnd"/>
          </w:p>
          <w:p w14:paraId="66ED10EC" w14:textId="77777777" w:rsidR="00AB4598" w:rsidRPr="00156C32" w:rsidRDefault="00AB4598" w:rsidP="003166ED">
            <w:pPr>
              <w:cnfStyle w:val="000000000000" w:firstRow="0" w:lastRow="0" w:firstColumn="0" w:lastColumn="0" w:oddVBand="0" w:evenVBand="0" w:oddHBand="0" w:evenHBand="0" w:firstRowFirstColumn="0" w:firstRowLastColumn="0" w:lastRowFirstColumn="0" w:lastRowLastColumn="0"/>
            </w:pPr>
          </w:p>
        </w:tc>
        <w:tc>
          <w:tcPr>
            <w:tcW w:w="3685" w:type="dxa"/>
          </w:tcPr>
          <w:p w14:paraId="3A9CC1AF" w14:textId="77777777" w:rsidR="00275FAC" w:rsidRPr="00156C32" w:rsidRDefault="00275FAC" w:rsidP="00275FAC">
            <w:pPr>
              <w:cnfStyle w:val="000000000000" w:firstRow="0" w:lastRow="0" w:firstColumn="0" w:lastColumn="0" w:oddVBand="0" w:evenVBand="0" w:oddHBand="0" w:evenHBand="0" w:firstRowFirstColumn="0" w:firstRowLastColumn="0" w:lastRowFirstColumn="0" w:lastRowLastColumn="0"/>
            </w:pPr>
            <w:r w:rsidRPr="00156C32">
              <w:t xml:space="preserve">AI governance, training-data validation, model monitoring, human review, access </w:t>
            </w:r>
            <w:proofErr w:type="gramStart"/>
            <w:r w:rsidRPr="00156C32">
              <w:t>control</w:t>
            </w:r>
            <w:proofErr w:type="gramEnd"/>
            <w:r w:rsidRPr="00156C32">
              <w:t xml:space="preserve"> and AI risk assessment</w:t>
            </w:r>
          </w:p>
          <w:p w14:paraId="2FAF2CD0" w14:textId="77777777" w:rsidR="00AB4598" w:rsidRPr="00156C32" w:rsidRDefault="00AB4598" w:rsidP="00554234">
            <w:pPr>
              <w:cnfStyle w:val="000000000000" w:firstRow="0" w:lastRow="0" w:firstColumn="0" w:lastColumn="0" w:oddVBand="0" w:evenVBand="0" w:oddHBand="0" w:evenHBand="0" w:firstRowFirstColumn="0" w:firstRowLastColumn="0" w:lastRowFirstColumn="0" w:lastRowLastColumn="0"/>
            </w:pPr>
          </w:p>
        </w:tc>
        <w:tc>
          <w:tcPr>
            <w:tcW w:w="1658" w:type="dxa"/>
          </w:tcPr>
          <w:p w14:paraId="7DB9FD51" w14:textId="77777777" w:rsidR="00275FAC" w:rsidRPr="00156C32" w:rsidRDefault="00275FAC" w:rsidP="00275FAC">
            <w:pPr>
              <w:cnfStyle w:val="000000000000" w:firstRow="0" w:lastRow="0" w:firstColumn="0" w:lastColumn="0" w:oddVBand="0" w:evenVBand="0" w:oddHBand="0" w:evenHBand="0" w:firstRowFirstColumn="0" w:firstRowLastColumn="0" w:lastRowFirstColumn="0" w:lastRowLastColumn="0"/>
            </w:pPr>
            <w:r w:rsidRPr="00156C32">
              <w:t>AI Security and Governance Specialist / DPO</w:t>
            </w:r>
          </w:p>
          <w:p w14:paraId="6E5703CC" w14:textId="77777777" w:rsidR="00AB4598" w:rsidRPr="00156C32" w:rsidRDefault="00AB4598" w:rsidP="00554234">
            <w:pPr>
              <w:cnfStyle w:val="000000000000" w:firstRow="0" w:lastRow="0" w:firstColumn="0" w:lastColumn="0" w:oddVBand="0" w:evenVBand="0" w:oddHBand="0" w:evenHBand="0" w:firstRowFirstColumn="0" w:firstRowLastColumn="0" w:lastRowFirstColumn="0" w:lastRowLastColumn="0"/>
            </w:pPr>
          </w:p>
        </w:tc>
        <w:tc>
          <w:tcPr>
            <w:tcW w:w="1177" w:type="dxa"/>
          </w:tcPr>
          <w:p w14:paraId="1B3999F4" w14:textId="1913F76D" w:rsidR="00AB4598" w:rsidRPr="00156C32" w:rsidRDefault="00275FAC" w:rsidP="00486748">
            <w:pPr>
              <w:cnfStyle w:val="000000000000" w:firstRow="0" w:lastRow="0" w:firstColumn="0" w:lastColumn="0" w:oddVBand="0" w:evenVBand="0" w:oddHBand="0" w:evenHBand="0" w:firstRowFirstColumn="0" w:firstRowLastColumn="0" w:lastRowFirstColumn="0" w:lastRowLastColumn="0"/>
            </w:pPr>
            <w:r w:rsidRPr="00156C32">
              <w:t>Medium</w:t>
            </w:r>
          </w:p>
        </w:tc>
        <w:tc>
          <w:tcPr>
            <w:tcW w:w="2268" w:type="dxa"/>
          </w:tcPr>
          <w:p w14:paraId="0BD3EE66" w14:textId="2825B51D" w:rsidR="00AB4598" w:rsidRPr="00156C32" w:rsidRDefault="00E626A2" w:rsidP="00554234">
            <w:pPr>
              <w:cnfStyle w:val="000000000000" w:firstRow="0" w:lastRow="0" w:firstColumn="0" w:lastColumn="0" w:oddVBand="0" w:evenVBand="0" w:oddHBand="0" w:evenHBand="0" w:firstRowFirstColumn="0" w:firstRowLastColumn="0" w:lastRowFirstColumn="0" w:lastRowLastColumn="0"/>
            </w:pPr>
            <w:r w:rsidRPr="00156C32">
              <w:t>AI governance evidence</w:t>
            </w:r>
            <w:r w:rsidR="00343901" w:rsidRPr="00156C32">
              <w:t xml:space="preserve"> </w:t>
            </w:r>
            <w:r w:rsidR="00343901" w:rsidRPr="00156C32">
              <w:fldChar w:fldCharType="begin"/>
            </w:r>
            <w:r w:rsidR="004742D8">
              <w:instrText xml:space="preserve"> ADDIN ZOTERO_ITEM CSL_CITATION {"citationID":"8y7WZVM3","properties":{"unsorted":false,"formattedCitation":"[14], [15]","plainCitation":"[14], [15]","noteIndex":0},"citationItems":[{"id":90,"uris":["http://zotero.org/users/local/ZNi8sr8v/items/DGZUDNXB"],"itemData":{"id":90,"type":"paper-conference","DOI":"10.1145/3383455.3422564","event-title":"Proceedings of the 1st ACM International Conference on AI in Finance (ICAIF '20)","publisher":"ACM","title":"Towards Self-Regulating AI: Challenges and Opportunities of AI Model Governance in Financial Services","URL":"https://dl.acm.org/doi/10.1145/3383455.3422564","author":[{"family":"Kurshan","given":"Eren"},{"family":"Shen","given":"Hongda"},{"family":"Chen","given":"Jiahao"}],"issued":{"date-parts":[["2020"]]}}},{"id":92,"uris":["http://zotero.org/users/local/ZNi8sr8v/items/LSELPJ9D"],"itemData":{"id":92,"type":"article-journal","container-title":"Information","DOI":"10.3390/info15080432","issue":"8","journalAbbreviation":"Information","page":"432","title":"AI in the Financial Sector: The Line between Innovation, Regulation and Ethical Responsibility","volume":"15","author":[{"family":"Ridzuan","given":"Nurhadhinah Nadiah"},{"family":"Masri","given":"Masairol"},{"family":"Anshari","given":"Muhammad"},{"family":"Fitriyani","given":"Norma Latif"},{"family":"Syafrudin","given":"Muhammad"}],"issued":{"date-parts":[["2024"]]}}}],"schema":"https://github.com/citation-style-language/schema/raw/master/csl-citation.json"} </w:instrText>
            </w:r>
            <w:r w:rsidR="00343901" w:rsidRPr="00156C32">
              <w:fldChar w:fldCharType="separate"/>
            </w:r>
            <w:r w:rsidR="004742D8" w:rsidRPr="004742D8">
              <w:rPr>
                <w:rFonts w:ascii="Aptos" w:hAnsi="Aptos"/>
              </w:rPr>
              <w:t>[14], [15]</w:t>
            </w:r>
            <w:r w:rsidR="00343901" w:rsidRPr="00156C32">
              <w:fldChar w:fldCharType="end"/>
            </w:r>
          </w:p>
        </w:tc>
      </w:tr>
      <w:tr w:rsidR="00706C7A" w:rsidRPr="00156C32" w14:paraId="51822F3F" w14:textId="77777777" w:rsidTr="009E3CA8">
        <w:tc>
          <w:tcPr>
            <w:cnfStyle w:val="001000000000" w:firstRow="0" w:lastRow="0" w:firstColumn="1" w:lastColumn="0" w:oddVBand="0" w:evenVBand="0" w:oddHBand="0" w:evenHBand="0" w:firstRowFirstColumn="0" w:firstRowLastColumn="0" w:lastRowFirstColumn="0" w:lastRowLastColumn="0"/>
            <w:tcW w:w="1134" w:type="dxa"/>
          </w:tcPr>
          <w:p w14:paraId="3F984C7F" w14:textId="77777777" w:rsidR="00706C7A" w:rsidRPr="00706C7A" w:rsidRDefault="00706C7A" w:rsidP="00706C7A">
            <w:r w:rsidRPr="00706C7A">
              <w:t>R5</w:t>
            </w:r>
          </w:p>
          <w:p w14:paraId="1B406920" w14:textId="77777777" w:rsidR="00706C7A" w:rsidRPr="00156C32" w:rsidRDefault="00706C7A" w:rsidP="00486748"/>
        </w:tc>
        <w:tc>
          <w:tcPr>
            <w:tcW w:w="3119" w:type="dxa"/>
          </w:tcPr>
          <w:p w14:paraId="6AB0A0A5" w14:textId="77777777" w:rsidR="00706C7A" w:rsidRPr="00706C7A" w:rsidRDefault="00706C7A" w:rsidP="00706C7A">
            <w:pPr>
              <w:cnfStyle w:val="000000000000" w:firstRow="0" w:lastRow="0" w:firstColumn="0" w:lastColumn="0" w:oddVBand="0" w:evenVBand="0" w:oddHBand="0" w:evenHBand="0" w:firstRowFirstColumn="0" w:firstRowLastColumn="0" w:lastRowFirstColumn="0" w:lastRowLastColumn="0"/>
            </w:pPr>
            <w:r w:rsidRPr="00706C7A">
              <w:t>Failure to evidence GDPR/DORA readiness before EU expansion</w:t>
            </w:r>
          </w:p>
          <w:p w14:paraId="110DA1B5" w14:textId="77777777" w:rsidR="00706C7A" w:rsidRPr="00156C32" w:rsidRDefault="00706C7A" w:rsidP="00275FAC">
            <w:pPr>
              <w:cnfStyle w:val="000000000000" w:firstRow="0" w:lastRow="0" w:firstColumn="0" w:lastColumn="0" w:oddVBand="0" w:evenVBand="0" w:oddHBand="0" w:evenHBand="0" w:firstRowFirstColumn="0" w:firstRowLastColumn="0" w:lastRowFirstColumn="0" w:lastRowLastColumn="0"/>
            </w:pPr>
          </w:p>
        </w:tc>
        <w:tc>
          <w:tcPr>
            <w:tcW w:w="1559" w:type="dxa"/>
          </w:tcPr>
          <w:p w14:paraId="53014F41" w14:textId="5AA696C9" w:rsidR="00706C7A" w:rsidRPr="00156C32" w:rsidRDefault="00706C7A" w:rsidP="00486748">
            <w:pPr>
              <w:cnfStyle w:val="000000000000" w:firstRow="0" w:lastRow="0" w:firstColumn="0" w:lastColumn="0" w:oddVBand="0" w:evenVBand="0" w:oddHBand="0" w:evenHBand="0" w:firstRowFirstColumn="0" w:firstRowLastColumn="0" w:lastRowFirstColumn="0" w:lastRowLastColumn="0"/>
            </w:pPr>
            <w:r>
              <w:t>Medium</w:t>
            </w:r>
          </w:p>
        </w:tc>
        <w:tc>
          <w:tcPr>
            <w:tcW w:w="1134" w:type="dxa"/>
          </w:tcPr>
          <w:p w14:paraId="744A5AC9" w14:textId="01D6FBD2" w:rsidR="00706C7A" w:rsidRPr="00156C32" w:rsidRDefault="00706C7A" w:rsidP="00486748">
            <w:pPr>
              <w:cnfStyle w:val="000000000000" w:firstRow="0" w:lastRow="0" w:firstColumn="0" w:lastColumn="0" w:oddVBand="0" w:evenVBand="0" w:oddHBand="0" w:evenHBand="0" w:firstRowFirstColumn="0" w:firstRowLastColumn="0" w:lastRowFirstColumn="0" w:lastRowLastColumn="0"/>
            </w:pPr>
            <w:r>
              <w:t>High</w:t>
            </w:r>
          </w:p>
        </w:tc>
        <w:tc>
          <w:tcPr>
            <w:tcW w:w="3686" w:type="dxa"/>
          </w:tcPr>
          <w:p w14:paraId="50FD79EE" w14:textId="77777777" w:rsidR="00706C7A" w:rsidRPr="00706C7A" w:rsidRDefault="00706C7A" w:rsidP="00706C7A">
            <w:pPr>
              <w:cnfStyle w:val="000000000000" w:firstRow="0" w:lastRow="0" w:firstColumn="0" w:lastColumn="0" w:oddVBand="0" w:evenVBand="0" w:oddHBand="0" w:evenHBand="0" w:firstRowFirstColumn="0" w:firstRowLastColumn="0" w:lastRowFirstColumn="0" w:lastRowLastColumn="0"/>
            </w:pPr>
            <w:r w:rsidRPr="00706C7A">
              <w:t xml:space="preserve">Delayed EU launch, investor concern, regulatory </w:t>
            </w:r>
            <w:proofErr w:type="gramStart"/>
            <w:r w:rsidRPr="00706C7A">
              <w:t>scrutiny</w:t>
            </w:r>
            <w:proofErr w:type="gramEnd"/>
            <w:r w:rsidRPr="00706C7A">
              <w:t xml:space="preserve"> and weaker customer trust</w:t>
            </w:r>
          </w:p>
          <w:p w14:paraId="6389B99E" w14:textId="77777777" w:rsidR="00706C7A" w:rsidRPr="00156C32" w:rsidRDefault="00706C7A" w:rsidP="00275FAC">
            <w:pPr>
              <w:cnfStyle w:val="000000000000" w:firstRow="0" w:lastRow="0" w:firstColumn="0" w:lastColumn="0" w:oddVBand="0" w:evenVBand="0" w:oddHBand="0" w:evenHBand="0" w:firstRowFirstColumn="0" w:firstRowLastColumn="0" w:lastRowFirstColumn="0" w:lastRowLastColumn="0"/>
            </w:pPr>
          </w:p>
        </w:tc>
        <w:tc>
          <w:tcPr>
            <w:tcW w:w="3685" w:type="dxa"/>
          </w:tcPr>
          <w:p w14:paraId="2DF6B6A0" w14:textId="77777777" w:rsidR="008F3AEB" w:rsidRPr="008F3AEB" w:rsidRDefault="008F3AEB" w:rsidP="008F3AEB">
            <w:pPr>
              <w:cnfStyle w:val="000000000000" w:firstRow="0" w:lastRow="0" w:firstColumn="0" w:lastColumn="0" w:oddVBand="0" w:evenVBand="0" w:oddHBand="0" w:evenHBand="0" w:firstRowFirstColumn="0" w:firstRowLastColumn="0" w:lastRowFirstColumn="0" w:lastRowLastColumn="0"/>
            </w:pPr>
            <w:r w:rsidRPr="008F3AEB">
              <w:t xml:space="preserve">Compliance roadmap, evidence repository, DPIAs, </w:t>
            </w:r>
            <w:proofErr w:type="spellStart"/>
            <w:r w:rsidRPr="008F3AEB">
              <w:t>RoPA</w:t>
            </w:r>
            <w:proofErr w:type="spellEnd"/>
            <w:r w:rsidRPr="008F3AEB">
              <w:t xml:space="preserve">, supplier register, board </w:t>
            </w:r>
            <w:proofErr w:type="gramStart"/>
            <w:r w:rsidRPr="008F3AEB">
              <w:t>reporting</w:t>
            </w:r>
            <w:proofErr w:type="gramEnd"/>
            <w:r w:rsidRPr="008F3AEB">
              <w:t xml:space="preserve"> and internal audit review</w:t>
            </w:r>
          </w:p>
          <w:p w14:paraId="35A2D21E" w14:textId="77777777" w:rsidR="00706C7A" w:rsidRPr="00156C32" w:rsidRDefault="00706C7A" w:rsidP="00275FAC">
            <w:pPr>
              <w:cnfStyle w:val="000000000000" w:firstRow="0" w:lastRow="0" w:firstColumn="0" w:lastColumn="0" w:oddVBand="0" w:evenVBand="0" w:oddHBand="0" w:evenHBand="0" w:firstRowFirstColumn="0" w:firstRowLastColumn="0" w:lastRowFirstColumn="0" w:lastRowLastColumn="0"/>
            </w:pPr>
          </w:p>
        </w:tc>
        <w:tc>
          <w:tcPr>
            <w:tcW w:w="1658" w:type="dxa"/>
          </w:tcPr>
          <w:p w14:paraId="672328BC" w14:textId="77777777" w:rsidR="008F3AEB" w:rsidRPr="008F3AEB" w:rsidRDefault="008F3AEB" w:rsidP="008F3AEB">
            <w:pPr>
              <w:cnfStyle w:val="000000000000" w:firstRow="0" w:lastRow="0" w:firstColumn="0" w:lastColumn="0" w:oddVBand="0" w:evenVBand="0" w:oddHBand="0" w:evenHBand="0" w:firstRowFirstColumn="0" w:firstRowLastColumn="0" w:lastRowFirstColumn="0" w:lastRowLastColumn="0"/>
            </w:pPr>
            <w:r w:rsidRPr="008F3AEB">
              <w:t>GRC Lead / DPO / CISO</w:t>
            </w:r>
          </w:p>
          <w:p w14:paraId="42639C12" w14:textId="77777777" w:rsidR="00706C7A" w:rsidRPr="00156C32" w:rsidRDefault="00706C7A" w:rsidP="00275FAC">
            <w:pPr>
              <w:cnfStyle w:val="000000000000" w:firstRow="0" w:lastRow="0" w:firstColumn="0" w:lastColumn="0" w:oddVBand="0" w:evenVBand="0" w:oddHBand="0" w:evenHBand="0" w:firstRowFirstColumn="0" w:firstRowLastColumn="0" w:lastRowFirstColumn="0" w:lastRowLastColumn="0"/>
            </w:pPr>
          </w:p>
        </w:tc>
        <w:tc>
          <w:tcPr>
            <w:tcW w:w="1177" w:type="dxa"/>
          </w:tcPr>
          <w:p w14:paraId="4E0E3CE2" w14:textId="77777777" w:rsidR="008F3AEB" w:rsidRPr="008F3AEB" w:rsidRDefault="008F3AEB" w:rsidP="008F3AEB">
            <w:pPr>
              <w:cnfStyle w:val="000000000000" w:firstRow="0" w:lastRow="0" w:firstColumn="0" w:lastColumn="0" w:oddVBand="0" w:evenVBand="0" w:oddHBand="0" w:evenHBand="0" w:firstRowFirstColumn="0" w:firstRowLastColumn="0" w:lastRowFirstColumn="0" w:lastRowLastColumn="0"/>
            </w:pPr>
            <w:r w:rsidRPr="008F3AEB">
              <w:t>Low-Medium</w:t>
            </w:r>
          </w:p>
          <w:p w14:paraId="026729D9" w14:textId="77777777" w:rsidR="00706C7A" w:rsidRPr="00156C32" w:rsidRDefault="00706C7A" w:rsidP="00486748">
            <w:pPr>
              <w:cnfStyle w:val="000000000000" w:firstRow="0" w:lastRow="0" w:firstColumn="0" w:lastColumn="0" w:oddVBand="0" w:evenVBand="0" w:oddHBand="0" w:evenHBand="0" w:firstRowFirstColumn="0" w:firstRowLastColumn="0" w:lastRowFirstColumn="0" w:lastRowLastColumn="0"/>
            </w:pPr>
          </w:p>
        </w:tc>
        <w:tc>
          <w:tcPr>
            <w:tcW w:w="2268" w:type="dxa"/>
          </w:tcPr>
          <w:p w14:paraId="65E2D348" w14:textId="77777777" w:rsidR="008F3AEB" w:rsidRPr="008F3AEB" w:rsidRDefault="008F3AEB" w:rsidP="008F3AEB">
            <w:pPr>
              <w:cnfStyle w:val="000000000000" w:firstRow="0" w:lastRow="0" w:firstColumn="0" w:lastColumn="0" w:oddVBand="0" w:evenVBand="0" w:oddHBand="0" w:evenHBand="0" w:firstRowFirstColumn="0" w:firstRowLastColumn="0" w:lastRowFirstColumn="0" w:lastRowLastColumn="0"/>
            </w:pPr>
            <w:r w:rsidRPr="008F3AEB">
              <w:t>GDPR/DORA governance evidence</w:t>
            </w:r>
          </w:p>
          <w:p w14:paraId="4ABD0C00" w14:textId="77777777" w:rsidR="00706C7A" w:rsidRPr="00156C32" w:rsidRDefault="00706C7A" w:rsidP="00554234">
            <w:pPr>
              <w:cnfStyle w:val="000000000000" w:firstRow="0" w:lastRow="0" w:firstColumn="0" w:lastColumn="0" w:oddVBand="0" w:evenVBand="0" w:oddHBand="0" w:evenHBand="0" w:firstRowFirstColumn="0" w:firstRowLastColumn="0" w:lastRowFirstColumn="0" w:lastRowLastColumn="0"/>
            </w:pPr>
          </w:p>
        </w:tc>
      </w:tr>
    </w:tbl>
    <w:p w14:paraId="05D4377D" w14:textId="77777777" w:rsidR="006363C8" w:rsidRDefault="006363C8" w:rsidP="006363C8">
      <w:r w:rsidRPr="007D26A0">
        <w:t xml:space="preserve">The ratings are prioritised by business impact rather than technical severity alone. Ransomware and cloud misconfiguration </w:t>
      </w:r>
      <w:proofErr w:type="gramStart"/>
      <w:r w:rsidRPr="007D26A0">
        <w:t>are rated</w:t>
      </w:r>
      <w:proofErr w:type="gramEnd"/>
      <w:r w:rsidRPr="007D26A0">
        <w:t xml:space="preserve"> High/High because they could affect service availability, regulated data, customer </w:t>
      </w:r>
      <w:proofErr w:type="gramStart"/>
      <w:r w:rsidRPr="007D26A0">
        <w:t>trust</w:t>
      </w:r>
      <w:proofErr w:type="gramEnd"/>
      <w:r w:rsidRPr="007D26A0">
        <w:t xml:space="preserve"> and investor confidence. Third-party ICT risk is Medium/High because likelihood depends on supplier maturity, but impact could be severe where SaaS, APIs or cloud providers support critical services. AI manipulation is Medium/High because it may be less frequent than ransomware but could undermine the integrity, explainability and trustworthiness of financial analytics.</w:t>
      </w:r>
    </w:p>
    <w:p w14:paraId="14D65377" w14:textId="77777777" w:rsidR="008A7DBE" w:rsidRPr="00156C32" w:rsidRDefault="008A7DBE" w:rsidP="002674A4">
      <w:pPr>
        <w:sectPr w:rsidR="008A7DBE" w:rsidRPr="00156C32" w:rsidSect="009E3CA8">
          <w:pgSz w:w="19845" w:h="19278" w:code="9"/>
          <w:pgMar w:top="1440" w:right="3805" w:bottom="4009" w:left="3805" w:header="709" w:footer="709" w:gutter="0"/>
          <w:cols w:space="708"/>
          <w:docGrid w:linePitch="360"/>
        </w:sectPr>
      </w:pPr>
    </w:p>
    <w:p w14:paraId="12B9663B" w14:textId="3D2F1A26" w:rsidR="009C09A1" w:rsidRPr="00156C32" w:rsidRDefault="008B16FA" w:rsidP="008B16FA">
      <w:pPr>
        <w:pStyle w:val="Heading2"/>
        <w:rPr>
          <w:rFonts w:asciiTheme="minorHAnsi" w:hAnsiTheme="minorHAnsi"/>
        </w:rPr>
      </w:pPr>
      <w:bookmarkStart w:id="21" w:name="_Toc234924634"/>
      <w:r w:rsidRPr="00156C32">
        <w:rPr>
          <w:rFonts w:asciiTheme="minorHAnsi" w:hAnsiTheme="minorHAnsi"/>
        </w:rPr>
        <w:lastRenderedPageBreak/>
        <w:t>7. Work-Stream 6: Incident Response and Business Continuity</w:t>
      </w:r>
      <w:bookmarkEnd w:id="21"/>
    </w:p>
    <w:p w14:paraId="725EC36F" w14:textId="39B5D67B" w:rsidR="00953424" w:rsidRPr="00156C32" w:rsidRDefault="00953424" w:rsidP="00953424">
      <w:r w:rsidRPr="00156C32">
        <w:t xml:space="preserve">Aegis will adopt a ransomware playbook covering preparation, detection, containment, eradication, recovery, communications, notification, business </w:t>
      </w:r>
      <w:proofErr w:type="gramStart"/>
      <w:r w:rsidRPr="00156C32">
        <w:t>continuity</w:t>
      </w:r>
      <w:proofErr w:type="gramEnd"/>
      <w:r w:rsidRPr="00156C32">
        <w:t xml:space="preserve"> and lessons learned.</w:t>
      </w:r>
    </w:p>
    <w:p w14:paraId="04D2817C" w14:textId="150597E1" w:rsidR="003C48C8" w:rsidRPr="00156C32" w:rsidRDefault="003C48C8" w:rsidP="00C2052C">
      <w:r w:rsidRPr="00156C32">
        <w:t xml:space="preserve">Preparation will include asset inventories, </w:t>
      </w:r>
      <w:r w:rsidR="009F457B">
        <w:t>offline or logically isolated immutable backups</w:t>
      </w:r>
      <w:r w:rsidRPr="00156C32">
        <w:t xml:space="preserve">, EDR/XDR deployment, SIEM logging, </w:t>
      </w:r>
      <w:r w:rsidR="008D6A9E" w:rsidRPr="00156C32">
        <w:t>privileged</w:t>
      </w:r>
      <w:r w:rsidR="00C4612D" w:rsidRPr="00156C32">
        <w:t xml:space="preserve"> account controls, tabletop </w:t>
      </w:r>
      <w:proofErr w:type="gramStart"/>
      <w:r w:rsidR="00C4612D" w:rsidRPr="00156C32">
        <w:t>exercises</w:t>
      </w:r>
      <w:proofErr w:type="gramEnd"/>
      <w:r w:rsidR="00C4612D" w:rsidRPr="00156C32">
        <w:t xml:space="preserve"> and supplier contact lists. Detection and triage will identify </w:t>
      </w:r>
      <w:r w:rsidR="008D6A9E" w:rsidRPr="00156C32">
        <w:t>ransomware</w:t>
      </w:r>
      <w:r w:rsidR="00C4612D" w:rsidRPr="00156C32">
        <w:t xml:space="preserve"> indicators</w:t>
      </w:r>
      <w:r w:rsidR="00CE69F5" w:rsidRPr="00156C32">
        <w:t xml:space="preserve"> such as mass file changes, suspicious encryption activity, privilege escalation, command-and-control traffic</w:t>
      </w:r>
      <w:r w:rsidR="008D6A9E" w:rsidRPr="00156C32">
        <w:t xml:space="preserve">, hash </w:t>
      </w:r>
      <w:proofErr w:type="gramStart"/>
      <w:r w:rsidR="008D6A9E" w:rsidRPr="00156C32">
        <w:t>scanning</w:t>
      </w:r>
      <w:proofErr w:type="gramEnd"/>
      <w:r w:rsidR="008D6A9E" w:rsidRPr="00156C32">
        <w:t xml:space="preserve"> and unusual authentication. </w:t>
      </w:r>
      <w:r w:rsidR="00305051" w:rsidRPr="00156C32">
        <w:t xml:space="preserve">Containment will isolate affected endpoints, disable compromised accounts, block malicious </w:t>
      </w:r>
      <w:proofErr w:type="gramStart"/>
      <w:r w:rsidR="00305051" w:rsidRPr="00156C32">
        <w:t>indicators</w:t>
      </w:r>
      <w:proofErr w:type="gramEnd"/>
      <w:r w:rsidR="00305051" w:rsidRPr="00156C32">
        <w:t xml:space="preserve"> and restrict lateral movement.</w:t>
      </w:r>
      <w:r w:rsidR="008D6A9E" w:rsidRPr="00156C32">
        <w:t xml:space="preserve"> Eradication will remove malware, close exploited </w:t>
      </w:r>
      <w:proofErr w:type="gramStart"/>
      <w:r w:rsidR="008D6A9E" w:rsidRPr="00156C32">
        <w:t>vulnerabilities</w:t>
      </w:r>
      <w:proofErr w:type="gramEnd"/>
      <w:r w:rsidR="008D6A9E" w:rsidRPr="00156C32">
        <w:t xml:space="preserve"> and validate clean systems.</w:t>
      </w:r>
    </w:p>
    <w:p w14:paraId="51CB1FF3" w14:textId="77777777" w:rsidR="00B371F1" w:rsidRPr="00B371F1" w:rsidRDefault="00B371F1" w:rsidP="00B371F1">
      <w:r w:rsidRPr="00B371F1">
        <w:t xml:space="preserve">Recovery will prioritise critical services, restore from immutable backups, verify data </w:t>
      </w:r>
      <w:proofErr w:type="gramStart"/>
      <w:r w:rsidRPr="00B371F1">
        <w:t>integrity</w:t>
      </w:r>
      <w:proofErr w:type="gramEnd"/>
      <w:r w:rsidRPr="00B371F1">
        <w:t xml:space="preserve"> and avoid compromised images. The playbook should define decision criteria for declaring a major incident, including loss of critical service availability, suspected data exfiltration, privileged account compromise, encryption of production systems or backup integrity concerns. Communications will be pre-approved for the board, staff, customers, regulators, </w:t>
      </w:r>
      <w:proofErr w:type="gramStart"/>
      <w:r w:rsidRPr="00B371F1">
        <w:t>insurers</w:t>
      </w:r>
      <w:proofErr w:type="gramEnd"/>
      <w:r w:rsidRPr="00B371F1">
        <w:t xml:space="preserve"> and suppliers. The DPO and Legal team will assess GDPR notification duties, while the GRC Lead assesses DORA ICT reporting. Lessons learned will update controls, </w:t>
      </w:r>
      <w:proofErr w:type="gramStart"/>
      <w:r w:rsidRPr="00B371F1">
        <w:t>playbooks</w:t>
      </w:r>
      <w:proofErr w:type="gramEnd"/>
      <w:r w:rsidRPr="00B371F1">
        <w:t xml:space="preserve"> and training. This counters ransomware tactics by reducing lateral movement, protecting </w:t>
      </w:r>
      <w:proofErr w:type="gramStart"/>
      <w:r w:rsidRPr="00B371F1">
        <w:t>backups</w:t>
      </w:r>
      <w:proofErr w:type="gramEnd"/>
      <w:r w:rsidRPr="00B371F1">
        <w:t xml:space="preserve"> and ensuring recovery does not depend on ransom payment.</w:t>
      </w:r>
    </w:p>
    <w:p w14:paraId="593FBCE4" w14:textId="77777777" w:rsidR="005E61F1" w:rsidRPr="00156C32" w:rsidRDefault="005E61F1" w:rsidP="00C2052C"/>
    <w:p w14:paraId="5A72E440" w14:textId="77777777" w:rsidR="005E61F1" w:rsidRPr="00156C32" w:rsidRDefault="005E61F1" w:rsidP="00C2052C"/>
    <w:p w14:paraId="39B452F5" w14:textId="77777777" w:rsidR="005E61F1" w:rsidRPr="00156C32" w:rsidRDefault="005E61F1" w:rsidP="00C2052C"/>
    <w:p w14:paraId="7639904A" w14:textId="77777777" w:rsidR="005E61F1" w:rsidRPr="00156C32" w:rsidRDefault="005E61F1" w:rsidP="00C2052C"/>
    <w:p w14:paraId="49ADFDE0" w14:textId="77777777" w:rsidR="005E61F1" w:rsidRPr="00156C32" w:rsidRDefault="005E61F1" w:rsidP="00C2052C"/>
    <w:p w14:paraId="701029F3" w14:textId="77777777" w:rsidR="005E61F1" w:rsidRPr="00156C32" w:rsidRDefault="005E61F1" w:rsidP="00C2052C"/>
    <w:p w14:paraId="535F57E2" w14:textId="77777777" w:rsidR="005E61F1" w:rsidRPr="00156C32" w:rsidRDefault="005E61F1" w:rsidP="00C2052C"/>
    <w:p w14:paraId="2AF6E9E8" w14:textId="77777777" w:rsidR="005E61F1" w:rsidRPr="00156C32" w:rsidRDefault="005E61F1" w:rsidP="00C2052C"/>
    <w:p w14:paraId="68D0B826" w14:textId="77777777" w:rsidR="005E61F1" w:rsidRPr="00156C32" w:rsidRDefault="005E61F1" w:rsidP="00C2052C"/>
    <w:p w14:paraId="5FF7032F" w14:textId="77777777" w:rsidR="005E61F1" w:rsidRPr="00156C32" w:rsidRDefault="005E61F1" w:rsidP="00C2052C"/>
    <w:p w14:paraId="5D803718" w14:textId="77777777" w:rsidR="005E61F1" w:rsidRPr="00156C32" w:rsidRDefault="005E61F1" w:rsidP="00C2052C"/>
    <w:p w14:paraId="53AB6550" w14:textId="5B59EC05" w:rsidR="009C09A1" w:rsidRPr="00156C32" w:rsidRDefault="008B16FA" w:rsidP="008B16FA">
      <w:pPr>
        <w:pStyle w:val="Heading2"/>
        <w:rPr>
          <w:rFonts w:asciiTheme="minorHAnsi" w:hAnsiTheme="minorHAnsi"/>
        </w:rPr>
      </w:pPr>
      <w:bookmarkStart w:id="22" w:name="_Toc234924635"/>
      <w:r w:rsidRPr="00156C32">
        <w:rPr>
          <w:rFonts w:asciiTheme="minorHAnsi" w:hAnsiTheme="minorHAnsi"/>
        </w:rPr>
        <w:lastRenderedPageBreak/>
        <w:t>8. Work-Stream 7: Governance and Strategic Roadmap</w:t>
      </w:r>
      <w:bookmarkEnd w:id="22"/>
    </w:p>
    <w:p w14:paraId="09362DD3" w14:textId="77777777" w:rsidR="00D31037" w:rsidRPr="00D31037" w:rsidRDefault="00D31037" w:rsidP="001D715F">
      <w:r w:rsidRPr="00D31037">
        <w:t xml:space="preserve">A Cyber Security Steering Committee will provide executive oversight and ensure that cyber risk </w:t>
      </w:r>
      <w:proofErr w:type="gramStart"/>
      <w:r w:rsidRPr="00D31037">
        <w:t>is treated</w:t>
      </w:r>
      <w:proofErr w:type="gramEnd"/>
      <w:r w:rsidRPr="00D31037">
        <w:t xml:space="preserve"> as a business risk rather than a technical issue. Members will include the CEO, CFO, CISO, CTO, Head of Legal, DPO, Head of Engineering, GRC/Compliance Lead and Operations/Risk representative. The committee will approve risk appetite, review incidents, prioritise investment, monitor GDPR/DORA readiness, assess third-party ICT </w:t>
      </w:r>
      <w:proofErr w:type="gramStart"/>
      <w:r w:rsidRPr="00D31037">
        <w:t>risk</w:t>
      </w:r>
      <w:proofErr w:type="gramEnd"/>
      <w:r w:rsidRPr="00D31037">
        <w:t xml:space="preserve"> and escalate material risks to the Board.</w:t>
      </w:r>
    </w:p>
    <w:p w14:paraId="2706CB92" w14:textId="12551D02" w:rsidR="000538D6" w:rsidRPr="00156C32" w:rsidRDefault="000538D6" w:rsidP="001D715F">
      <w:r w:rsidRPr="00156C32">
        <w:t xml:space="preserve">Decision rights will include the approval of security policies, acceptance of high risks, funding </w:t>
      </w:r>
      <w:proofErr w:type="gramStart"/>
      <w:r w:rsidRPr="00156C32">
        <w:t>prioritie</w:t>
      </w:r>
      <w:r w:rsidR="00000060" w:rsidRPr="00156C32">
        <w:t>s</w:t>
      </w:r>
      <w:proofErr w:type="gramEnd"/>
      <w:r w:rsidR="00000060" w:rsidRPr="00156C32">
        <w:t xml:space="preserve"> and EU expansion readiness. Reporting lines will run from operational teams to the CISO, from the CISO to the Steering Committee</w:t>
      </w:r>
      <w:r w:rsidR="002D58B7" w:rsidRPr="00156C32">
        <w:t xml:space="preserve">, and from the Steering Committee to the Board. </w:t>
      </w:r>
      <w:r w:rsidR="00AE07D9" w:rsidRPr="00156C32">
        <w:t>This reflects the Task 1 finding that Zero Trust and compliance require governance, evidence and accountability, not technical controls alone.</w:t>
      </w:r>
    </w:p>
    <w:p w14:paraId="5F88B4A1" w14:textId="77777777" w:rsidR="00121D10" w:rsidRPr="00156C32" w:rsidRDefault="00121D10" w:rsidP="00121D10"/>
    <w:tbl>
      <w:tblPr>
        <w:tblStyle w:val="GridTable1Light"/>
        <w:tblW w:w="9634" w:type="dxa"/>
        <w:tblLook w:val="04A0" w:firstRow="1" w:lastRow="0" w:firstColumn="1" w:lastColumn="0" w:noHBand="0" w:noVBand="1"/>
      </w:tblPr>
      <w:tblGrid>
        <w:gridCol w:w="1059"/>
        <w:gridCol w:w="2094"/>
        <w:gridCol w:w="1791"/>
        <w:gridCol w:w="1716"/>
        <w:gridCol w:w="2974"/>
      </w:tblGrid>
      <w:tr w:rsidR="00121D10" w:rsidRPr="00156C32" w14:paraId="6F31DDF8" w14:textId="77777777" w:rsidTr="009A6B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9" w:type="dxa"/>
            <w:shd w:val="clear" w:color="auto" w:fill="0070C0"/>
            <w:hideMark/>
          </w:tcPr>
          <w:p w14:paraId="1A866FCA" w14:textId="77777777" w:rsidR="00121D10" w:rsidRPr="00156C32" w:rsidRDefault="00121D10" w:rsidP="006F3C8A">
            <w:pPr>
              <w:rPr>
                <w:b w:val="0"/>
                <w:bCs w:val="0"/>
              </w:rPr>
            </w:pPr>
            <w:r w:rsidRPr="00156C32">
              <w:t>Quarter</w:t>
            </w:r>
          </w:p>
        </w:tc>
        <w:tc>
          <w:tcPr>
            <w:tcW w:w="2094" w:type="dxa"/>
            <w:shd w:val="clear" w:color="auto" w:fill="0070C0"/>
            <w:hideMark/>
          </w:tcPr>
          <w:p w14:paraId="327B500E" w14:textId="77777777" w:rsidR="00121D10" w:rsidRPr="00156C32" w:rsidRDefault="00121D10" w:rsidP="006F3C8A">
            <w:pPr>
              <w:cnfStyle w:val="100000000000" w:firstRow="1" w:lastRow="0" w:firstColumn="0" w:lastColumn="0" w:oddVBand="0" w:evenVBand="0" w:oddHBand="0" w:evenHBand="0" w:firstRowFirstColumn="0" w:firstRowLastColumn="0" w:lastRowFirstColumn="0" w:lastRowLastColumn="0"/>
              <w:rPr>
                <w:b w:val="0"/>
                <w:bCs w:val="0"/>
              </w:rPr>
            </w:pPr>
            <w:r w:rsidRPr="00156C32">
              <w:t>Priority initiatives</w:t>
            </w:r>
          </w:p>
        </w:tc>
        <w:tc>
          <w:tcPr>
            <w:tcW w:w="0" w:type="auto"/>
            <w:shd w:val="clear" w:color="auto" w:fill="0070C0"/>
            <w:hideMark/>
          </w:tcPr>
          <w:p w14:paraId="3FBB015A" w14:textId="77777777" w:rsidR="00121D10" w:rsidRPr="00156C32" w:rsidRDefault="00121D10" w:rsidP="006F3C8A">
            <w:pPr>
              <w:cnfStyle w:val="100000000000" w:firstRow="1" w:lastRow="0" w:firstColumn="0" w:lastColumn="0" w:oddVBand="0" w:evenVBand="0" w:oddHBand="0" w:evenHBand="0" w:firstRowFirstColumn="0" w:firstRowLastColumn="0" w:lastRowFirstColumn="0" w:lastRowLastColumn="0"/>
              <w:rPr>
                <w:b w:val="0"/>
                <w:bCs w:val="0"/>
              </w:rPr>
            </w:pPr>
            <w:r w:rsidRPr="00156C32">
              <w:t>Key deliverables</w:t>
            </w:r>
          </w:p>
        </w:tc>
        <w:tc>
          <w:tcPr>
            <w:tcW w:w="1716" w:type="dxa"/>
            <w:shd w:val="clear" w:color="auto" w:fill="0070C0"/>
            <w:hideMark/>
          </w:tcPr>
          <w:p w14:paraId="042FB27D" w14:textId="77777777" w:rsidR="00121D10" w:rsidRPr="00156C32" w:rsidRDefault="00121D10" w:rsidP="006F3C8A">
            <w:pPr>
              <w:cnfStyle w:val="100000000000" w:firstRow="1" w:lastRow="0" w:firstColumn="0" w:lastColumn="0" w:oddVBand="0" w:evenVBand="0" w:oddHBand="0" w:evenHBand="0" w:firstRowFirstColumn="0" w:firstRowLastColumn="0" w:lastRowFirstColumn="0" w:lastRowLastColumn="0"/>
              <w:rPr>
                <w:b w:val="0"/>
                <w:bCs w:val="0"/>
              </w:rPr>
            </w:pPr>
            <w:r w:rsidRPr="00156C32">
              <w:t>Owner</w:t>
            </w:r>
          </w:p>
        </w:tc>
        <w:tc>
          <w:tcPr>
            <w:tcW w:w="2974" w:type="dxa"/>
            <w:shd w:val="clear" w:color="auto" w:fill="0070C0"/>
            <w:hideMark/>
          </w:tcPr>
          <w:p w14:paraId="34DF2241" w14:textId="77777777" w:rsidR="00121D10" w:rsidRPr="00156C32" w:rsidRDefault="00121D10" w:rsidP="006F3C8A">
            <w:pPr>
              <w:cnfStyle w:val="100000000000" w:firstRow="1" w:lastRow="0" w:firstColumn="0" w:lastColumn="0" w:oddVBand="0" w:evenVBand="0" w:oddHBand="0" w:evenHBand="0" w:firstRowFirstColumn="0" w:firstRowLastColumn="0" w:lastRowFirstColumn="0" w:lastRowLastColumn="0"/>
              <w:rPr>
                <w:b w:val="0"/>
                <w:bCs w:val="0"/>
              </w:rPr>
            </w:pPr>
            <w:r w:rsidRPr="00156C32">
              <w:t>KPIs</w:t>
            </w:r>
          </w:p>
        </w:tc>
      </w:tr>
      <w:tr w:rsidR="00121D10" w:rsidRPr="00156C32" w14:paraId="65E136EF" w14:textId="77777777" w:rsidTr="009A6BBA">
        <w:tc>
          <w:tcPr>
            <w:cnfStyle w:val="001000000000" w:firstRow="0" w:lastRow="0" w:firstColumn="1" w:lastColumn="0" w:oddVBand="0" w:evenVBand="0" w:oddHBand="0" w:evenHBand="0" w:firstRowFirstColumn="0" w:firstRowLastColumn="0" w:lastRowFirstColumn="0" w:lastRowLastColumn="0"/>
            <w:tcW w:w="1059" w:type="dxa"/>
            <w:hideMark/>
          </w:tcPr>
          <w:p w14:paraId="671D626F" w14:textId="77777777" w:rsidR="00121D10" w:rsidRPr="00156C32" w:rsidRDefault="00121D10" w:rsidP="006F3C8A">
            <w:r w:rsidRPr="00156C32">
              <w:t>Q1</w:t>
            </w:r>
          </w:p>
        </w:tc>
        <w:tc>
          <w:tcPr>
            <w:tcW w:w="2094" w:type="dxa"/>
            <w:hideMark/>
          </w:tcPr>
          <w:p w14:paraId="6D563987"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Immediate risk reduction and baseline assessment</w:t>
            </w:r>
          </w:p>
        </w:tc>
        <w:tc>
          <w:tcPr>
            <w:tcW w:w="0" w:type="auto"/>
            <w:hideMark/>
          </w:tcPr>
          <w:p w14:paraId="1FE9DDE4"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Asset inventory, identity review, critical supplier register, backup review</w:t>
            </w:r>
          </w:p>
        </w:tc>
        <w:tc>
          <w:tcPr>
            <w:tcW w:w="1716" w:type="dxa"/>
            <w:hideMark/>
          </w:tcPr>
          <w:p w14:paraId="69F23264"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CISO/GRC Lead</w:t>
            </w:r>
          </w:p>
        </w:tc>
        <w:tc>
          <w:tcPr>
            <w:tcW w:w="2974" w:type="dxa"/>
            <w:hideMark/>
          </w:tcPr>
          <w:p w14:paraId="42D3807A" w14:textId="77777777" w:rsidR="009A6BBA" w:rsidRPr="009A6BBA" w:rsidRDefault="009A6BBA" w:rsidP="009A6BBA">
            <w:pPr>
              <w:cnfStyle w:val="000000000000" w:firstRow="0" w:lastRow="0" w:firstColumn="0" w:lastColumn="0" w:oddVBand="0" w:evenVBand="0" w:oddHBand="0" w:evenHBand="0" w:firstRowFirstColumn="0" w:firstRowLastColumn="0" w:lastRowFirstColumn="0" w:lastRowLastColumn="0"/>
            </w:pPr>
            <w:r w:rsidRPr="009A6BBA">
              <w:t xml:space="preserve">100% critical assets identified; 95% privileged accounts reviewed; critical supplier register </w:t>
            </w:r>
            <w:proofErr w:type="gramStart"/>
            <w:r w:rsidRPr="009A6BBA">
              <w:t>completed</w:t>
            </w:r>
            <w:proofErr w:type="gramEnd"/>
          </w:p>
          <w:p w14:paraId="0B8419DF" w14:textId="18424EBE"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p>
        </w:tc>
      </w:tr>
      <w:tr w:rsidR="00121D10" w:rsidRPr="00156C32" w14:paraId="12522690" w14:textId="77777777" w:rsidTr="009A6BBA">
        <w:tc>
          <w:tcPr>
            <w:cnfStyle w:val="001000000000" w:firstRow="0" w:lastRow="0" w:firstColumn="1" w:lastColumn="0" w:oddVBand="0" w:evenVBand="0" w:oddHBand="0" w:evenHBand="0" w:firstRowFirstColumn="0" w:firstRowLastColumn="0" w:lastRowFirstColumn="0" w:lastRowLastColumn="0"/>
            <w:tcW w:w="1059" w:type="dxa"/>
            <w:hideMark/>
          </w:tcPr>
          <w:p w14:paraId="0C054E23" w14:textId="77777777" w:rsidR="00121D10" w:rsidRPr="00156C32" w:rsidRDefault="00121D10" w:rsidP="006F3C8A">
            <w:r w:rsidRPr="00156C32">
              <w:t>Q2</w:t>
            </w:r>
          </w:p>
        </w:tc>
        <w:tc>
          <w:tcPr>
            <w:tcW w:w="2094" w:type="dxa"/>
            <w:hideMark/>
          </w:tcPr>
          <w:p w14:paraId="429349FD"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 xml:space="preserve">Governance, </w:t>
            </w:r>
            <w:proofErr w:type="gramStart"/>
            <w:r w:rsidRPr="00156C32">
              <w:t>policies</w:t>
            </w:r>
            <w:proofErr w:type="gramEnd"/>
            <w:r w:rsidRPr="00156C32">
              <w:t xml:space="preserve"> and core tooling</w:t>
            </w:r>
          </w:p>
        </w:tc>
        <w:tc>
          <w:tcPr>
            <w:tcW w:w="0" w:type="auto"/>
            <w:hideMark/>
          </w:tcPr>
          <w:p w14:paraId="278A4E5F"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Policies, SIEM onboarding, CSPM, DLP pilot, GDPR/DORA roadmap</w:t>
            </w:r>
          </w:p>
        </w:tc>
        <w:tc>
          <w:tcPr>
            <w:tcW w:w="1716" w:type="dxa"/>
            <w:hideMark/>
          </w:tcPr>
          <w:p w14:paraId="7FED55B8"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CISO/Cloud Architect/DPO</w:t>
            </w:r>
          </w:p>
        </w:tc>
        <w:tc>
          <w:tcPr>
            <w:tcW w:w="2974" w:type="dxa"/>
            <w:hideMark/>
          </w:tcPr>
          <w:p w14:paraId="201E79F3" w14:textId="77777777" w:rsidR="009A6BBA" w:rsidRPr="009A6BBA" w:rsidRDefault="009A6BBA" w:rsidP="009A6BBA">
            <w:pPr>
              <w:cnfStyle w:val="000000000000" w:firstRow="0" w:lastRow="0" w:firstColumn="0" w:lastColumn="0" w:oddVBand="0" w:evenVBand="0" w:oddHBand="0" w:evenHBand="0" w:firstRowFirstColumn="0" w:firstRowLastColumn="0" w:lastRowFirstColumn="0" w:lastRowLastColumn="0"/>
            </w:pPr>
            <w:proofErr w:type="gramStart"/>
            <w:r w:rsidRPr="009A6BBA">
              <w:t>80%</w:t>
            </w:r>
            <w:proofErr w:type="gramEnd"/>
            <w:r w:rsidRPr="009A6BBA">
              <w:t xml:space="preserve"> critical log sources onboarded to SIEM; CSPM enabled for production cloud; 100% policy </w:t>
            </w:r>
            <w:proofErr w:type="gramStart"/>
            <w:r w:rsidRPr="009A6BBA">
              <w:t>attestation</w:t>
            </w:r>
            <w:proofErr w:type="gramEnd"/>
          </w:p>
          <w:p w14:paraId="4EFE716C" w14:textId="09A1D2BE"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p>
        </w:tc>
      </w:tr>
      <w:tr w:rsidR="00121D10" w:rsidRPr="00156C32" w14:paraId="7B0D7C2C" w14:textId="77777777" w:rsidTr="009A6BBA">
        <w:tc>
          <w:tcPr>
            <w:cnfStyle w:val="001000000000" w:firstRow="0" w:lastRow="0" w:firstColumn="1" w:lastColumn="0" w:oddVBand="0" w:evenVBand="0" w:oddHBand="0" w:evenHBand="0" w:firstRowFirstColumn="0" w:firstRowLastColumn="0" w:lastRowFirstColumn="0" w:lastRowLastColumn="0"/>
            <w:tcW w:w="1059" w:type="dxa"/>
            <w:hideMark/>
          </w:tcPr>
          <w:p w14:paraId="749E0C1F" w14:textId="77777777" w:rsidR="00121D10" w:rsidRPr="00156C32" w:rsidRDefault="00121D10" w:rsidP="006F3C8A">
            <w:r w:rsidRPr="00156C32">
              <w:t>Q3</w:t>
            </w:r>
          </w:p>
        </w:tc>
        <w:tc>
          <w:tcPr>
            <w:tcW w:w="2094" w:type="dxa"/>
            <w:hideMark/>
          </w:tcPr>
          <w:p w14:paraId="6E43E8BC"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Zero Trust maturity and resilience testing</w:t>
            </w:r>
          </w:p>
        </w:tc>
        <w:tc>
          <w:tcPr>
            <w:tcW w:w="0" w:type="auto"/>
            <w:hideMark/>
          </w:tcPr>
          <w:p w14:paraId="3E446EA8"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ZTNA rollout, PAM, ransomware tabletop, restore testing</w:t>
            </w:r>
          </w:p>
        </w:tc>
        <w:tc>
          <w:tcPr>
            <w:tcW w:w="1716" w:type="dxa"/>
            <w:hideMark/>
          </w:tcPr>
          <w:p w14:paraId="6255EE55"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Security Ops/IR Lead</w:t>
            </w:r>
          </w:p>
        </w:tc>
        <w:tc>
          <w:tcPr>
            <w:tcW w:w="2974" w:type="dxa"/>
            <w:hideMark/>
          </w:tcPr>
          <w:p w14:paraId="3D519455" w14:textId="77777777" w:rsidR="009A6BBA" w:rsidRPr="009A6BBA" w:rsidRDefault="009A6BBA" w:rsidP="009A6BBA">
            <w:pPr>
              <w:cnfStyle w:val="000000000000" w:firstRow="0" w:lastRow="0" w:firstColumn="0" w:lastColumn="0" w:oddVBand="0" w:evenVBand="0" w:oddHBand="0" w:evenHBand="0" w:firstRowFirstColumn="0" w:firstRowLastColumn="0" w:lastRowFirstColumn="0" w:lastRowLastColumn="0"/>
            </w:pPr>
            <w:r w:rsidRPr="009A6BBA">
              <w:t xml:space="preserve">Ransomware tabletop completed; restore test passed for top five critical services; PAM enabled for all privileged </w:t>
            </w:r>
            <w:proofErr w:type="gramStart"/>
            <w:r w:rsidRPr="009A6BBA">
              <w:t>admins</w:t>
            </w:r>
            <w:proofErr w:type="gramEnd"/>
          </w:p>
          <w:p w14:paraId="15A521C7" w14:textId="4A1C5E11"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p>
        </w:tc>
      </w:tr>
      <w:tr w:rsidR="00121D10" w:rsidRPr="00156C32" w14:paraId="316A526A" w14:textId="77777777" w:rsidTr="009A6BBA">
        <w:tc>
          <w:tcPr>
            <w:cnfStyle w:val="001000000000" w:firstRow="0" w:lastRow="0" w:firstColumn="1" w:lastColumn="0" w:oddVBand="0" w:evenVBand="0" w:oddHBand="0" w:evenHBand="0" w:firstRowFirstColumn="0" w:firstRowLastColumn="0" w:lastRowFirstColumn="0" w:lastRowLastColumn="0"/>
            <w:tcW w:w="1059" w:type="dxa"/>
            <w:hideMark/>
          </w:tcPr>
          <w:p w14:paraId="4F619C9E" w14:textId="77777777" w:rsidR="00121D10" w:rsidRPr="00156C32" w:rsidRDefault="00121D10" w:rsidP="006F3C8A">
            <w:r w:rsidRPr="00156C32">
              <w:t>Q4</w:t>
            </w:r>
          </w:p>
        </w:tc>
        <w:tc>
          <w:tcPr>
            <w:tcW w:w="2094" w:type="dxa"/>
            <w:hideMark/>
          </w:tcPr>
          <w:p w14:paraId="6EC24452"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 xml:space="preserve">Audit readiness, </w:t>
            </w:r>
            <w:proofErr w:type="gramStart"/>
            <w:r w:rsidRPr="00156C32">
              <w:t>optimisation</w:t>
            </w:r>
            <w:proofErr w:type="gramEnd"/>
            <w:r w:rsidRPr="00156C32">
              <w:t xml:space="preserve"> and continuous improvement</w:t>
            </w:r>
          </w:p>
        </w:tc>
        <w:tc>
          <w:tcPr>
            <w:tcW w:w="0" w:type="auto"/>
            <w:hideMark/>
          </w:tcPr>
          <w:p w14:paraId="2DC3DF59"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Evidence pack, supplier assessments, board metrics, lessons learned</w:t>
            </w:r>
          </w:p>
        </w:tc>
        <w:tc>
          <w:tcPr>
            <w:tcW w:w="1716" w:type="dxa"/>
            <w:hideMark/>
          </w:tcPr>
          <w:p w14:paraId="4E5C1FFD" w14:textId="77777777"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r w:rsidRPr="00156C32">
              <w:t>GRC Lead/CISO</w:t>
            </w:r>
          </w:p>
        </w:tc>
        <w:tc>
          <w:tcPr>
            <w:tcW w:w="2974" w:type="dxa"/>
            <w:hideMark/>
          </w:tcPr>
          <w:p w14:paraId="2782230E" w14:textId="77777777" w:rsidR="009A6BBA" w:rsidRPr="009A6BBA" w:rsidRDefault="009A6BBA" w:rsidP="009A6BBA">
            <w:pPr>
              <w:cnfStyle w:val="000000000000" w:firstRow="0" w:lastRow="0" w:firstColumn="0" w:lastColumn="0" w:oddVBand="0" w:evenVBand="0" w:oddHBand="0" w:evenHBand="0" w:firstRowFirstColumn="0" w:firstRowLastColumn="0" w:lastRowFirstColumn="0" w:lastRowLastColumn="0"/>
            </w:pPr>
            <w:r w:rsidRPr="009A6BBA">
              <w:t xml:space="preserve">100% critical suppliers assessed; board cyber dashboard approved; high-risk audit actions assigned owners and </w:t>
            </w:r>
            <w:proofErr w:type="gramStart"/>
            <w:r w:rsidRPr="009A6BBA">
              <w:t>deadlines</w:t>
            </w:r>
            <w:proofErr w:type="gramEnd"/>
          </w:p>
          <w:p w14:paraId="3F4411C4" w14:textId="74602541" w:rsidR="00121D10" w:rsidRPr="00156C32" w:rsidRDefault="00121D10" w:rsidP="006F3C8A">
            <w:pPr>
              <w:cnfStyle w:val="000000000000" w:firstRow="0" w:lastRow="0" w:firstColumn="0" w:lastColumn="0" w:oddVBand="0" w:evenVBand="0" w:oddHBand="0" w:evenHBand="0" w:firstRowFirstColumn="0" w:firstRowLastColumn="0" w:lastRowFirstColumn="0" w:lastRowLastColumn="0"/>
            </w:pPr>
          </w:p>
        </w:tc>
      </w:tr>
    </w:tbl>
    <w:p w14:paraId="2F089FC4" w14:textId="77777777" w:rsidR="0081048C" w:rsidRDefault="0081048C" w:rsidP="001D715F">
      <w:r w:rsidRPr="0081048C">
        <w:t xml:space="preserve">The roadmap prioritises asset visibility, identity governance, privileged access, supplier </w:t>
      </w:r>
      <w:proofErr w:type="gramStart"/>
      <w:r w:rsidRPr="0081048C">
        <w:t>mapping</w:t>
      </w:r>
      <w:proofErr w:type="gramEnd"/>
      <w:r w:rsidRPr="0081048C">
        <w:t xml:space="preserve"> and backup assurance first because these create the foundation for later Zero Trust maturity, </w:t>
      </w:r>
      <w:proofErr w:type="gramStart"/>
      <w:r w:rsidRPr="0081048C">
        <w:t>automation</w:t>
      </w:r>
      <w:proofErr w:type="gramEnd"/>
      <w:r w:rsidRPr="0081048C">
        <w:t xml:space="preserve"> and continuous compliance reporting. The practical limit is </w:t>
      </w:r>
      <w:r w:rsidRPr="0081048C">
        <w:lastRenderedPageBreak/>
        <w:t xml:space="preserve">that a Series B fintech may face budget, </w:t>
      </w:r>
      <w:proofErr w:type="gramStart"/>
      <w:r w:rsidRPr="0081048C">
        <w:t>recruitment</w:t>
      </w:r>
      <w:proofErr w:type="gramEnd"/>
      <w:r w:rsidRPr="0081048C">
        <w:t xml:space="preserve"> and operational change constraints. Therefore, Aegis should stage implementation: governance, identity control, cloud visibility, supplier </w:t>
      </w:r>
      <w:proofErr w:type="gramStart"/>
      <w:r w:rsidRPr="0081048C">
        <w:t>mapping</w:t>
      </w:r>
      <w:proofErr w:type="gramEnd"/>
      <w:r w:rsidRPr="0081048C">
        <w:t xml:space="preserve"> and recovery assurance first, followed by ZTNA expansion, automation, AI governance </w:t>
      </w:r>
      <w:proofErr w:type="gramStart"/>
      <w:r w:rsidRPr="0081048C">
        <w:t>maturity</w:t>
      </w:r>
      <w:proofErr w:type="gramEnd"/>
      <w:r w:rsidRPr="0081048C">
        <w:t xml:space="preserve"> and continuous compliance reporting. Board value: the roadmap gives measurable oversight of risk reduction, compliance </w:t>
      </w:r>
      <w:proofErr w:type="gramStart"/>
      <w:r w:rsidRPr="0081048C">
        <w:t>readiness</w:t>
      </w:r>
      <w:proofErr w:type="gramEnd"/>
      <w:r w:rsidRPr="0081048C">
        <w:t xml:space="preserve"> and security maturity over 12 months.</w:t>
      </w:r>
    </w:p>
    <w:p w14:paraId="61E1A766" w14:textId="69319AB2" w:rsidR="00D31037" w:rsidRDefault="00D31037" w:rsidP="001D715F">
      <w:r w:rsidRPr="00D31037">
        <w:t xml:space="preserve">The proposal has practical limits. A Series B fintech may face budget, </w:t>
      </w:r>
      <w:proofErr w:type="gramStart"/>
      <w:r w:rsidRPr="00D31037">
        <w:t>recruitment</w:t>
      </w:r>
      <w:proofErr w:type="gramEnd"/>
      <w:r w:rsidRPr="00D31037">
        <w:t xml:space="preserve"> and operational change constraints, so the security unit should stage implementation rather than attempt full enterprise maturity immediately. Governance, identity control, cloud visibility, supplier </w:t>
      </w:r>
      <w:proofErr w:type="gramStart"/>
      <w:r w:rsidRPr="00D31037">
        <w:t>mapping</w:t>
      </w:r>
      <w:proofErr w:type="gramEnd"/>
      <w:r w:rsidRPr="00D31037">
        <w:t xml:space="preserve"> and recovery assurance should come first, followed by wider automation, ZTNA expansion, AI governance </w:t>
      </w:r>
      <w:proofErr w:type="gramStart"/>
      <w:r w:rsidRPr="00D31037">
        <w:t>maturity</w:t>
      </w:r>
      <w:proofErr w:type="gramEnd"/>
      <w:r w:rsidRPr="00D31037">
        <w:t xml:space="preserve"> and continuous compliance reporting.</w:t>
      </w:r>
    </w:p>
    <w:p w14:paraId="146807B5" w14:textId="525D570E" w:rsidR="008B16FA" w:rsidRPr="00156C32" w:rsidRDefault="008B16FA" w:rsidP="00D31037">
      <w:pPr>
        <w:pStyle w:val="Heading2"/>
        <w:rPr>
          <w:rFonts w:asciiTheme="minorHAnsi" w:hAnsiTheme="minorHAnsi"/>
        </w:rPr>
      </w:pPr>
      <w:bookmarkStart w:id="23" w:name="_Toc234924636"/>
      <w:r w:rsidRPr="00156C32">
        <w:rPr>
          <w:rFonts w:asciiTheme="minorHAnsi" w:hAnsiTheme="minorHAnsi"/>
        </w:rPr>
        <w:t>9. Task 2 Conclusion</w:t>
      </w:r>
      <w:bookmarkEnd w:id="23"/>
    </w:p>
    <w:p w14:paraId="2F1DA36B" w14:textId="0E85B051" w:rsidR="00AA5B53" w:rsidRDefault="00AA5B53" w:rsidP="00AA5B53">
      <w:r w:rsidRPr="00156C32">
        <w:t>This proposal creates a practical, evidence-</w:t>
      </w:r>
      <w:proofErr w:type="gramStart"/>
      <w:r w:rsidRPr="00156C32">
        <w:t>based</w:t>
      </w:r>
      <w:proofErr w:type="gramEnd"/>
      <w:r w:rsidRPr="00156C32">
        <w:t xml:space="preserve"> and board-ready security programme for Aegis FinTech Innovations Ltd. It establishes an Information Security Unit, policy framework, GDPR/DORA roadmap, </w:t>
      </w:r>
      <w:r w:rsidR="00AB768B">
        <w:t>Zero Trust Architecture</w:t>
      </w:r>
      <w:r w:rsidRPr="00156C32">
        <w:t xml:space="preserve">, risk register, ransomware </w:t>
      </w:r>
      <w:proofErr w:type="gramStart"/>
      <w:r w:rsidRPr="00156C32">
        <w:t>playbook</w:t>
      </w:r>
      <w:proofErr w:type="gramEnd"/>
      <w:r w:rsidRPr="00156C32">
        <w:t xml:space="preserve"> and governance roadmap. It </w:t>
      </w:r>
      <w:proofErr w:type="gramStart"/>
      <w:r w:rsidRPr="00156C32">
        <w:t>is directly informed</w:t>
      </w:r>
      <w:proofErr w:type="gramEnd"/>
      <w:r w:rsidRPr="00156C32">
        <w:t xml:space="preserve"> by Task 1, which showed that modern fintech security requires </w:t>
      </w:r>
      <w:proofErr w:type="gramStart"/>
      <w:r w:rsidRPr="00156C32">
        <w:t>identity-centred</w:t>
      </w:r>
      <w:proofErr w:type="gramEnd"/>
      <w:r w:rsidRPr="00156C32">
        <w:t xml:space="preserve"> Zero Trust, cloud security, ransomware resilience, supplier assurance, AI </w:t>
      </w:r>
      <w:proofErr w:type="gramStart"/>
      <w:r w:rsidRPr="00156C32">
        <w:t>governance</w:t>
      </w:r>
      <w:proofErr w:type="gramEnd"/>
      <w:r w:rsidRPr="00156C32">
        <w:t xml:space="preserve"> and executive oversight.</w:t>
      </w:r>
    </w:p>
    <w:p w14:paraId="03E58122" w14:textId="77777777" w:rsidR="007839B7" w:rsidRDefault="007839B7" w:rsidP="00AA5B53"/>
    <w:p w14:paraId="52E14270" w14:textId="77777777" w:rsidR="007839B7" w:rsidRDefault="007839B7" w:rsidP="00AA5B53"/>
    <w:p w14:paraId="7A2011DB" w14:textId="77777777" w:rsidR="007839B7" w:rsidRDefault="007839B7" w:rsidP="00AA5B53"/>
    <w:p w14:paraId="08415D23" w14:textId="77777777" w:rsidR="007839B7" w:rsidRDefault="007839B7" w:rsidP="00AA5B53"/>
    <w:p w14:paraId="3B40AFCF" w14:textId="77777777" w:rsidR="007839B7" w:rsidRDefault="007839B7" w:rsidP="00AA5B53"/>
    <w:p w14:paraId="53E12924" w14:textId="77777777" w:rsidR="007839B7" w:rsidRDefault="007839B7" w:rsidP="00AA5B53"/>
    <w:p w14:paraId="56D8C019" w14:textId="77777777" w:rsidR="007839B7" w:rsidRDefault="007839B7" w:rsidP="00AA5B53"/>
    <w:p w14:paraId="5F56C924" w14:textId="77777777" w:rsidR="007839B7" w:rsidRDefault="007839B7" w:rsidP="00AA5B53"/>
    <w:p w14:paraId="0F72A7A9" w14:textId="77777777" w:rsidR="007839B7" w:rsidRDefault="007839B7" w:rsidP="00AA5B53"/>
    <w:p w14:paraId="7D12BF98" w14:textId="77777777" w:rsidR="007839B7" w:rsidRDefault="007839B7" w:rsidP="00AA5B53"/>
    <w:p w14:paraId="54B8E3F7" w14:textId="77777777" w:rsidR="00D5587E" w:rsidRDefault="00D5587E" w:rsidP="00AA5B53"/>
    <w:p w14:paraId="4B778EF4" w14:textId="77777777" w:rsidR="00D5587E" w:rsidRPr="00156C32" w:rsidRDefault="00D5587E" w:rsidP="00AA5B53"/>
    <w:bookmarkStart w:id="24" w:name="_Toc234924637" w:displacedByCustomXml="next"/>
    <w:sdt>
      <w:sdtPr>
        <w:rPr>
          <w:rFonts w:asciiTheme="minorHAnsi" w:eastAsiaTheme="minorHAnsi" w:hAnsiTheme="minorHAnsi" w:cstheme="minorBidi"/>
          <w:color w:val="auto"/>
          <w:sz w:val="24"/>
          <w:szCs w:val="24"/>
        </w:rPr>
        <w:id w:val="1547800760"/>
        <w:docPartObj>
          <w:docPartGallery w:val="Bibliographies"/>
          <w:docPartUnique/>
        </w:docPartObj>
      </w:sdtPr>
      <w:sdtContent>
        <w:p w14:paraId="6F68A421" w14:textId="2966CFBE" w:rsidR="00A901F9" w:rsidRPr="00156C32" w:rsidRDefault="006F4A4D">
          <w:pPr>
            <w:pStyle w:val="Heading1"/>
            <w:rPr>
              <w:rFonts w:asciiTheme="minorHAnsi" w:hAnsiTheme="minorHAnsi"/>
            </w:rPr>
          </w:pPr>
          <w:r>
            <w:rPr>
              <w:rFonts w:asciiTheme="minorHAnsi" w:hAnsiTheme="minorHAnsi"/>
            </w:rPr>
            <w:t>References</w:t>
          </w:r>
          <w:bookmarkEnd w:id="24"/>
        </w:p>
        <w:sdt>
          <w:sdtPr>
            <w:id w:val="111145805"/>
            <w:bibliography/>
          </w:sdtPr>
          <w:sdtContent>
            <w:p w14:paraId="3995A740" w14:textId="77777777" w:rsidR="009F6361" w:rsidRPr="009F6361" w:rsidRDefault="00ED1A4D" w:rsidP="009F6361">
              <w:pPr>
                <w:pStyle w:val="Bibliography"/>
              </w:pPr>
              <w:r w:rsidRPr="00156C32">
                <w:rPr>
                  <w:noProof/>
                </w:rPr>
                <w:fldChar w:fldCharType="begin"/>
              </w:r>
              <w:r w:rsidR="009F6361">
                <w:rPr>
                  <w:noProof/>
                </w:rPr>
                <w:instrText xml:space="preserve"> ADDIN ZOTERO_BIBL {"uncited":[],"omitted":[],"custom":[]} CSL_BIBLIOGRAPHY </w:instrText>
              </w:r>
              <w:r w:rsidRPr="00156C32">
                <w:rPr>
                  <w:noProof/>
                </w:rPr>
                <w:fldChar w:fldCharType="separate"/>
              </w:r>
              <w:r w:rsidR="009F6361" w:rsidRPr="009F6361">
                <w:t>[1]</w:t>
              </w:r>
              <w:r w:rsidR="009F6361" w:rsidRPr="009F6361">
                <w:tab/>
                <w:t>European Union Agency for Cybersecurity, ‘ENISA Threat Landscape 2024’, ENISA, Sep. 2024. [Online]. Available: https://www.enisa.europa.eu/publications/enisa-threat-landscape-2024</w:t>
              </w:r>
            </w:p>
            <w:p w14:paraId="3D3E1FE9" w14:textId="77777777" w:rsidR="009F6361" w:rsidRPr="009F6361" w:rsidRDefault="009F6361" w:rsidP="009F6361">
              <w:pPr>
                <w:pStyle w:val="Bibliography"/>
              </w:pPr>
              <w:r w:rsidRPr="009F6361">
                <w:t>[2]</w:t>
              </w:r>
              <w:r w:rsidRPr="009F6361">
                <w:tab/>
                <w:t>Verizon, ‘2025 Data Breach Investigations Report’, Verizon Business, 2025. [Online]. Available: https://www.verizon.com/business/resources/reports/dbir/</w:t>
              </w:r>
            </w:p>
            <w:p w14:paraId="135B096F" w14:textId="77777777" w:rsidR="009F6361" w:rsidRPr="009F6361" w:rsidRDefault="009F6361" w:rsidP="009F6361">
              <w:pPr>
                <w:pStyle w:val="Bibliography"/>
              </w:pPr>
              <w:r w:rsidRPr="009F6361">
                <w:t>[3]</w:t>
              </w:r>
              <w:r w:rsidRPr="009F6361">
                <w:tab/>
                <w:t>S. Rose, O. Borchert, S. Mitchell, and S. Connelly, ‘Zero Trust Architecture’, National Institute of Standards and Technology, Aug. 2020. doi: 10.6028/NIST.SP.800-207.</w:t>
              </w:r>
            </w:p>
            <w:p w14:paraId="2685AE5C" w14:textId="77777777" w:rsidR="009F6361" w:rsidRPr="009F6361" w:rsidRDefault="009F6361" w:rsidP="009F6361">
              <w:pPr>
                <w:pStyle w:val="Bibliography"/>
              </w:pPr>
              <w:r w:rsidRPr="009F6361">
                <w:t>[4]</w:t>
              </w:r>
              <w:r w:rsidRPr="009F6361">
                <w:tab/>
                <w:t xml:space="preserve">European Parliament and Council of the European Union, </w:t>
              </w:r>
              <w:r w:rsidRPr="009F6361">
                <w:rPr>
                  <w:i/>
                  <w:iCs/>
                </w:rPr>
                <w:t>Regulation (EU) 2016/679: General Data Protection Regulation</w:t>
              </w:r>
              <w:r w:rsidRPr="009F6361">
                <w:t>, vol. L119. 2016, pp. 1–88. [Online]. Available: https://eur-lex.europa.eu/eli/reg/2016/679/oj/eng</w:t>
              </w:r>
            </w:p>
            <w:p w14:paraId="717EBA63" w14:textId="77777777" w:rsidR="009F6361" w:rsidRPr="009F6361" w:rsidRDefault="009F6361" w:rsidP="009F6361">
              <w:pPr>
                <w:pStyle w:val="Bibliography"/>
              </w:pPr>
              <w:r w:rsidRPr="009F6361">
                <w:t>[5]</w:t>
              </w:r>
              <w:r w:rsidRPr="009F6361">
                <w:tab/>
                <w:t xml:space="preserve">European Parliament and Council of the European Union, </w:t>
              </w:r>
              <w:r w:rsidRPr="009F6361">
                <w:rPr>
                  <w:i/>
                  <w:iCs/>
                </w:rPr>
                <w:t>Regulation (EU) 2022/2554 on Digital Operational Resilience for the Financial Sector (DORA)</w:t>
              </w:r>
              <w:r w:rsidRPr="009F6361">
                <w:t>, vol. L333. 2022, pp. 1–79. [Online]. Available: https://eur-lex.europa.eu/eli/reg/2022/2554/oj</w:t>
              </w:r>
            </w:p>
            <w:p w14:paraId="25C1664C" w14:textId="77777777" w:rsidR="009F6361" w:rsidRPr="009F6361" w:rsidRDefault="009F6361" w:rsidP="009F6361">
              <w:pPr>
                <w:pStyle w:val="Bibliography"/>
              </w:pPr>
              <w:r w:rsidRPr="009F6361">
                <w:t>[6]</w:t>
              </w:r>
              <w:r w:rsidRPr="009F6361">
                <w:tab/>
                <w:t xml:space="preserve">N. F. Syed, S. W. Shah, A. Shaghaghi, A. Anwar, Z. Baig, and R. Doss, ‘Zero Trust Architecture (ZTA): A Comprehensive Survey’, </w:t>
              </w:r>
              <w:r w:rsidRPr="009F6361">
                <w:rPr>
                  <w:i/>
                  <w:iCs/>
                </w:rPr>
                <w:t>IEEE Access</w:t>
              </w:r>
              <w:r w:rsidRPr="009F6361">
                <w:t>, vol. 10, pp. 57143–57179, 2022, doi: 10.1109/ACCESS.2022.3174679.</w:t>
              </w:r>
            </w:p>
            <w:p w14:paraId="077E2EAE" w14:textId="77777777" w:rsidR="009F6361" w:rsidRPr="009F6361" w:rsidRDefault="009F6361" w:rsidP="009F6361">
              <w:pPr>
                <w:pStyle w:val="Bibliography"/>
              </w:pPr>
              <w:r w:rsidRPr="009F6361">
                <w:t>[7]</w:t>
              </w:r>
              <w:r w:rsidRPr="009F6361">
                <w:tab/>
                <w:t>Y. He, D. Huang, L. Chen, Y. Ni, and X. Ma, ‘A Survey on Zero Trust Architecture: Challenges and Future Trends</w:t>
              </w:r>
              <w:proofErr w:type="gramStart"/>
              <w:r w:rsidRPr="009F6361">
                <w:t>’,</w:t>
              </w:r>
              <w:proofErr w:type="gramEnd"/>
              <w:r w:rsidRPr="009F6361">
                <w:t xml:space="preserve"> </w:t>
              </w:r>
              <w:r w:rsidRPr="009F6361">
                <w:rPr>
                  <w:i/>
                  <w:iCs/>
                </w:rPr>
                <w:t>Wirel. Commun. Mob. Comput.</w:t>
              </w:r>
              <w:r w:rsidRPr="009F6361">
                <w:t>, vol. 2022, p. 6476274, 2022, doi: 10.1155/2022/6476274.</w:t>
              </w:r>
            </w:p>
            <w:p w14:paraId="0ED17E1D" w14:textId="6692CBDB" w:rsidR="009F6361" w:rsidRPr="009F6361" w:rsidRDefault="000456AE" w:rsidP="009F6361">
              <w:pPr>
                <w:pStyle w:val="Bibliography"/>
              </w:pPr>
              <w:r w:rsidRPr="000456AE">
                <w:t xml:space="preserve">[8] B. Alouffi, M. Hasnain, A. Alharbi, W. </w:t>
              </w:r>
              <w:proofErr w:type="spellStart"/>
              <w:r w:rsidRPr="000456AE">
                <w:t>Alosaimi</w:t>
              </w:r>
              <w:proofErr w:type="spellEnd"/>
              <w:r w:rsidRPr="000456AE">
                <w:t xml:space="preserve">, H. Alyami, and M. Ayaz, “A Systematic Literature Review on Cloud Computing Security: Threats and Mitigation Strategies,” IEEE Access, vol. 9, pp. 57792–57807, 2021, </w:t>
              </w:r>
              <w:proofErr w:type="spellStart"/>
              <w:r w:rsidRPr="000456AE">
                <w:t>doi</w:t>
              </w:r>
              <w:proofErr w:type="spellEnd"/>
              <w:r w:rsidRPr="000456AE">
                <w:t>: 10.1109/ACCESS.2021.3073203.</w:t>
              </w:r>
            </w:p>
            <w:p w14:paraId="15DFDB28" w14:textId="77777777" w:rsidR="009F6361" w:rsidRPr="009F6361" w:rsidRDefault="009F6361" w:rsidP="009F6361">
              <w:pPr>
                <w:pStyle w:val="Bibliography"/>
              </w:pPr>
              <w:r w:rsidRPr="009F6361">
                <w:t>[9]</w:t>
              </w:r>
              <w:r w:rsidRPr="009F6361">
                <w:tab/>
                <w:t>D. J. Millward, M. J. Reed, and N. Olaniyi, ‘CACLE - Automated Mitigation for Misconfiguration Vulnerabilities in Cloud Systems’, presented at the 2023 7th International Conference on Cloud and Big Data Computing (ICCBDC 2023), ACM, 2023. doi: 10.1145/3616131.3616142.</w:t>
              </w:r>
            </w:p>
            <w:p w14:paraId="47E73EFC" w14:textId="77777777" w:rsidR="009F6361" w:rsidRPr="009F6361" w:rsidRDefault="009F6361" w:rsidP="009F6361">
              <w:pPr>
                <w:pStyle w:val="Bibliography"/>
              </w:pPr>
              <w:r w:rsidRPr="009F6361">
                <w:t>[10]</w:t>
              </w:r>
              <w:r w:rsidRPr="009F6361">
                <w:tab/>
                <w:t>IBM, ‘X-Force Threat Intelligence Index 2025’, IBM, 2025. [Online]. Available: https://www.ibm.com/think/x-force/x-force-threat-intelligence-index-2025-attackers-steal-sell-user-identities</w:t>
              </w:r>
            </w:p>
            <w:p w14:paraId="0D681EE5" w14:textId="77777777" w:rsidR="009F6361" w:rsidRPr="009F6361" w:rsidRDefault="009F6361" w:rsidP="009F6361">
              <w:pPr>
                <w:pStyle w:val="Bibliography"/>
              </w:pPr>
              <w:r w:rsidRPr="009F6361">
                <w:t>[11]</w:t>
              </w:r>
              <w:r w:rsidRPr="009F6361">
                <w:tab/>
                <w:t>Microsoft, ‘Microsoft Digital Defense Report 2024’, Microsoft Threat Intelligence, 2024. [Online]. Available: https://www.microsoft.com/en-us/security/security-insider/threat-landscape/microsoft-digital-defense-report-2024</w:t>
              </w:r>
            </w:p>
            <w:p w14:paraId="6E75E665" w14:textId="77777777" w:rsidR="009F6361" w:rsidRPr="009F6361" w:rsidRDefault="009F6361" w:rsidP="009F6361">
              <w:pPr>
                <w:pStyle w:val="Bibliography"/>
              </w:pPr>
              <w:r w:rsidRPr="009F6361">
                <w:t>[12]</w:t>
              </w:r>
              <w:r w:rsidRPr="009F6361">
                <w:tab/>
                <w:t>National Institute of Standards and Technology, ‘The NIST Cybersecurity Framework (CSF) 2.0’, National Institute of Standards and Technology, Feb. 2024. doi: 10.6028/NIST.CSWP.29.</w:t>
              </w:r>
            </w:p>
            <w:p w14:paraId="3C149B2A" w14:textId="77777777" w:rsidR="009F6361" w:rsidRPr="009F6361" w:rsidRDefault="009F6361" w:rsidP="009F6361">
              <w:pPr>
                <w:pStyle w:val="Bibliography"/>
              </w:pPr>
              <w:r w:rsidRPr="009F6361">
                <w:t>[13]</w:t>
              </w:r>
              <w:r w:rsidRPr="009F6361">
                <w:tab/>
                <w:t xml:space="preserve">National Cyber Security Centre, ‘Ransomware-resistant </w:t>
              </w:r>
              <w:proofErr w:type="gramStart"/>
              <w:r w:rsidRPr="009F6361">
                <w:t>backups’</w:t>
              </w:r>
              <w:proofErr w:type="gramEnd"/>
              <w:r w:rsidRPr="009F6361">
                <w:t>. [Online]. Available: https://www.ncsc.gov.uk/collection/ransomware-resistant-backups</w:t>
              </w:r>
            </w:p>
            <w:p w14:paraId="7D917870" w14:textId="77777777" w:rsidR="009F6361" w:rsidRPr="009F6361" w:rsidRDefault="009F6361" w:rsidP="009F6361">
              <w:pPr>
                <w:pStyle w:val="Bibliography"/>
              </w:pPr>
              <w:r w:rsidRPr="009F6361">
                <w:t>[14]</w:t>
              </w:r>
              <w:r w:rsidRPr="009F6361">
                <w:tab/>
                <w:t>E. Kurshan, H. Shen, and J. Chen, ‘Towards Self-Regulating AI: Challenges and Opportunities of AI Model Governance in Financial Services’, presented at the Proceedings of the 1st ACM International Conference on AI in Finance (ICAIF ’20), ACM, 2020. doi: 10.1145/3383455.3422564.</w:t>
              </w:r>
            </w:p>
            <w:p w14:paraId="50C66D41" w14:textId="77777777" w:rsidR="009F6361" w:rsidRPr="009F6361" w:rsidRDefault="009F6361" w:rsidP="009F6361">
              <w:pPr>
                <w:pStyle w:val="Bibliography"/>
              </w:pPr>
              <w:r w:rsidRPr="009F6361">
                <w:t>[15]</w:t>
              </w:r>
              <w:r w:rsidRPr="009F6361">
                <w:tab/>
                <w:t xml:space="preserve">N. N. Ridzuan, M. Masri, M. Anshari, N. L. Fitriyani, and M. Syafrudin, ‘AI in the Financial Sector: The Line between Innovation, Regulation and Ethical Responsibility’, </w:t>
              </w:r>
              <w:r w:rsidRPr="009F6361">
                <w:rPr>
                  <w:i/>
                  <w:iCs/>
                </w:rPr>
                <w:t>Information</w:t>
              </w:r>
              <w:r w:rsidRPr="009F6361">
                <w:t>, vol. 15, no. 8, p. 432, 2024, doi: 10.3390/info15080432.</w:t>
              </w:r>
            </w:p>
            <w:p w14:paraId="675A2729" w14:textId="77777777" w:rsidR="009F6361" w:rsidRPr="009F6361" w:rsidRDefault="009F6361" w:rsidP="009F6361">
              <w:pPr>
                <w:pStyle w:val="Bibliography"/>
              </w:pPr>
              <w:r w:rsidRPr="009F6361">
                <w:lastRenderedPageBreak/>
                <w:t>[16]</w:t>
              </w:r>
              <w:r w:rsidRPr="009F6361">
                <w:tab/>
                <w:t>E. Tabassi, ‘Artificial Intelligence Risk Management Framework (AI RMF 1.0)’, National Institute of Standards and Technology, Gaithersburg, MD, NIST Trustworthy and Responsible AI NIST AI 100-1, Jan. 2023. doi: 10.6028/NIST.AI.100-1.</w:t>
              </w:r>
            </w:p>
            <w:p w14:paraId="089D33DA" w14:textId="77777777" w:rsidR="009F6361" w:rsidRPr="009F6361" w:rsidRDefault="009F6361" w:rsidP="009F6361">
              <w:pPr>
                <w:pStyle w:val="Bibliography"/>
              </w:pPr>
              <w:r w:rsidRPr="009F6361">
                <w:t>[17]</w:t>
              </w:r>
              <w:r w:rsidRPr="009F6361">
                <w:tab/>
                <w:t>Cybersecurity and Infrastructure Security Agency and Federal Bureau of Investigation, ‘CISA and FBI Release #StopRansomware: CL0P Ransomware Gang Exploits MOVEit Vulnerability’. Jun. 07, 2023. [Online]. Available: https://www.cisa.gov/news-events/alerts/2023/06/07/cisa-and-fbi-release-stopransomware-cl0p-ransomware-gang-exploits-moveit-vulnerability</w:t>
              </w:r>
            </w:p>
            <w:p w14:paraId="6E9022FB" w14:textId="0AEB2403" w:rsidR="005D647E" w:rsidRPr="003239A4" w:rsidRDefault="00ED1A4D" w:rsidP="005D647E">
              <w:pPr>
                <w:pStyle w:val="Bibliography"/>
                <w:rPr>
                  <w:noProof/>
                </w:rPr>
              </w:pPr>
              <w:r w:rsidRPr="00156C32">
                <w:rPr>
                  <w:noProof/>
                </w:rPr>
                <w:fldChar w:fldCharType="end"/>
              </w:r>
              <w:r w:rsidR="005D647E" w:rsidRPr="003239A4">
                <w:rPr>
                  <w:rFonts w:eastAsia="Times New Roman" w:cs="Times New Roman"/>
                  <w:kern w:val="0"/>
                  <w:lang w:eastAsia="en-GB"/>
                  <w14:ligatures w14:val="none"/>
                </w:rPr>
                <w:t xml:space="preserve"> </w:t>
              </w:r>
              <w:r w:rsidR="003239A4" w:rsidRPr="003239A4">
                <w:rPr>
                  <w:rFonts w:eastAsia="Times New Roman" w:cs="Times New Roman"/>
                  <w:kern w:val="0"/>
                  <w:lang w:eastAsia="en-GB"/>
                  <w14:ligatures w14:val="none"/>
                </w:rPr>
                <w:t xml:space="preserve">[18] International Organization for Standardization, ISO/IEC 27001:2022 Information security, </w:t>
              </w:r>
              <w:proofErr w:type="gramStart"/>
              <w:r w:rsidR="003239A4" w:rsidRPr="003239A4">
                <w:rPr>
                  <w:rFonts w:eastAsia="Times New Roman" w:cs="Times New Roman"/>
                  <w:kern w:val="0"/>
                  <w:lang w:eastAsia="en-GB"/>
                  <w14:ligatures w14:val="none"/>
                </w:rPr>
                <w:t>cybersecurity</w:t>
              </w:r>
              <w:proofErr w:type="gramEnd"/>
              <w:r w:rsidR="003239A4" w:rsidRPr="003239A4">
                <w:rPr>
                  <w:rFonts w:eastAsia="Times New Roman" w:cs="Times New Roman"/>
                  <w:kern w:val="0"/>
                  <w:lang w:eastAsia="en-GB"/>
                  <w14:ligatures w14:val="none"/>
                </w:rPr>
                <w:t xml:space="preserve"> and privacy protection—Information security management systems—Requirements, Geneva, Switzerland, 2022.</w:t>
              </w:r>
            </w:p>
            <w:p w14:paraId="0C7E971E" w14:textId="2A9AF6F0" w:rsidR="004E5B44" w:rsidRDefault="004E5B44" w:rsidP="00140D71">
              <w:pPr>
                <w:pStyle w:val="Bibliography"/>
                <w:rPr>
                  <w:noProof/>
                </w:rPr>
              </w:pPr>
            </w:p>
            <w:p w14:paraId="6EEA67E9" w14:textId="77777777" w:rsidR="004E5B44" w:rsidRDefault="004E5B44" w:rsidP="004E5B44"/>
            <w:p w14:paraId="1C6D8046" w14:textId="6F78232D" w:rsidR="00A901F9" w:rsidRPr="004E5B44" w:rsidRDefault="00000000" w:rsidP="004E5B44"/>
          </w:sdtContent>
        </w:sdt>
      </w:sdtContent>
    </w:sdt>
    <w:p w14:paraId="6CE82BFC" w14:textId="77777777" w:rsidR="009C09A1" w:rsidRPr="00156C32" w:rsidRDefault="009C09A1" w:rsidP="00385118"/>
    <w:p w14:paraId="0017653B" w14:textId="77777777" w:rsidR="009C09A1" w:rsidRPr="00156C32" w:rsidRDefault="009C09A1" w:rsidP="00385118"/>
    <w:sectPr w:rsidR="009C09A1" w:rsidRPr="00156C32" w:rsidSect="009E3CA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09D38" w14:textId="77777777" w:rsidR="000A48A5" w:rsidRDefault="000A48A5" w:rsidP="00726BC8">
      <w:pPr>
        <w:spacing w:after="0" w:line="240" w:lineRule="auto"/>
      </w:pPr>
      <w:r>
        <w:separator/>
      </w:r>
    </w:p>
  </w:endnote>
  <w:endnote w:type="continuationSeparator" w:id="0">
    <w:p w14:paraId="3DA8D467" w14:textId="77777777" w:rsidR="000A48A5" w:rsidRDefault="000A48A5" w:rsidP="00726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D8E1C0" w14:textId="77777777" w:rsidR="000A48A5" w:rsidRDefault="000A48A5" w:rsidP="00726BC8">
      <w:pPr>
        <w:spacing w:after="0" w:line="240" w:lineRule="auto"/>
      </w:pPr>
      <w:r>
        <w:separator/>
      </w:r>
    </w:p>
  </w:footnote>
  <w:footnote w:type="continuationSeparator" w:id="0">
    <w:p w14:paraId="354DE08A" w14:textId="77777777" w:rsidR="000A48A5" w:rsidRDefault="000A48A5" w:rsidP="00726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9A77DC"/>
    <w:multiLevelType w:val="hybridMultilevel"/>
    <w:tmpl w:val="2A661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FC1E91"/>
    <w:multiLevelType w:val="hybridMultilevel"/>
    <w:tmpl w:val="63FE6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D77C84"/>
    <w:multiLevelType w:val="hybridMultilevel"/>
    <w:tmpl w:val="4B265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6996636">
    <w:abstractNumId w:val="2"/>
  </w:num>
  <w:num w:numId="2" w16cid:durableId="1765567212">
    <w:abstractNumId w:val="1"/>
  </w:num>
  <w:num w:numId="3" w16cid:durableId="625816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6D1"/>
    <w:rsid w:val="00000060"/>
    <w:rsid w:val="00002E11"/>
    <w:rsid w:val="0000487A"/>
    <w:rsid w:val="0001165A"/>
    <w:rsid w:val="00022F57"/>
    <w:rsid w:val="00030F1A"/>
    <w:rsid w:val="000456AE"/>
    <w:rsid w:val="00053045"/>
    <w:rsid w:val="000538D6"/>
    <w:rsid w:val="000545B8"/>
    <w:rsid w:val="00057716"/>
    <w:rsid w:val="00063EE1"/>
    <w:rsid w:val="00066AD6"/>
    <w:rsid w:val="00072893"/>
    <w:rsid w:val="00073CF6"/>
    <w:rsid w:val="000A0915"/>
    <w:rsid w:val="000A3F2A"/>
    <w:rsid w:val="000A48A5"/>
    <w:rsid w:val="000A51DC"/>
    <w:rsid w:val="000B2E25"/>
    <w:rsid w:val="000B7724"/>
    <w:rsid w:val="000D78CA"/>
    <w:rsid w:val="000D78EF"/>
    <w:rsid w:val="000F4075"/>
    <w:rsid w:val="000F4885"/>
    <w:rsid w:val="00103C54"/>
    <w:rsid w:val="00105D38"/>
    <w:rsid w:val="00112C1F"/>
    <w:rsid w:val="00116244"/>
    <w:rsid w:val="00121D10"/>
    <w:rsid w:val="00122901"/>
    <w:rsid w:val="00123050"/>
    <w:rsid w:val="001263B6"/>
    <w:rsid w:val="00127B32"/>
    <w:rsid w:val="001334E1"/>
    <w:rsid w:val="00137A4E"/>
    <w:rsid w:val="00140D71"/>
    <w:rsid w:val="00143DD2"/>
    <w:rsid w:val="00144DBD"/>
    <w:rsid w:val="00147F7B"/>
    <w:rsid w:val="00156C32"/>
    <w:rsid w:val="001578B9"/>
    <w:rsid w:val="001640FF"/>
    <w:rsid w:val="00167BDF"/>
    <w:rsid w:val="00170464"/>
    <w:rsid w:val="001708C7"/>
    <w:rsid w:val="00171B7B"/>
    <w:rsid w:val="001766F6"/>
    <w:rsid w:val="001810B7"/>
    <w:rsid w:val="00182763"/>
    <w:rsid w:val="00185798"/>
    <w:rsid w:val="00186AC5"/>
    <w:rsid w:val="00187720"/>
    <w:rsid w:val="00187F24"/>
    <w:rsid w:val="00194C6A"/>
    <w:rsid w:val="00196D4D"/>
    <w:rsid w:val="001A1DDB"/>
    <w:rsid w:val="001A3442"/>
    <w:rsid w:val="001B0AAA"/>
    <w:rsid w:val="001B1232"/>
    <w:rsid w:val="001B3D4D"/>
    <w:rsid w:val="001B71D1"/>
    <w:rsid w:val="001C2E46"/>
    <w:rsid w:val="001D2EDE"/>
    <w:rsid w:val="001D2F16"/>
    <w:rsid w:val="001D715F"/>
    <w:rsid w:val="001E16CF"/>
    <w:rsid w:val="001E2733"/>
    <w:rsid w:val="001E474D"/>
    <w:rsid w:val="002070CA"/>
    <w:rsid w:val="00215D1B"/>
    <w:rsid w:val="002250AE"/>
    <w:rsid w:val="00226F60"/>
    <w:rsid w:val="00227E7A"/>
    <w:rsid w:val="00234DF3"/>
    <w:rsid w:val="00235596"/>
    <w:rsid w:val="00235AD4"/>
    <w:rsid w:val="002645A0"/>
    <w:rsid w:val="002674A4"/>
    <w:rsid w:val="00274E64"/>
    <w:rsid w:val="002750C1"/>
    <w:rsid w:val="00275FAC"/>
    <w:rsid w:val="00276DD4"/>
    <w:rsid w:val="0028728A"/>
    <w:rsid w:val="002977B7"/>
    <w:rsid w:val="002A4C3B"/>
    <w:rsid w:val="002C0AAD"/>
    <w:rsid w:val="002D2ACD"/>
    <w:rsid w:val="002D58B7"/>
    <w:rsid w:val="002E1E10"/>
    <w:rsid w:val="002F3AE4"/>
    <w:rsid w:val="002F3B31"/>
    <w:rsid w:val="002F69A2"/>
    <w:rsid w:val="00301B36"/>
    <w:rsid w:val="0030234D"/>
    <w:rsid w:val="003029E3"/>
    <w:rsid w:val="00305051"/>
    <w:rsid w:val="003110B1"/>
    <w:rsid w:val="003166ED"/>
    <w:rsid w:val="003239A4"/>
    <w:rsid w:val="00325AAF"/>
    <w:rsid w:val="00336978"/>
    <w:rsid w:val="00342B01"/>
    <w:rsid w:val="00343901"/>
    <w:rsid w:val="00345742"/>
    <w:rsid w:val="003576E0"/>
    <w:rsid w:val="00366169"/>
    <w:rsid w:val="003661E2"/>
    <w:rsid w:val="00372195"/>
    <w:rsid w:val="00373335"/>
    <w:rsid w:val="00376C22"/>
    <w:rsid w:val="003772AB"/>
    <w:rsid w:val="00382653"/>
    <w:rsid w:val="00385118"/>
    <w:rsid w:val="00393567"/>
    <w:rsid w:val="00396293"/>
    <w:rsid w:val="003A4CA1"/>
    <w:rsid w:val="003B1E01"/>
    <w:rsid w:val="003B33E1"/>
    <w:rsid w:val="003C0EFE"/>
    <w:rsid w:val="003C2350"/>
    <w:rsid w:val="003C48C8"/>
    <w:rsid w:val="003D17F7"/>
    <w:rsid w:val="003D3A30"/>
    <w:rsid w:val="003D54DF"/>
    <w:rsid w:val="003D57A7"/>
    <w:rsid w:val="003D6484"/>
    <w:rsid w:val="003D6973"/>
    <w:rsid w:val="003E29D1"/>
    <w:rsid w:val="003F4419"/>
    <w:rsid w:val="0040219E"/>
    <w:rsid w:val="004034BE"/>
    <w:rsid w:val="0040475E"/>
    <w:rsid w:val="00410624"/>
    <w:rsid w:val="00410895"/>
    <w:rsid w:val="00415BDC"/>
    <w:rsid w:val="0042398B"/>
    <w:rsid w:val="004270D8"/>
    <w:rsid w:val="00431C92"/>
    <w:rsid w:val="00442FDA"/>
    <w:rsid w:val="0045040F"/>
    <w:rsid w:val="00451015"/>
    <w:rsid w:val="004629CD"/>
    <w:rsid w:val="004669CC"/>
    <w:rsid w:val="00467A74"/>
    <w:rsid w:val="004742D8"/>
    <w:rsid w:val="00474933"/>
    <w:rsid w:val="00477B4E"/>
    <w:rsid w:val="00494439"/>
    <w:rsid w:val="004A77CA"/>
    <w:rsid w:val="004A7FD5"/>
    <w:rsid w:val="004B69AE"/>
    <w:rsid w:val="004C4A69"/>
    <w:rsid w:val="004C5A30"/>
    <w:rsid w:val="004D02EE"/>
    <w:rsid w:val="004D2E17"/>
    <w:rsid w:val="004D7ADE"/>
    <w:rsid w:val="004E09AF"/>
    <w:rsid w:val="004E5B44"/>
    <w:rsid w:val="004E61A7"/>
    <w:rsid w:val="004F2F55"/>
    <w:rsid w:val="004F5678"/>
    <w:rsid w:val="004F5A25"/>
    <w:rsid w:val="004F76A8"/>
    <w:rsid w:val="00501C85"/>
    <w:rsid w:val="00506601"/>
    <w:rsid w:val="0051510E"/>
    <w:rsid w:val="00515FF7"/>
    <w:rsid w:val="00527A7E"/>
    <w:rsid w:val="00530E4A"/>
    <w:rsid w:val="00545951"/>
    <w:rsid w:val="0055257C"/>
    <w:rsid w:val="00554234"/>
    <w:rsid w:val="00555DC4"/>
    <w:rsid w:val="005579AA"/>
    <w:rsid w:val="005632C8"/>
    <w:rsid w:val="00567765"/>
    <w:rsid w:val="00581E67"/>
    <w:rsid w:val="00583F96"/>
    <w:rsid w:val="00584008"/>
    <w:rsid w:val="00595F22"/>
    <w:rsid w:val="005A07E9"/>
    <w:rsid w:val="005A1218"/>
    <w:rsid w:val="005A285B"/>
    <w:rsid w:val="005C2396"/>
    <w:rsid w:val="005D1C2D"/>
    <w:rsid w:val="005D4161"/>
    <w:rsid w:val="005D54A4"/>
    <w:rsid w:val="005D647E"/>
    <w:rsid w:val="005E02C1"/>
    <w:rsid w:val="005E26B6"/>
    <w:rsid w:val="005E4E05"/>
    <w:rsid w:val="005E57C5"/>
    <w:rsid w:val="005E61F1"/>
    <w:rsid w:val="005F309C"/>
    <w:rsid w:val="0060545E"/>
    <w:rsid w:val="006153D2"/>
    <w:rsid w:val="0061584C"/>
    <w:rsid w:val="006166F2"/>
    <w:rsid w:val="006171A0"/>
    <w:rsid w:val="0062190B"/>
    <w:rsid w:val="00624F08"/>
    <w:rsid w:val="006253C2"/>
    <w:rsid w:val="00625BEB"/>
    <w:rsid w:val="006306D1"/>
    <w:rsid w:val="006363C8"/>
    <w:rsid w:val="006373F2"/>
    <w:rsid w:val="006414E0"/>
    <w:rsid w:val="00675EF7"/>
    <w:rsid w:val="00684AEB"/>
    <w:rsid w:val="0068701A"/>
    <w:rsid w:val="00696D7B"/>
    <w:rsid w:val="006A016D"/>
    <w:rsid w:val="006A4A40"/>
    <w:rsid w:val="006A6890"/>
    <w:rsid w:val="006A6D59"/>
    <w:rsid w:val="006B3524"/>
    <w:rsid w:val="006B39F9"/>
    <w:rsid w:val="006C6D0C"/>
    <w:rsid w:val="006C7D8A"/>
    <w:rsid w:val="006E342F"/>
    <w:rsid w:val="006E4016"/>
    <w:rsid w:val="006E491D"/>
    <w:rsid w:val="006E651C"/>
    <w:rsid w:val="006E7B01"/>
    <w:rsid w:val="006F2A37"/>
    <w:rsid w:val="006F4A4D"/>
    <w:rsid w:val="006F595F"/>
    <w:rsid w:val="007055BF"/>
    <w:rsid w:val="00706C7A"/>
    <w:rsid w:val="007242DF"/>
    <w:rsid w:val="00726BC8"/>
    <w:rsid w:val="007330C4"/>
    <w:rsid w:val="007406A0"/>
    <w:rsid w:val="00741A63"/>
    <w:rsid w:val="00756CE9"/>
    <w:rsid w:val="00757EC3"/>
    <w:rsid w:val="00763EF5"/>
    <w:rsid w:val="00766C89"/>
    <w:rsid w:val="007675CA"/>
    <w:rsid w:val="00776CE9"/>
    <w:rsid w:val="007839B7"/>
    <w:rsid w:val="0078423A"/>
    <w:rsid w:val="00785C58"/>
    <w:rsid w:val="007907C0"/>
    <w:rsid w:val="0079117C"/>
    <w:rsid w:val="00793F6D"/>
    <w:rsid w:val="007A3816"/>
    <w:rsid w:val="007A52DA"/>
    <w:rsid w:val="007B5352"/>
    <w:rsid w:val="007B68D4"/>
    <w:rsid w:val="007B7526"/>
    <w:rsid w:val="007D1DCD"/>
    <w:rsid w:val="007D26A0"/>
    <w:rsid w:val="007D2900"/>
    <w:rsid w:val="007D6334"/>
    <w:rsid w:val="007E6F71"/>
    <w:rsid w:val="007E709B"/>
    <w:rsid w:val="007F2AE8"/>
    <w:rsid w:val="007F54F4"/>
    <w:rsid w:val="007F65B7"/>
    <w:rsid w:val="007F6BEA"/>
    <w:rsid w:val="008014EC"/>
    <w:rsid w:val="00803ED5"/>
    <w:rsid w:val="00805E28"/>
    <w:rsid w:val="0081048C"/>
    <w:rsid w:val="008121CD"/>
    <w:rsid w:val="00813E3B"/>
    <w:rsid w:val="00814D88"/>
    <w:rsid w:val="00815F7D"/>
    <w:rsid w:val="00832F79"/>
    <w:rsid w:val="00836270"/>
    <w:rsid w:val="00844DEA"/>
    <w:rsid w:val="0084647F"/>
    <w:rsid w:val="00874F66"/>
    <w:rsid w:val="00884E17"/>
    <w:rsid w:val="0088556B"/>
    <w:rsid w:val="00886357"/>
    <w:rsid w:val="008A7DBE"/>
    <w:rsid w:val="008B0BEC"/>
    <w:rsid w:val="008B16FA"/>
    <w:rsid w:val="008B5AB1"/>
    <w:rsid w:val="008B6858"/>
    <w:rsid w:val="008C6075"/>
    <w:rsid w:val="008D3790"/>
    <w:rsid w:val="008D6A9E"/>
    <w:rsid w:val="008E2483"/>
    <w:rsid w:val="008F3AEB"/>
    <w:rsid w:val="008F586B"/>
    <w:rsid w:val="00900FBE"/>
    <w:rsid w:val="00902E46"/>
    <w:rsid w:val="00906D5C"/>
    <w:rsid w:val="00912CFC"/>
    <w:rsid w:val="00917B57"/>
    <w:rsid w:val="0092029C"/>
    <w:rsid w:val="00920A7A"/>
    <w:rsid w:val="0092696A"/>
    <w:rsid w:val="00934996"/>
    <w:rsid w:val="00942195"/>
    <w:rsid w:val="00942732"/>
    <w:rsid w:val="00953424"/>
    <w:rsid w:val="00967EB1"/>
    <w:rsid w:val="00973F3B"/>
    <w:rsid w:val="0099217B"/>
    <w:rsid w:val="00995B86"/>
    <w:rsid w:val="009A0C09"/>
    <w:rsid w:val="009A6BBA"/>
    <w:rsid w:val="009B1185"/>
    <w:rsid w:val="009C09A1"/>
    <w:rsid w:val="009C0D93"/>
    <w:rsid w:val="009C2904"/>
    <w:rsid w:val="009C3CF0"/>
    <w:rsid w:val="009C7B50"/>
    <w:rsid w:val="009D0CF9"/>
    <w:rsid w:val="009D454C"/>
    <w:rsid w:val="009D6395"/>
    <w:rsid w:val="009E3CA8"/>
    <w:rsid w:val="009F21B5"/>
    <w:rsid w:val="009F457B"/>
    <w:rsid w:val="009F6361"/>
    <w:rsid w:val="00A003C1"/>
    <w:rsid w:val="00A01B6B"/>
    <w:rsid w:val="00A03FDB"/>
    <w:rsid w:val="00A076A5"/>
    <w:rsid w:val="00A149DB"/>
    <w:rsid w:val="00A2498C"/>
    <w:rsid w:val="00A267E2"/>
    <w:rsid w:val="00A30D30"/>
    <w:rsid w:val="00A4049C"/>
    <w:rsid w:val="00A42065"/>
    <w:rsid w:val="00A50093"/>
    <w:rsid w:val="00A56D20"/>
    <w:rsid w:val="00A612C9"/>
    <w:rsid w:val="00A66507"/>
    <w:rsid w:val="00A6678E"/>
    <w:rsid w:val="00A774ED"/>
    <w:rsid w:val="00A901F9"/>
    <w:rsid w:val="00AA5B53"/>
    <w:rsid w:val="00AA6A30"/>
    <w:rsid w:val="00AB0959"/>
    <w:rsid w:val="00AB4598"/>
    <w:rsid w:val="00AB768B"/>
    <w:rsid w:val="00AC1B18"/>
    <w:rsid w:val="00AC4B07"/>
    <w:rsid w:val="00AD1338"/>
    <w:rsid w:val="00AD19AE"/>
    <w:rsid w:val="00AD3434"/>
    <w:rsid w:val="00AE07D9"/>
    <w:rsid w:val="00AE1C15"/>
    <w:rsid w:val="00AE4D13"/>
    <w:rsid w:val="00AF1B89"/>
    <w:rsid w:val="00AF7E47"/>
    <w:rsid w:val="00B07553"/>
    <w:rsid w:val="00B11A48"/>
    <w:rsid w:val="00B138EC"/>
    <w:rsid w:val="00B14CAC"/>
    <w:rsid w:val="00B274AF"/>
    <w:rsid w:val="00B32D14"/>
    <w:rsid w:val="00B371F1"/>
    <w:rsid w:val="00B4195A"/>
    <w:rsid w:val="00B4723A"/>
    <w:rsid w:val="00B52FFA"/>
    <w:rsid w:val="00B569A2"/>
    <w:rsid w:val="00B64F7B"/>
    <w:rsid w:val="00B74897"/>
    <w:rsid w:val="00B8160E"/>
    <w:rsid w:val="00B823CA"/>
    <w:rsid w:val="00B84FA0"/>
    <w:rsid w:val="00BA16A2"/>
    <w:rsid w:val="00BC0D2F"/>
    <w:rsid w:val="00BC0F4F"/>
    <w:rsid w:val="00BC6D2F"/>
    <w:rsid w:val="00BD19E5"/>
    <w:rsid w:val="00BE0CA4"/>
    <w:rsid w:val="00BF67DE"/>
    <w:rsid w:val="00C0402B"/>
    <w:rsid w:val="00C051C8"/>
    <w:rsid w:val="00C078DC"/>
    <w:rsid w:val="00C105D1"/>
    <w:rsid w:val="00C10ED8"/>
    <w:rsid w:val="00C2052C"/>
    <w:rsid w:val="00C227DF"/>
    <w:rsid w:val="00C308B9"/>
    <w:rsid w:val="00C33078"/>
    <w:rsid w:val="00C3391A"/>
    <w:rsid w:val="00C36F4E"/>
    <w:rsid w:val="00C40ADF"/>
    <w:rsid w:val="00C45BD9"/>
    <w:rsid w:val="00C4612D"/>
    <w:rsid w:val="00C53AD1"/>
    <w:rsid w:val="00C56665"/>
    <w:rsid w:val="00C56A63"/>
    <w:rsid w:val="00C6204B"/>
    <w:rsid w:val="00C65E12"/>
    <w:rsid w:val="00C74666"/>
    <w:rsid w:val="00C803FC"/>
    <w:rsid w:val="00C8522E"/>
    <w:rsid w:val="00C92961"/>
    <w:rsid w:val="00C969A5"/>
    <w:rsid w:val="00C96C3C"/>
    <w:rsid w:val="00CA0922"/>
    <w:rsid w:val="00CA224A"/>
    <w:rsid w:val="00CA5107"/>
    <w:rsid w:val="00CB00E6"/>
    <w:rsid w:val="00CB1D9A"/>
    <w:rsid w:val="00CB1EE2"/>
    <w:rsid w:val="00CB24D1"/>
    <w:rsid w:val="00CC2388"/>
    <w:rsid w:val="00CC3929"/>
    <w:rsid w:val="00CE69F5"/>
    <w:rsid w:val="00CF3AF8"/>
    <w:rsid w:val="00CF4D06"/>
    <w:rsid w:val="00D01809"/>
    <w:rsid w:val="00D04B39"/>
    <w:rsid w:val="00D0788F"/>
    <w:rsid w:val="00D131C6"/>
    <w:rsid w:val="00D230E4"/>
    <w:rsid w:val="00D25369"/>
    <w:rsid w:val="00D31037"/>
    <w:rsid w:val="00D417D9"/>
    <w:rsid w:val="00D51A63"/>
    <w:rsid w:val="00D5587E"/>
    <w:rsid w:val="00D56F13"/>
    <w:rsid w:val="00D604C8"/>
    <w:rsid w:val="00D64C6B"/>
    <w:rsid w:val="00D71D64"/>
    <w:rsid w:val="00D73BED"/>
    <w:rsid w:val="00D81681"/>
    <w:rsid w:val="00D906B3"/>
    <w:rsid w:val="00D91AA2"/>
    <w:rsid w:val="00D96541"/>
    <w:rsid w:val="00DA25B1"/>
    <w:rsid w:val="00DA3ED5"/>
    <w:rsid w:val="00DA4CC5"/>
    <w:rsid w:val="00DA5F26"/>
    <w:rsid w:val="00DC662A"/>
    <w:rsid w:val="00DD711B"/>
    <w:rsid w:val="00DE278D"/>
    <w:rsid w:val="00DE4D02"/>
    <w:rsid w:val="00DF18A7"/>
    <w:rsid w:val="00DF296E"/>
    <w:rsid w:val="00DF532A"/>
    <w:rsid w:val="00E04A70"/>
    <w:rsid w:val="00E052D2"/>
    <w:rsid w:val="00E11C17"/>
    <w:rsid w:val="00E13858"/>
    <w:rsid w:val="00E16B28"/>
    <w:rsid w:val="00E17479"/>
    <w:rsid w:val="00E20146"/>
    <w:rsid w:val="00E20E1C"/>
    <w:rsid w:val="00E23DBF"/>
    <w:rsid w:val="00E446F2"/>
    <w:rsid w:val="00E55F77"/>
    <w:rsid w:val="00E604BA"/>
    <w:rsid w:val="00E626A2"/>
    <w:rsid w:val="00E64C89"/>
    <w:rsid w:val="00E736E9"/>
    <w:rsid w:val="00E827E9"/>
    <w:rsid w:val="00EA45CD"/>
    <w:rsid w:val="00EA4B3E"/>
    <w:rsid w:val="00EA7CEA"/>
    <w:rsid w:val="00EB0E23"/>
    <w:rsid w:val="00EB18A6"/>
    <w:rsid w:val="00EB5D75"/>
    <w:rsid w:val="00EC25B4"/>
    <w:rsid w:val="00EC5921"/>
    <w:rsid w:val="00ED1A4D"/>
    <w:rsid w:val="00ED41DB"/>
    <w:rsid w:val="00EE29AA"/>
    <w:rsid w:val="00EE5888"/>
    <w:rsid w:val="00EE76DC"/>
    <w:rsid w:val="00EE7B5C"/>
    <w:rsid w:val="00EE7EE2"/>
    <w:rsid w:val="00EF1FAE"/>
    <w:rsid w:val="00F1055B"/>
    <w:rsid w:val="00F11DE3"/>
    <w:rsid w:val="00F15674"/>
    <w:rsid w:val="00F211D9"/>
    <w:rsid w:val="00F31E04"/>
    <w:rsid w:val="00F44EE8"/>
    <w:rsid w:val="00F5068A"/>
    <w:rsid w:val="00F63E59"/>
    <w:rsid w:val="00F66491"/>
    <w:rsid w:val="00F66B20"/>
    <w:rsid w:val="00F71B19"/>
    <w:rsid w:val="00F73997"/>
    <w:rsid w:val="00F76552"/>
    <w:rsid w:val="00F7709E"/>
    <w:rsid w:val="00F8279C"/>
    <w:rsid w:val="00F9105D"/>
    <w:rsid w:val="00F95AB6"/>
    <w:rsid w:val="00FB6904"/>
    <w:rsid w:val="00FC1D5C"/>
    <w:rsid w:val="00FC348A"/>
    <w:rsid w:val="00FC52B6"/>
    <w:rsid w:val="00FC7C8D"/>
    <w:rsid w:val="00FD6398"/>
    <w:rsid w:val="00FE0DF4"/>
    <w:rsid w:val="00FE4DF8"/>
    <w:rsid w:val="00FE79F7"/>
    <w:rsid w:val="00FF2BE1"/>
    <w:rsid w:val="00FF5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0559E"/>
  <w15:chartTrackingRefBased/>
  <w15:docId w15:val="{9B57CA91-F373-4749-8F99-0BD0490F9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6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0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06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06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06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06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6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6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6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6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06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06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06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06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06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6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6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6D1"/>
    <w:rPr>
      <w:rFonts w:eastAsiaTheme="majorEastAsia" w:cstheme="majorBidi"/>
      <w:color w:val="272727" w:themeColor="text1" w:themeTint="D8"/>
    </w:rPr>
  </w:style>
  <w:style w:type="paragraph" w:styleId="Title">
    <w:name w:val="Title"/>
    <w:basedOn w:val="Normal"/>
    <w:next w:val="Normal"/>
    <w:link w:val="TitleChar"/>
    <w:uiPriority w:val="10"/>
    <w:qFormat/>
    <w:rsid w:val="006306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6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6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6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6D1"/>
    <w:pPr>
      <w:spacing w:before="160"/>
      <w:jc w:val="center"/>
    </w:pPr>
    <w:rPr>
      <w:i/>
      <w:iCs/>
      <w:color w:val="404040" w:themeColor="text1" w:themeTint="BF"/>
    </w:rPr>
  </w:style>
  <w:style w:type="character" w:customStyle="1" w:styleId="QuoteChar">
    <w:name w:val="Quote Char"/>
    <w:basedOn w:val="DefaultParagraphFont"/>
    <w:link w:val="Quote"/>
    <w:uiPriority w:val="29"/>
    <w:rsid w:val="006306D1"/>
    <w:rPr>
      <w:i/>
      <w:iCs/>
      <w:color w:val="404040" w:themeColor="text1" w:themeTint="BF"/>
    </w:rPr>
  </w:style>
  <w:style w:type="paragraph" w:styleId="ListParagraph">
    <w:name w:val="List Paragraph"/>
    <w:basedOn w:val="Normal"/>
    <w:uiPriority w:val="34"/>
    <w:qFormat/>
    <w:rsid w:val="006306D1"/>
    <w:pPr>
      <w:ind w:left="720"/>
      <w:contextualSpacing/>
    </w:pPr>
  </w:style>
  <w:style w:type="character" w:styleId="IntenseEmphasis">
    <w:name w:val="Intense Emphasis"/>
    <w:basedOn w:val="DefaultParagraphFont"/>
    <w:uiPriority w:val="21"/>
    <w:qFormat/>
    <w:rsid w:val="006306D1"/>
    <w:rPr>
      <w:i/>
      <w:iCs/>
      <w:color w:val="0F4761" w:themeColor="accent1" w:themeShade="BF"/>
    </w:rPr>
  </w:style>
  <w:style w:type="paragraph" w:styleId="IntenseQuote">
    <w:name w:val="Intense Quote"/>
    <w:basedOn w:val="Normal"/>
    <w:next w:val="Normal"/>
    <w:link w:val="IntenseQuoteChar"/>
    <w:uiPriority w:val="30"/>
    <w:qFormat/>
    <w:rsid w:val="006306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06D1"/>
    <w:rPr>
      <w:i/>
      <w:iCs/>
      <w:color w:val="0F4761" w:themeColor="accent1" w:themeShade="BF"/>
    </w:rPr>
  </w:style>
  <w:style w:type="character" w:styleId="IntenseReference">
    <w:name w:val="Intense Reference"/>
    <w:basedOn w:val="DefaultParagraphFont"/>
    <w:uiPriority w:val="32"/>
    <w:qFormat/>
    <w:rsid w:val="006306D1"/>
    <w:rPr>
      <w:b/>
      <w:bCs/>
      <w:smallCaps/>
      <w:color w:val="0F4761" w:themeColor="accent1" w:themeShade="BF"/>
      <w:spacing w:val="5"/>
    </w:rPr>
  </w:style>
  <w:style w:type="paragraph" w:styleId="Bibliography">
    <w:name w:val="Bibliography"/>
    <w:basedOn w:val="Normal"/>
    <w:next w:val="Normal"/>
    <w:uiPriority w:val="37"/>
    <w:unhideWhenUsed/>
    <w:rsid w:val="00A901F9"/>
    <w:pPr>
      <w:tabs>
        <w:tab w:val="left" w:pos="384"/>
      </w:tabs>
      <w:spacing w:after="0" w:line="240" w:lineRule="auto"/>
      <w:ind w:left="384" w:hanging="384"/>
    </w:pPr>
  </w:style>
  <w:style w:type="table" w:styleId="TableGrid">
    <w:name w:val="Table Grid"/>
    <w:basedOn w:val="TableNormal"/>
    <w:uiPriority w:val="39"/>
    <w:rsid w:val="00D253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2536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39356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39356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18772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87720"/>
    <w:rPr>
      <w:rFonts w:eastAsiaTheme="minorEastAsia"/>
      <w:kern w:val="0"/>
      <w:sz w:val="22"/>
      <w:szCs w:val="22"/>
      <w:lang w:val="en-US"/>
      <w14:ligatures w14:val="none"/>
    </w:rPr>
  </w:style>
  <w:style w:type="paragraph" w:styleId="Header">
    <w:name w:val="header"/>
    <w:basedOn w:val="Normal"/>
    <w:link w:val="HeaderChar"/>
    <w:uiPriority w:val="99"/>
    <w:unhideWhenUsed/>
    <w:rsid w:val="00726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BC8"/>
  </w:style>
  <w:style w:type="paragraph" w:styleId="Footer">
    <w:name w:val="footer"/>
    <w:basedOn w:val="Normal"/>
    <w:link w:val="FooterChar"/>
    <w:uiPriority w:val="99"/>
    <w:unhideWhenUsed/>
    <w:rsid w:val="00726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BC8"/>
  </w:style>
  <w:style w:type="character" w:styleId="Hyperlink">
    <w:name w:val="Hyperlink"/>
    <w:basedOn w:val="DefaultParagraphFont"/>
    <w:uiPriority w:val="99"/>
    <w:unhideWhenUsed/>
    <w:rsid w:val="00122901"/>
    <w:rPr>
      <w:color w:val="467886" w:themeColor="hyperlink"/>
      <w:u w:val="single"/>
    </w:rPr>
  </w:style>
  <w:style w:type="character" w:styleId="UnresolvedMention">
    <w:name w:val="Unresolved Mention"/>
    <w:basedOn w:val="DefaultParagraphFont"/>
    <w:uiPriority w:val="99"/>
    <w:semiHidden/>
    <w:unhideWhenUsed/>
    <w:rsid w:val="00122901"/>
    <w:rPr>
      <w:color w:val="605E5C"/>
      <w:shd w:val="clear" w:color="auto" w:fill="E1DFDD"/>
    </w:rPr>
  </w:style>
  <w:style w:type="paragraph" w:styleId="TOCHeading">
    <w:name w:val="TOC Heading"/>
    <w:basedOn w:val="Heading1"/>
    <w:next w:val="Normal"/>
    <w:uiPriority w:val="39"/>
    <w:unhideWhenUsed/>
    <w:qFormat/>
    <w:rsid w:val="00276DD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76DD4"/>
    <w:pPr>
      <w:spacing w:after="100"/>
    </w:pPr>
  </w:style>
  <w:style w:type="paragraph" w:styleId="TOC2">
    <w:name w:val="toc 2"/>
    <w:basedOn w:val="Normal"/>
    <w:next w:val="Normal"/>
    <w:autoRedefine/>
    <w:uiPriority w:val="39"/>
    <w:unhideWhenUsed/>
    <w:rsid w:val="00276DD4"/>
    <w:pPr>
      <w:spacing w:after="100"/>
      <w:ind w:left="240"/>
    </w:pPr>
  </w:style>
  <w:style w:type="paragraph" w:styleId="TOC3">
    <w:name w:val="toc 3"/>
    <w:basedOn w:val="Normal"/>
    <w:next w:val="Normal"/>
    <w:autoRedefine/>
    <w:uiPriority w:val="39"/>
    <w:unhideWhenUsed/>
    <w:rsid w:val="00276DD4"/>
    <w:pPr>
      <w:spacing w:after="100"/>
      <w:ind w:left="480"/>
    </w:pPr>
  </w:style>
  <w:style w:type="paragraph" w:styleId="Revision">
    <w:name w:val="Revision"/>
    <w:hidden/>
    <w:uiPriority w:val="99"/>
    <w:semiHidden/>
    <w:rsid w:val="00F95AB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2427494@student.uwtsd.ac.uk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F1F2B7-6DD6-410B-89FF-A542864A6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632</TotalTime>
  <Pages>24</Pages>
  <Words>12079</Words>
  <Characters>68856</Characters>
  <Application>Microsoft Office Word</Application>
  <DocSecurity>0</DocSecurity>
  <Lines>573</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Securing the Modern Enterprise: 
From Zero Trust to AI Governance</dc:title>
  <dc:subject>CISO Proposal and Implementation Plan for Aegis FinTech Innovations Ltd.</dc:subject>
  <dc:creator>Brandon Curran (2427494)</dc:creator>
  <cp:keywords/>
  <dc:description/>
  <cp:lastModifiedBy>Brandon Curran</cp:lastModifiedBy>
  <cp:revision>483</cp:revision>
  <dcterms:created xsi:type="dcterms:W3CDTF">2026-06-06T08:55:00Z</dcterms:created>
  <dcterms:modified xsi:type="dcterms:W3CDTF">2026-07-14T11:31:00Z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zotero-version="9.0.5"&gt;&lt;session id="3EeknbPB"/&gt;&lt;style id="http://www.zotero.org/styles/ieee" locale="en-GB" hasBibliography="1" bibliographyStyleHasBeenSet="1"/&gt;&lt;prefs&gt;&lt;pref name="fieldType" value="Field"/&gt;&lt;pref name="automaticJourn</vt:lpwstr>
  </property>
  <property fmtid="{D5CDD505-2E9C-101B-9397-08002B2CF9AE}" pid="3" name="ZOTERO_PREF_2">
    <vt:lpwstr>alAbbreviations" value="true"/&gt;&lt;pref name="dontAskDelayCitationUpdates" value="true"/&gt;&lt;/prefs&gt;&lt;/data&gt;</vt:lpwstr>
  </property>
</Properties>
</file>