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77777777" w:rsidR="00ED1049" w:rsidRPr="00ED1049" w:rsidRDefault="00ED1049" w:rsidP="00ED1049">
      <w:pPr>
        <w:ind w:left="426"/>
        <w:rPr>
          <w:rFonts w:ascii="Arial" w:hAnsi="Arial" w:cs="Arial"/>
        </w:rPr>
      </w:pPr>
    </w:p>
    <w:p w14:paraId="3A253CFB" w14:textId="77777777" w:rsidR="00ED1049" w:rsidRPr="00074402" w:rsidRDefault="00ED1049" w:rsidP="00ED1049">
      <w:pPr>
        <w:spacing w:line="360" w:lineRule="auto"/>
        <w:ind w:left="426"/>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07D80CAD" w14:textId="77777777" w:rsidR="00ED1049" w:rsidRPr="00074402" w:rsidRDefault="00ED1049" w:rsidP="00ED1049">
      <w:pPr>
        <w:spacing w:line="360" w:lineRule="auto"/>
        <w:ind w:left="426"/>
        <w:rPr>
          <w:rFonts w:ascii="Arial" w:hAnsi="Arial" w:cs="Arial"/>
          <w:szCs w:val="24"/>
        </w:rPr>
      </w:pPr>
    </w:p>
    <w:p w14:paraId="066AF1C3" w14:textId="77777777" w:rsidR="00ED1049" w:rsidRDefault="00ED1049" w:rsidP="00ED1049">
      <w:pPr>
        <w:tabs>
          <w:tab w:val="left" w:pos="6540"/>
        </w:tabs>
        <w:spacing w:line="360" w:lineRule="auto"/>
        <w:ind w:left="426"/>
        <w:rPr>
          <w:rFonts w:ascii="Arial" w:hAnsi="Arial" w:cs="Arial"/>
          <w:sz w:val="28"/>
          <w:szCs w:val="28"/>
        </w:rPr>
      </w:pPr>
    </w:p>
    <w:p w14:paraId="4FC9800F" w14:textId="5B459D6B"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name</w:t>
      </w:r>
      <w:r w:rsidRPr="00814A9E">
        <w:rPr>
          <w:rFonts w:ascii="Arial" w:hAnsi="Arial" w:cs="Arial"/>
          <w:sz w:val="28"/>
          <w:szCs w:val="28"/>
          <w:lang w:val="nl-NL"/>
        </w:rPr>
        <w:t>:</w:t>
      </w:r>
      <w:r w:rsidR="00275F23">
        <w:rPr>
          <w:rFonts w:ascii="Arial" w:hAnsi="Arial" w:cs="Arial"/>
          <w:sz w:val="28"/>
          <w:szCs w:val="28"/>
          <w:lang w:val="nl-NL"/>
        </w:rPr>
        <w:t xml:space="preserve"> </w:t>
      </w:r>
      <w:r w:rsidR="005366D3">
        <w:rPr>
          <w:rFonts w:ascii="Arial" w:hAnsi="Arial" w:cs="Arial"/>
          <w:sz w:val="28"/>
          <w:szCs w:val="28"/>
          <w:lang w:val="nl-NL"/>
        </w:rPr>
        <w:t>Abosede Dehinbo</w:t>
      </w:r>
    </w:p>
    <w:p w14:paraId="00429E76" w14:textId="6769C314"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ID</w:t>
      </w:r>
      <w:r w:rsidRPr="00814A9E">
        <w:rPr>
          <w:rFonts w:ascii="Arial" w:hAnsi="Arial" w:cs="Arial"/>
          <w:sz w:val="28"/>
          <w:szCs w:val="28"/>
          <w:lang w:val="nl-NL"/>
        </w:rPr>
        <w:t>:</w:t>
      </w:r>
      <w:r w:rsidR="00D74107">
        <w:rPr>
          <w:rFonts w:ascii="Arial" w:hAnsi="Arial" w:cs="Arial"/>
          <w:sz w:val="28"/>
          <w:szCs w:val="28"/>
          <w:lang w:val="nl-NL"/>
        </w:rPr>
        <w:t xml:space="preserve"> 2313077</w:t>
      </w:r>
    </w:p>
    <w:p w14:paraId="16C5D4A2" w14:textId="77777777" w:rsidR="00ED1049" w:rsidRPr="00814A9E" w:rsidRDefault="00ED1049" w:rsidP="00ED1049">
      <w:pPr>
        <w:tabs>
          <w:tab w:val="left" w:pos="6540"/>
        </w:tabs>
        <w:spacing w:line="360" w:lineRule="auto"/>
        <w:ind w:left="426"/>
        <w:rPr>
          <w:rFonts w:ascii="Arial" w:hAnsi="Arial" w:cs="Arial"/>
          <w:sz w:val="28"/>
          <w:szCs w:val="28"/>
          <w:lang w:val="nl-NL"/>
        </w:rPr>
      </w:pPr>
    </w:p>
    <w:p w14:paraId="3E7B146F" w14:textId="699A452C"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Module name</w:t>
      </w:r>
      <w:r w:rsidRPr="00814A9E">
        <w:rPr>
          <w:rFonts w:ascii="Arial" w:hAnsi="Arial" w:cs="Arial"/>
          <w:sz w:val="28"/>
          <w:szCs w:val="28"/>
          <w:lang w:val="nl-NL"/>
        </w:rPr>
        <w:t xml:space="preserve">: </w:t>
      </w:r>
      <w:r w:rsidR="00275F23">
        <w:rPr>
          <w:rFonts w:ascii="Arial" w:hAnsi="Arial" w:cs="Arial"/>
          <w:sz w:val="28"/>
          <w:szCs w:val="28"/>
          <w:lang w:val="nl-NL"/>
        </w:rPr>
        <w:t>Independent Project Poster</w:t>
      </w:r>
    </w:p>
    <w:p w14:paraId="12CBB668" w14:textId="3D40F6B0" w:rsidR="00ED1049" w:rsidRDefault="00ED1049" w:rsidP="00ED1049">
      <w:pPr>
        <w:tabs>
          <w:tab w:val="left" w:pos="6540"/>
        </w:tabs>
        <w:spacing w:line="360" w:lineRule="auto"/>
        <w:ind w:left="426"/>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275F23">
        <w:rPr>
          <w:rFonts w:ascii="Arial" w:hAnsi="Arial" w:cs="Arial"/>
          <w:sz w:val="28"/>
          <w:szCs w:val="28"/>
        </w:rPr>
        <w:t xml:space="preserve"> BMHP6020_LON</w:t>
      </w:r>
    </w:p>
    <w:p w14:paraId="2C2175CB" w14:textId="45C3C94B" w:rsidR="00ED1049" w:rsidRDefault="006D2642" w:rsidP="00ED1049">
      <w:pPr>
        <w:tabs>
          <w:tab w:val="left" w:pos="6540"/>
        </w:tabs>
        <w:spacing w:line="360" w:lineRule="auto"/>
        <w:ind w:left="426"/>
        <w:rPr>
          <w:rFonts w:ascii="Arial" w:hAnsi="Arial" w:cs="Arial"/>
          <w:sz w:val="28"/>
          <w:szCs w:val="28"/>
        </w:rPr>
      </w:pPr>
      <w:r>
        <w:rPr>
          <w:rFonts w:ascii="Arial" w:hAnsi="Arial" w:cs="Arial"/>
          <w:b/>
          <w:bCs/>
          <w:sz w:val="28"/>
          <w:szCs w:val="28"/>
        </w:rPr>
        <w:t>Supervisor’s</w:t>
      </w:r>
      <w:r w:rsidR="00ED1049" w:rsidRPr="00074402">
        <w:rPr>
          <w:rFonts w:ascii="Arial" w:hAnsi="Arial" w:cs="Arial"/>
          <w:b/>
          <w:bCs/>
          <w:sz w:val="28"/>
          <w:szCs w:val="28"/>
        </w:rPr>
        <w:t xml:space="preserve"> name</w:t>
      </w:r>
      <w:r w:rsidR="00ED1049">
        <w:rPr>
          <w:rFonts w:ascii="Arial" w:hAnsi="Arial" w:cs="Arial"/>
          <w:sz w:val="28"/>
          <w:szCs w:val="28"/>
        </w:rPr>
        <w:t>:</w:t>
      </w:r>
      <w:r w:rsidR="00275F23">
        <w:rPr>
          <w:rFonts w:ascii="Arial" w:hAnsi="Arial" w:cs="Arial"/>
          <w:sz w:val="28"/>
          <w:szCs w:val="28"/>
        </w:rPr>
        <w:t xml:space="preserve"> Jolly Nwankwo</w:t>
      </w:r>
    </w:p>
    <w:p w14:paraId="543861DF" w14:textId="77777777" w:rsidR="00ED1049" w:rsidRPr="00ED1049" w:rsidRDefault="00ED1049">
      <w:pPr>
        <w:rPr>
          <w:rFonts w:ascii="Arial" w:hAnsi="Arial" w:cs="Arial"/>
        </w:rPr>
      </w:pPr>
    </w:p>
    <w:p w14:paraId="160FF05C" w14:textId="77777777" w:rsidR="00CC0A8F" w:rsidRPr="00CC0A8F" w:rsidRDefault="00CC0A8F" w:rsidP="00C46111">
      <w:r w:rsidRPr="00CC0A8F">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468"/>
        <w:gridCol w:w="509"/>
        <w:gridCol w:w="4436"/>
        <w:gridCol w:w="455"/>
        <w:gridCol w:w="4522"/>
      </w:tblGrid>
      <w:tr w:rsidR="00346FFA" w:rsidRPr="00EB6F36" w14:paraId="600B3A42" w14:textId="77777777" w:rsidTr="00275F23">
        <w:trPr>
          <w:trHeight w:val="2393"/>
          <w:jc w:val="center"/>
        </w:trPr>
        <w:tc>
          <w:tcPr>
            <w:tcW w:w="7725" w:type="dxa"/>
          </w:tcPr>
          <w:p w14:paraId="505098AA" w14:textId="77777777" w:rsidR="00EB6F36" w:rsidRDefault="00EB6F36" w:rsidP="00B67824">
            <w:pPr>
              <w:rPr>
                <w:rFonts w:ascii="Arial" w:hAnsi="Arial" w:cs="Arial"/>
                <w:noProof/>
              </w:rPr>
            </w:pPr>
          </w:p>
          <w:p w14:paraId="1F5FE413" w14:textId="77777777" w:rsidR="00EB6F36" w:rsidRDefault="00EB6F36" w:rsidP="00B67824">
            <w:pPr>
              <w:rPr>
                <w:rFonts w:ascii="Arial" w:hAnsi="Arial" w:cs="Arial"/>
                <w:noProof/>
              </w:rPr>
            </w:pPr>
          </w:p>
          <w:p w14:paraId="7C84B224" w14:textId="404EAE70" w:rsidR="00346FFA" w:rsidRPr="00EB6F36" w:rsidRDefault="005366D3" w:rsidP="00B67824">
            <w:pPr>
              <w:rPr>
                <w:rFonts w:ascii="Arial" w:hAnsi="Arial" w:cs="Arial"/>
                <w:noProof/>
              </w:rPr>
            </w:pPr>
            <w:r>
              <w:rPr>
                <w:noProof/>
              </w:rPr>
              <w:drawing>
                <wp:inline distT="0" distB="0" distL="0" distR="0" wp14:anchorId="1C9799AF" wp14:editId="69E96F5B">
                  <wp:extent cx="4674549" cy="4072419"/>
                  <wp:effectExtent l="0" t="0" r="0" b="4445"/>
                  <wp:docPr id="309556807" name="Picture 1" descr="Learning Disabilities in the 21st Century: Integrating Neuroscience,  Education, and Technology for Better Outcomes - Syed Mohammed Basheeruddin  Asdaq, Ahmad H. Alhowail, Syed Imam Rabbani, Naira Nayeem, Syed Mohammed  Emaduddin Asdaq, Faiq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rning Disabilities in the 21st Century: Integrating Neuroscience,  Education, and Technology for Better Outcomes - Syed Mohammed Basheeruddin  Asdaq, Ahmad H. Alhowail, Syed Imam Rabbani, Naira Nayeem, Syed Mohammed  Emaduddin Asdaq, Faiq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85187" cy="4081686"/>
                          </a:xfrm>
                          <a:prstGeom prst="rect">
                            <a:avLst/>
                          </a:prstGeom>
                          <a:noFill/>
                          <a:ln>
                            <a:noFill/>
                          </a:ln>
                        </pic:spPr>
                      </pic:pic>
                    </a:graphicData>
                  </a:graphic>
                </wp:inline>
              </w:drawing>
            </w:r>
          </w:p>
        </w:tc>
        <w:tc>
          <w:tcPr>
            <w:tcW w:w="709" w:type="dxa"/>
            <w:vMerge w:val="restart"/>
          </w:tcPr>
          <w:p w14:paraId="09B2FC2D" w14:textId="77777777" w:rsidR="00346FFA" w:rsidRPr="00EB6F36" w:rsidRDefault="00346FFA" w:rsidP="00B67824">
            <w:pPr>
              <w:rPr>
                <w:rFonts w:ascii="Arial" w:hAnsi="Arial" w:cs="Arial"/>
                <w:noProof/>
              </w:rPr>
            </w:pPr>
          </w:p>
        </w:tc>
        <w:tc>
          <w:tcPr>
            <w:tcW w:w="7667" w:type="dxa"/>
            <w:vMerge w:val="restart"/>
          </w:tcPr>
          <w:p w14:paraId="7FFC34EC" w14:textId="508D4D65" w:rsidR="00706CAB" w:rsidRPr="00A62F1F" w:rsidRDefault="005366D3" w:rsidP="00706CAB">
            <w:pPr>
              <w:rPr>
                <w:rFonts w:ascii="Arial" w:hAnsi="Arial" w:cs="Arial"/>
                <w:b/>
                <w:bCs/>
                <w:noProof/>
              </w:rPr>
            </w:pPr>
            <w:r>
              <w:rPr>
                <w:rFonts w:ascii="Arial" w:hAnsi="Arial" w:cs="Arial"/>
                <w:b/>
                <w:bCs/>
                <w:noProof/>
              </w:rPr>
              <w:t>Developmental</w:t>
            </w:r>
            <w:r w:rsidR="00706CAB" w:rsidRPr="00A62F1F">
              <w:rPr>
                <w:rFonts w:ascii="Arial" w:hAnsi="Arial" w:cs="Arial"/>
                <w:b/>
                <w:bCs/>
                <w:noProof/>
              </w:rPr>
              <w:t xml:space="preserve"> Learning Disorder with Impairment in Reading</w:t>
            </w:r>
          </w:p>
          <w:p w14:paraId="5A6A8BE1" w14:textId="77777777" w:rsidR="00275F23" w:rsidRDefault="00275F23" w:rsidP="00EB6F36">
            <w:pPr>
              <w:rPr>
                <w:rFonts w:ascii="Arial" w:hAnsi="Arial" w:cs="Arial"/>
              </w:rPr>
            </w:pPr>
          </w:p>
          <w:p w14:paraId="4706EDC5" w14:textId="4DF56B59" w:rsidR="00275F23" w:rsidRDefault="00275F23" w:rsidP="00EB6F36">
            <w:pPr>
              <w:rPr>
                <w:rFonts w:ascii="Arial" w:hAnsi="Arial" w:cs="Arial"/>
              </w:rPr>
            </w:pPr>
            <w:r w:rsidRPr="00275F23">
              <w:rPr>
                <w:rFonts w:ascii="Arial" w:hAnsi="Arial" w:cs="Arial"/>
                <w:sz w:val="28"/>
                <w:szCs w:val="28"/>
              </w:rPr>
              <w:t>Aim</w:t>
            </w:r>
            <w:r>
              <w:rPr>
                <w:rFonts w:ascii="Arial" w:hAnsi="Arial" w:cs="Arial"/>
              </w:rPr>
              <w:t>:</w:t>
            </w:r>
          </w:p>
          <w:p w14:paraId="289AC0EB" w14:textId="77777777" w:rsidR="00275F23" w:rsidRPr="00275F23" w:rsidRDefault="00275F23" w:rsidP="00275F23">
            <w:pPr>
              <w:rPr>
                <w:rFonts w:ascii="Arial" w:hAnsi="Arial" w:cs="Arial"/>
                <w:b/>
                <w:bCs/>
                <w:iCs/>
                <w:lang w:val="en-GB"/>
              </w:rPr>
            </w:pPr>
            <w:r w:rsidRPr="00275F23">
              <w:rPr>
                <w:rFonts w:ascii="Arial" w:hAnsi="Arial" w:cs="Arial"/>
                <w:iCs/>
                <w:lang w:val="en-GB"/>
              </w:rPr>
              <w:t>This project aims to explore the development of Learning Disorder with Impairment in Reading (dyslexia) and examine its impact on health and social care services in the UK through a qualitative secondary research approach</w:t>
            </w:r>
            <w:r w:rsidRPr="00275F23">
              <w:rPr>
                <w:rFonts w:ascii="Arial" w:hAnsi="Arial" w:cs="Arial"/>
                <w:b/>
                <w:bCs/>
                <w:iCs/>
                <w:lang w:val="en-GB"/>
              </w:rPr>
              <w:t>.</w:t>
            </w:r>
          </w:p>
          <w:p w14:paraId="7904318A" w14:textId="77777777" w:rsidR="00275F23" w:rsidRDefault="00275F23" w:rsidP="00EB6F36">
            <w:pPr>
              <w:rPr>
                <w:rFonts w:ascii="Arial" w:hAnsi="Arial" w:cs="Arial"/>
              </w:rPr>
            </w:pPr>
          </w:p>
          <w:p w14:paraId="7A9C0193" w14:textId="77777777" w:rsidR="00275F23" w:rsidRDefault="00275F23" w:rsidP="00EB6F36">
            <w:pPr>
              <w:rPr>
                <w:rFonts w:ascii="Arial" w:hAnsi="Arial" w:cs="Arial"/>
              </w:rPr>
            </w:pPr>
          </w:p>
          <w:p w14:paraId="1CDD48A3" w14:textId="16938444" w:rsidR="00275F23" w:rsidRDefault="00275F23" w:rsidP="00EB6F36">
            <w:pPr>
              <w:rPr>
                <w:rFonts w:ascii="Arial" w:hAnsi="Arial" w:cs="Arial"/>
              </w:rPr>
            </w:pPr>
            <w:r w:rsidRPr="00275F23">
              <w:rPr>
                <w:rFonts w:ascii="Arial" w:hAnsi="Arial" w:cs="Arial"/>
                <w:sz w:val="28"/>
                <w:szCs w:val="28"/>
              </w:rPr>
              <w:t>Objective</w:t>
            </w:r>
            <w:r>
              <w:rPr>
                <w:rFonts w:ascii="Arial" w:hAnsi="Arial" w:cs="Arial"/>
              </w:rPr>
              <w:t>:</w:t>
            </w:r>
          </w:p>
          <w:p w14:paraId="45E0964C" w14:textId="5D482EE0" w:rsidR="00860159" w:rsidRDefault="00860159" w:rsidP="00706CAB">
            <w:pPr>
              <w:spacing w:line="360" w:lineRule="auto"/>
              <w:rPr>
                <w:rFonts w:ascii="Arial" w:hAnsi="Arial" w:cs="Arial"/>
                <w:lang w:val="en-GB"/>
              </w:rPr>
            </w:pPr>
            <w:r>
              <w:rPr>
                <w:rFonts w:ascii="Arial" w:hAnsi="Arial" w:cs="Arial"/>
                <w:lang w:val="en-GB"/>
              </w:rPr>
              <w:t xml:space="preserve">1. </w:t>
            </w:r>
            <w:r w:rsidR="005366D3">
              <w:rPr>
                <w:rFonts w:ascii="Arial" w:hAnsi="Arial" w:cs="Arial"/>
                <w:lang w:val="en-GB"/>
              </w:rPr>
              <w:t>This research aims</w:t>
            </w:r>
            <w:r w:rsidR="00706CAB" w:rsidRPr="00706CAB">
              <w:rPr>
                <w:rFonts w:ascii="Arial" w:hAnsi="Arial" w:cs="Arial"/>
                <w:lang w:val="en-GB"/>
              </w:rPr>
              <w:t xml:space="preserve"> to explore how developmental learning disorder with impairment in reading, commonly known as dyslexia, affects individuals’ experiences of health and social care in the United Kingdom.</w:t>
            </w:r>
          </w:p>
          <w:p w14:paraId="21EE5DE0" w14:textId="455407D6" w:rsidR="00860159" w:rsidRDefault="00706CAB" w:rsidP="00706CAB">
            <w:pPr>
              <w:spacing w:line="360" w:lineRule="auto"/>
              <w:rPr>
                <w:rFonts w:ascii="Arial" w:hAnsi="Arial" w:cs="Arial"/>
                <w:lang w:val="en-GB"/>
              </w:rPr>
            </w:pPr>
            <w:r w:rsidRPr="00706CAB">
              <w:rPr>
                <w:rFonts w:ascii="Arial" w:hAnsi="Arial" w:cs="Arial"/>
                <w:lang w:val="en-GB"/>
              </w:rPr>
              <w:t xml:space="preserve"> </w:t>
            </w:r>
            <w:r w:rsidR="00860159">
              <w:rPr>
                <w:rFonts w:ascii="Arial" w:hAnsi="Arial" w:cs="Arial"/>
                <w:lang w:val="en-GB"/>
              </w:rPr>
              <w:t xml:space="preserve">2. </w:t>
            </w:r>
            <w:r w:rsidRPr="00706CAB">
              <w:rPr>
                <w:rFonts w:ascii="Arial" w:hAnsi="Arial" w:cs="Arial"/>
                <w:lang w:val="en-GB"/>
              </w:rPr>
              <w:t xml:space="preserve">The study will examine the challenges </w:t>
            </w:r>
            <w:r w:rsidR="005366D3">
              <w:rPr>
                <w:rFonts w:ascii="Arial" w:hAnsi="Arial" w:cs="Arial"/>
                <w:lang w:val="en-GB"/>
              </w:rPr>
              <w:t>of reading health information, communicating with professionals,</w:t>
            </w:r>
            <w:r w:rsidRPr="00706CAB">
              <w:rPr>
                <w:rFonts w:ascii="Arial" w:hAnsi="Arial" w:cs="Arial"/>
                <w:lang w:val="en-GB"/>
              </w:rPr>
              <w:t xml:space="preserve"> and accessing appropriate support.</w:t>
            </w:r>
          </w:p>
          <w:p w14:paraId="70824F5E" w14:textId="570CC7EA" w:rsidR="00706CAB" w:rsidRPr="00706CAB" w:rsidRDefault="00706CAB" w:rsidP="00706CAB">
            <w:pPr>
              <w:spacing w:line="360" w:lineRule="auto"/>
              <w:rPr>
                <w:rFonts w:ascii="Arial" w:hAnsi="Arial" w:cs="Arial"/>
                <w:lang w:val="en-GB"/>
              </w:rPr>
            </w:pPr>
            <w:r w:rsidRPr="00706CAB">
              <w:rPr>
                <w:rFonts w:ascii="Arial" w:hAnsi="Arial" w:cs="Arial"/>
                <w:lang w:val="en-GB"/>
              </w:rPr>
              <w:t xml:space="preserve"> </w:t>
            </w:r>
            <w:r w:rsidR="00860159">
              <w:rPr>
                <w:rFonts w:ascii="Arial" w:hAnsi="Arial" w:cs="Arial"/>
                <w:lang w:val="en-GB"/>
              </w:rPr>
              <w:t xml:space="preserve">3. </w:t>
            </w:r>
            <w:r w:rsidRPr="00706CAB">
              <w:rPr>
                <w:rFonts w:ascii="Arial" w:hAnsi="Arial" w:cs="Arial"/>
                <w:lang w:val="en-GB"/>
              </w:rPr>
              <w:t>It will also consider how person-centred care, reasonable adjustments and multidisciplinary collaboration can improve service accessibility and promote equality.</w:t>
            </w:r>
            <w:r w:rsidRPr="00706CAB">
              <w:rPr>
                <w:rFonts w:ascii="Arial" w:hAnsi="Arial" w:cs="Arial"/>
                <w:lang w:val="en-GB"/>
              </w:rPr>
              <w:br/>
            </w:r>
          </w:p>
          <w:p w14:paraId="522BB425" w14:textId="79A9C913" w:rsidR="00706CAB" w:rsidRPr="00706CAB" w:rsidRDefault="00706CAB" w:rsidP="00706CAB">
            <w:pPr>
              <w:spacing w:line="360" w:lineRule="auto"/>
              <w:rPr>
                <w:rFonts w:ascii="Arial" w:hAnsi="Arial" w:cs="Arial"/>
                <w:lang w:val="en-GB"/>
              </w:rPr>
            </w:pPr>
            <w:r w:rsidRPr="00706CAB">
              <w:rPr>
                <w:rFonts w:ascii="Arial" w:hAnsi="Arial" w:cs="Arial"/>
                <w:lang w:val="en-GB"/>
              </w:rPr>
              <w:t xml:space="preserve">Dyslexia primarily affects reading, spelling and written language processing, but it does not indicate low intelligence. Individuals may </w:t>
            </w:r>
            <w:r w:rsidR="00D934AA">
              <w:rPr>
                <w:rFonts w:ascii="Arial" w:hAnsi="Arial" w:cs="Arial"/>
                <w:lang w:val="en-GB"/>
              </w:rPr>
              <w:t>struggle to understand written instructions, complete forms, and interpret</w:t>
            </w:r>
            <w:r w:rsidRPr="00706CAB">
              <w:rPr>
                <w:rFonts w:ascii="Arial" w:hAnsi="Arial" w:cs="Arial"/>
                <w:lang w:val="en-GB"/>
              </w:rPr>
              <w:t xml:space="preserve"> health information (NHS, 2026). </w:t>
            </w:r>
          </w:p>
          <w:p w14:paraId="646D5584" w14:textId="5CB481AB" w:rsidR="00706CAB" w:rsidRPr="00EB6F36" w:rsidRDefault="00706CAB" w:rsidP="00EB6F36">
            <w:pPr>
              <w:rPr>
                <w:rFonts w:ascii="Arial" w:hAnsi="Arial" w:cs="Arial"/>
              </w:rPr>
            </w:pPr>
          </w:p>
        </w:tc>
        <w:tc>
          <w:tcPr>
            <w:tcW w:w="613" w:type="dxa"/>
            <w:vMerge w:val="restart"/>
          </w:tcPr>
          <w:p w14:paraId="51769EE4" w14:textId="77777777" w:rsidR="00346FFA" w:rsidRPr="00EB6F36" w:rsidRDefault="00346FFA" w:rsidP="00B67824">
            <w:pPr>
              <w:rPr>
                <w:rFonts w:ascii="Arial" w:hAnsi="Arial" w:cs="Arial"/>
                <w:noProof/>
              </w:rPr>
            </w:pPr>
          </w:p>
        </w:tc>
        <w:tc>
          <w:tcPr>
            <w:tcW w:w="7821" w:type="dxa"/>
            <w:vAlign w:val="center"/>
          </w:tcPr>
          <w:p w14:paraId="4EBA66EC" w14:textId="4EB50238" w:rsidR="00346FFA" w:rsidRPr="00EB6F36" w:rsidRDefault="005366D3" w:rsidP="00EB6F36">
            <w:pPr>
              <w:rPr>
                <w:rFonts w:ascii="Arial" w:hAnsi="Arial" w:cs="Arial"/>
                <w:noProof/>
              </w:rPr>
            </w:pPr>
            <w:r>
              <w:rPr>
                <w:noProof/>
              </w:rPr>
              <w:drawing>
                <wp:inline distT="0" distB="0" distL="0" distR="0" wp14:anchorId="11230BAB" wp14:editId="08835320">
                  <wp:extent cx="5982335" cy="6144895"/>
                  <wp:effectExtent l="0" t="0" r="0" b="8255"/>
                  <wp:docPr id="8" name="Picture 4" descr="People with learning disabilities 2026 update | Surrey-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eople with learning disabilities 2026 update | Surrey-i"/>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82335" cy="6144895"/>
                          </a:xfrm>
                          <a:prstGeom prst="rect">
                            <a:avLst/>
                          </a:prstGeom>
                          <a:noFill/>
                          <a:ln>
                            <a:noFill/>
                          </a:ln>
                        </pic:spPr>
                      </pic:pic>
                    </a:graphicData>
                  </a:graphic>
                </wp:inline>
              </w:drawing>
            </w:r>
          </w:p>
        </w:tc>
      </w:tr>
      <w:tr w:rsidR="00346FFA" w:rsidRPr="00EB6F36" w14:paraId="6595EC5A" w14:textId="77777777" w:rsidTr="00275F23">
        <w:trPr>
          <w:trHeight w:val="272"/>
          <w:jc w:val="center"/>
        </w:trPr>
        <w:tc>
          <w:tcPr>
            <w:tcW w:w="7725" w:type="dxa"/>
          </w:tcPr>
          <w:p w14:paraId="29C6DD9B" w14:textId="77777777" w:rsidR="00346FFA" w:rsidRPr="00EB6F36" w:rsidRDefault="00346FFA" w:rsidP="00B67824">
            <w:pPr>
              <w:rPr>
                <w:rFonts w:ascii="Arial" w:hAnsi="Arial" w:cs="Arial"/>
                <w:noProof/>
              </w:rPr>
            </w:pPr>
          </w:p>
        </w:tc>
        <w:tc>
          <w:tcPr>
            <w:tcW w:w="709" w:type="dxa"/>
            <w:vMerge/>
          </w:tcPr>
          <w:p w14:paraId="4D303ECD" w14:textId="77777777" w:rsidR="00346FFA" w:rsidRPr="00EB6F36" w:rsidRDefault="00346FFA" w:rsidP="00B67824">
            <w:pPr>
              <w:rPr>
                <w:rFonts w:ascii="Arial" w:hAnsi="Arial" w:cs="Arial"/>
                <w:noProof/>
              </w:rPr>
            </w:pPr>
          </w:p>
        </w:tc>
        <w:tc>
          <w:tcPr>
            <w:tcW w:w="7667" w:type="dxa"/>
            <w:vMerge/>
          </w:tcPr>
          <w:p w14:paraId="4EE620DA" w14:textId="77777777" w:rsidR="00346FFA" w:rsidRPr="00EB6F36" w:rsidRDefault="00346FFA" w:rsidP="00B67824">
            <w:pPr>
              <w:rPr>
                <w:rFonts w:ascii="Arial" w:eastAsia="Century Gothic" w:hAnsi="Arial" w:cs="Arial"/>
                <w:b/>
                <w:noProof/>
                <w:color w:val="FFFFFF"/>
                <w:sz w:val="24"/>
              </w:rPr>
            </w:pPr>
          </w:p>
        </w:tc>
        <w:tc>
          <w:tcPr>
            <w:tcW w:w="613" w:type="dxa"/>
            <w:vMerge/>
          </w:tcPr>
          <w:p w14:paraId="6D8737FD" w14:textId="77777777" w:rsidR="00346FFA" w:rsidRPr="00EB6F36" w:rsidRDefault="00346FFA" w:rsidP="00B67824">
            <w:pPr>
              <w:rPr>
                <w:rFonts w:ascii="Arial" w:hAnsi="Arial" w:cs="Arial"/>
                <w:noProof/>
              </w:rPr>
            </w:pPr>
          </w:p>
        </w:tc>
        <w:tc>
          <w:tcPr>
            <w:tcW w:w="7821" w:type="dxa"/>
          </w:tcPr>
          <w:p w14:paraId="777BDB38" w14:textId="77777777" w:rsidR="00346FFA" w:rsidRPr="00EB6F36" w:rsidRDefault="00346FFA" w:rsidP="00346FFA">
            <w:pPr>
              <w:pStyle w:val="NoSpacing"/>
              <w:rPr>
                <w:rFonts w:ascii="Arial" w:hAnsi="Arial" w:cs="Arial"/>
              </w:rPr>
            </w:pPr>
          </w:p>
        </w:tc>
      </w:tr>
      <w:tr w:rsidR="004642F0" w:rsidRPr="00EB6F36" w14:paraId="6C436F7A" w14:textId="77777777" w:rsidTr="00275F23">
        <w:trPr>
          <w:trHeight w:val="473"/>
          <w:jc w:val="center"/>
        </w:trPr>
        <w:tc>
          <w:tcPr>
            <w:tcW w:w="7725" w:type="dxa"/>
            <w:vMerge w:val="restart"/>
          </w:tcPr>
          <w:p w14:paraId="388333B3" w14:textId="49FA44DE" w:rsidR="00EB6F36" w:rsidRPr="00275F23" w:rsidRDefault="00706CAB" w:rsidP="00706CAB">
            <w:pPr>
              <w:spacing w:line="360" w:lineRule="auto"/>
              <w:rPr>
                <w:rFonts w:ascii="Arial" w:hAnsi="Arial" w:cs="Arial"/>
                <w:sz w:val="28"/>
                <w:szCs w:val="28"/>
              </w:rPr>
            </w:pPr>
            <w:r w:rsidRPr="00275F23">
              <w:rPr>
                <w:rFonts w:ascii="Arial" w:hAnsi="Arial" w:cs="Arial"/>
                <w:sz w:val="28"/>
                <w:szCs w:val="28"/>
              </w:rPr>
              <w:t>Methodology</w:t>
            </w:r>
          </w:p>
          <w:p w14:paraId="5474D162" w14:textId="2A5717C2" w:rsidR="00D74107" w:rsidRDefault="00FA4395" w:rsidP="00706CAB">
            <w:pPr>
              <w:spacing w:line="360" w:lineRule="auto"/>
              <w:rPr>
                <w:rFonts w:ascii="Arial" w:hAnsi="Arial" w:cs="Arial"/>
                <w:lang w:val="en-GB"/>
              </w:rPr>
            </w:pPr>
            <w:r w:rsidRPr="00FA4395">
              <w:rPr>
                <w:rFonts w:ascii="Arial" w:hAnsi="Arial" w:cs="Arial"/>
                <w:lang w:val="en-GB"/>
              </w:rPr>
              <w:t>This project will adopt a qualitative secondary research design, using existing published evidence rather than collecting new information directly from participants. A qualitative approach is appropriate because it enables an in-depth exploration of lived experiences, professional perspectives and barriers to inclusive care. The research will focus on literature published between 2016 and 2026</w:t>
            </w:r>
            <w:r w:rsidR="00860159">
              <w:rPr>
                <w:rFonts w:ascii="Arial" w:hAnsi="Arial" w:cs="Arial"/>
                <w:lang w:val="en-GB"/>
              </w:rPr>
              <w:t xml:space="preserve"> </w:t>
            </w:r>
            <w:r w:rsidR="00860159" w:rsidRPr="00860159">
              <w:rPr>
                <w:rFonts w:ascii="Arial" w:hAnsi="Arial" w:cs="Arial"/>
              </w:rPr>
              <w:t>(Department for Education, 2026)</w:t>
            </w:r>
            <w:r w:rsidR="00860159">
              <w:rPr>
                <w:rFonts w:ascii="Arial" w:hAnsi="Arial" w:cs="Arial"/>
              </w:rPr>
              <w:t>.</w:t>
            </w:r>
            <w:r w:rsidRPr="00FA4395">
              <w:rPr>
                <w:rFonts w:ascii="Arial" w:hAnsi="Arial" w:cs="Arial"/>
                <w:lang w:val="en-GB"/>
              </w:rPr>
              <w:br/>
            </w:r>
          </w:p>
          <w:p w14:paraId="2653BB8F" w14:textId="2F57968E" w:rsidR="00FA4395" w:rsidRPr="00FA4395" w:rsidRDefault="00FA4395" w:rsidP="00706CAB">
            <w:pPr>
              <w:spacing w:line="360" w:lineRule="auto"/>
              <w:rPr>
                <w:rFonts w:ascii="Arial" w:hAnsi="Arial" w:cs="Arial"/>
                <w:lang w:val="en-GB"/>
              </w:rPr>
            </w:pPr>
            <w:r w:rsidRPr="00FA4395">
              <w:rPr>
                <w:rFonts w:ascii="Arial" w:hAnsi="Arial" w:cs="Arial"/>
                <w:lang w:val="en-GB"/>
              </w:rPr>
              <w:t>The study will use a structured literature review approach to identify and critically examine relevant evidence. This will include peer-reviewed journal articles, NHS publications, UK government guidance and research indexed in PubMed and Google Scholar. Evidence will be selected according to its relevance to dyslexia, reading impairment, health literacy, accessibility and health and social care practice</w:t>
            </w:r>
            <w:r w:rsidR="00860159">
              <w:rPr>
                <w:rFonts w:ascii="Arial" w:hAnsi="Arial" w:cs="Arial"/>
                <w:lang w:val="en-GB"/>
              </w:rPr>
              <w:t xml:space="preserve"> </w:t>
            </w:r>
            <w:r w:rsidR="00860159" w:rsidRPr="00860159">
              <w:rPr>
                <w:rFonts w:ascii="Arial" w:hAnsi="Arial" w:cs="Arial"/>
              </w:rPr>
              <w:t>(Crouch, 2019)</w:t>
            </w:r>
            <w:r w:rsidR="00860159">
              <w:rPr>
                <w:rFonts w:ascii="Arial" w:hAnsi="Arial" w:cs="Arial"/>
              </w:rPr>
              <w:t>.</w:t>
            </w:r>
            <w:r w:rsidRPr="00FA4395">
              <w:rPr>
                <w:rFonts w:ascii="Arial" w:hAnsi="Arial" w:cs="Arial"/>
                <w:lang w:val="en-GB"/>
              </w:rPr>
              <w:br/>
            </w:r>
          </w:p>
          <w:p w14:paraId="754F29BF" w14:textId="77777777" w:rsidR="00FA4395" w:rsidRPr="00FA4395" w:rsidRDefault="00FA4395" w:rsidP="00706CAB">
            <w:pPr>
              <w:spacing w:line="360" w:lineRule="auto"/>
              <w:rPr>
                <w:rFonts w:ascii="Arial" w:hAnsi="Arial" w:cs="Arial"/>
                <w:lang w:val="en-GB"/>
              </w:rPr>
            </w:pPr>
            <w:r w:rsidRPr="00FA4395">
              <w:rPr>
                <w:rFonts w:ascii="Arial" w:hAnsi="Arial" w:cs="Arial"/>
                <w:lang w:val="en-GB"/>
              </w:rPr>
              <w:t>The review will also consider how health and social care professionals can identify communication needs and adapt their practice to support individuals with specific learning difficulties. NHS guidance highlights the importance of appropriate assessment, educational support and individualised interventions for children experiencing dyslexia (NHS, 2026). </w:t>
            </w:r>
          </w:p>
          <w:p w14:paraId="0F537117" w14:textId="77777777" w:rsidR="00FA4395" w:rsidRDefault="00FA4395" w:rsidP="00706CAB">
            <w:pPr>
              <w:spacing w:line="360" w:lineRule="auto"/>
              <w:rPr>
                <w:rFonts w:ascii="Arial" w:hAnsi="Arial" w:cs="Arial"/>
              </w:rPr>
            </w:pPr>
          </w:p>
          <w:p w14:paraId="5DC46BF7" w14:textId="77777777" w:rsidR="00EB6F36" w:rsidRPr="00EB6F36" w:rsidRDefault="00EB6F36" w:rsidP="00706CAB">
            <w:pPr>
              <w:spacing w:line="360" w:lineRule="auto"/>
              <w:rPr>
                <w:rFonts w:ascii="Arial" w:hAnsi="Arial" w:cs="Arial"/>
              </w:rPr>
            </w:pPr>
          </w:p>
          <w:p w14:paraId="766CB3C2" w14:textId="24E786B8" w:rsidR="00EB6F36" w:rsidRPr="00EB6F36" w:rsidRDefault="00EB6F36" w:rsidP="00EB6F36">
            <w:pPr>
              <w:rPr>
                <w:rFonts w:ascii="Arial" w:hAnsi="Arial" w:cs="Arial"/>
              </w:rPr>
            </w:pPr>
          </w:p>
        </w:tc>
        <w:tc>
          <w:tcPr>
            <w:tcW w:w="709" w:type="dxa"/>
            <w:vMerge/>
            <w:tcMar>
              <w:top w:w="29" w:type="dxa"/>
              <w:left w:w="29" w:type="dxa"/>
              <w:bottom w:w="29" w:type="dxa"/>
              <w:right w:w="29" w:type="dxa"/>
            </w:tcMar>
            <w:vAlign w:val="center"/>
          </w:tcPr>
          <w:p w14:paraId="433904C6" w14:textId="77777777" w:rsidR="004642F0" w:rsidRPr="00EB6F36" w:rsidRDefault="004642F0" w:rsidP="00B67824">
            <w:pPr>
              <w:pStyle w:val="NoSpacing"/>
              <w:jc w:val="center"/>
              <w:rPr>
                <w:rFonts w:ascii="Arial" w:hAnsi="Arial" w:cs="Arial"/>
                <w:noProof/>
              </w:rPr>
            </w:pPr>
          </w:p>
        </w:tc>
        <w:tc>
          <w:tcPr>
            <w:tcW w:w="7667" w:type="dxa"/>
            <w:vMerge/>
            <w:vAlign w:val="center"/>
          </w:tcPr>
          <w:p w14:paraId="7D78FDF6" w14:textId="77777777" w:rsidR="004642F0" w:rsidRPr="00EB6F36" w:rsidRDefault="004642F0" w:rsidP="00B67824">
            <w:pPr>
              <w:pStyle w:val="NoSpacing"/>
              <w:jc w:val="center"/>
              <w:rPr>
                <w:rFonts w:ascii="Arial" w:hAnsi="Arial" w:cs="Arial"/>
                <w:noProof/>
              </w:rPr>
            </w:pPr>
          </w:p>
        </w:tc>
        <w:tc>
          <w:tcPr>
            <w:tcW w:w="613" w:type="dxa"/>
            <w:vMerge/>
            <w:vAlign w:val="center"/>
          </w:tcPr>
          <w:p w14:paraId="25B3C4FF" w14:textId="77777777" w:rsidR="004642F0" w:rsidRPr="00EB6F36" w:rsidRDefault="004642F0" w:rsidP="00B67824">
            <w:pPr>
              <w:pStyle w:val="NoSpacing"/>
              <w:jc w:val="center"/>
              <w:rPr>
                <w:rFonts w:ascii="Arial" w:hAnsi="Arial" w:cs="Arial"/>
                <w:noProof/>
              </w:rPr>
            </w:pPr>
          </w:p>
        </w:tc>
        <w:tc>
          <w:tcPr>
            <w:tcW w:w="7821" w:type="dxa"/>
            <w:vMerge w:val="restart"/>
          </w:tcPr>
          <w:p w14:paraId="7C994393" w14:textId="01606B7F" w:rsidR="00B67824" w:rsidRPr="00706CAB" w:rsidRDefault="005366D3" w:rsidP="00706CAB">
            <w:pPr>
              <w:pStyle w:val="Heading1"/>
              <w:spacing w:line="360" w:lineRule="auto"/>
              <w:rPr>
                <w:rStyle w:val="Heading1Char"/>
                <w:rFonts w:ascii="Arial" w:hAnsi="Arial" w:cs="Arial"/>
                <w:b/>
                <w:sz w:val="22"/>
              </w:rPr>
            </w:pPr>
            <w:r w:rsidRPr="00275F23">
              <w:rPr>
                <w:rFonts w:ascii="Arial" w:hAnsi="Arial" w:cs="Arial"/>
                <w:szCs w:val="28"/>
              </w:rPr>
              <w:t>Data Analysis Method</w:t>
            </w:r>
            <w:r w:rsidRPr="00706CAB">
              <w:rPr>
                <w:rFonts w:ascii="Arial" w:hAnsi="Arial" w:cs="Arial"/>
                <w:sz w:val="22"/>
              </w:rPr>
              <w:t>.</w:t>
            </w:r>
          </w:p>
          <w:p w14:paraId="10CD19C0" w14:textId="2A0DD737" w:rsidR="00FA4395" w:rsidRPr="00706CAB" w:rsidRDefault="00FA4395" w:rsidP="00706CAB">
            <w:pPr>
              <w:spacing w:line="360" w:lineRule="auto"/>
              <w:rPr>
                <w:rFonts w:ascii="Arial" w:hAnsi="Arial" w:cs="Arial"/>
                <w:lang w:val="en-GB"/>
              </w:rPr>
            </w:pPr>
            <w:r w:rsidRPr="00706CAB">
              <w:rPr>
                <w:rFonts w:ascii="Arial" w:hAnsi="Arial" w:cs="Arial"/>
                <w:lang w:val="en-GB"/>
              </w:rPr>
              <w:t xml:space="preserve">The collected evidence will be examined using thematic analysis, which involves identifying recurring patterns and organising findings into meaningful themes. </w:t>
            </w:r>
            <w:r w:rsidR="00D934AA">
              <w:rPr>
                <w:rFonts w:ascii="Arial" w:hAnsi="Arial" w:cs="Arial"/>
                <w:lang w:val="en-GB"/>
              </w:rPr>
              <w:t xml:space="preserve">This </w:t>
            </w:r>
            <w:r w:rsidRPr="00706CAB">
              <w:rPr>
                <w:rFonts w:ascii="Arial" w:hAnsi="Arial" w:cs="Arial"/>
                <w:lang w:val="en-GB"/>
              </w:rPr>
              <w:t>approach will guide familiarisation with the literature, initial coding, theme development, theme review and interpretation.</w:t>
            </w:r>
            <w:r w:rsidRPr="00706CAB">
              <w:rPr>
                <w:rFonts w:ascii="Arial" w:hAnsi="Arial" w:cs="Arial"/>
                <w:lang w:val="en-GB"/>
              </w:rPr>
              <w:br/>
            </w:r>
          </w:p>
          <w:p w14:paraId="27618250" w14:textId="77777777" w:rsidR="00FA4395" w:rsidRPr="00706CAB" w:rsidRDefault="00FA4395" w:rsidP="00706CAB">
            <w:pPr>
              <w:spacing w:line="360" w:lineRule="auto"/>
              <w:rPr>
                <w:rFonts w:ascii="Arial" w:hAnsi="Arial" w:cs="Arial"/>
                <w:lang w:val="en-GB"/>
              </w:rPr>
            </w:pPr>
            <w:r w:rsidRPr="00706CAB">
              <w:rPr>
                <w:rFonts w:ascii="Arial" w:hAnsi="Arial" w:cs="Arial"/>
                <w:lang w:val="en-GB"/>
              </w:rPr>
              <w:t>Potential themes include communication barriers, access to written health information, stigma, professional awareness and reasonable adjustments. Findings from different sources will be compared to identify similarities, differences and gaps in current knowledge. Critical appraisal will consider research credibility, methodological transparency, relevance to UK services and potential bias.</w:t>
            </w:r>
            <w:r w:rsidRPr="00706CAB">
              <w:rPr>
                <w:rFonts w:ascii="Arial" w:hAnsi="Arial" w:cs="Arial"/>
                <w:lang w:val="en-GB"/>
              </w:rPr>
              <w:br/>
            </w:r>
          </w:p>
          <w:p w14:paraId="62D10D4E" w14:textId="77777777" w:rsidR="00FA4395" w:rsidRPr="00FA4395" w:rsidRDefault="00FA4395" w:rsidP="00706CAB">
            <w:pPr>
              <w:spacing w:line="360" w:lineRule="auto"/>
              <w:rPr>
                <w:rFonts w:ascii="Arial" w:hAnsi="Arial" w:cs="Arial"/>
                <w:lang w:val="en-GB"/>
              </w:rPr>
            </w:pPr>
            <w:r w:rsidRPr="00706CAB">
              <w:rPr>
                <w:rFonts w:ascii="Arial" w:hAnsi="Arial" w:cs="Arial"/>
                <w:lang w:val="en-GB"/>
              </w:rPr>
              <w:t>The analysis will distinguish dyslexia from intellectual disability because reading impairment does not necessarily involve reduced intellectual functioning. Government guidance confirms that reasonable adjustments should address individual barriers</w:t>
            </w:r>
            <w:r w:rsidRPr="00FA4395">
              <w:rPr>
                <w:rFonts w:ascii="Arial" w:hAnsi="Arial" w:cs="Arial"/>
                <w:lang w:val="en-GB"/>
              </w:rPr>
              <w:t xml:space="preserve"> to accessing services (Public Health England, 2020). </w:t>
            </w:r>
          </w:p>
          <w:p w14:paraId="59F26462" w14:textId="77777777" w:rsidR="00FA4395" w:rsidRDefault="00FA4395" w:rsidP="00EB6F36">
            <w:pPr>
              <w:rPr>
                <w:rFonts w:ascii="Arial" w:hAnsi="Arial" w:cs="Arial"/>
              </w:rPr>
            </w:pPr>
          </w:p>
          <w:p w14:paraId="3B0643C3" w14:textId="77777777" w:rsidR="00EB6F36" w:rsidRDefault="00EB6F36" w:rsidP="00EB6F36">
            <w:pPr>
              <w:rPr>
                <w:rFonts w:ascii="Arial" w:hAnsi="Arial" w:cs="Arial"/>
              </w:rPr>
            </w:pPr>
          </w:p>
          <w:p w14:paraId="0531830E" w14:textId="77777777" w:rsidR="00EB6F36" w:rsidRDefault="00EB6F36" w:rsidP="00EB6F36">
            <w:pPr>
              <w:rPr>
                <w:rFonts w:ascii="Arial" w:hAnsi="Arial" w:cs="Arial"/>
              </w:rPr>
            </w:pPr>
          </w:p>
          <w:p w14:paraId="01A90E3F" w14:textId="77777777" w:rsidR="00EB6F36" w:rsidRPr="00EB6F36" w:rsidRDefault="00EB6F36" w:rsidP="00EB6F36">
            <w:pPr>
              <w:rPr>
                <w:rFonts w:ascii="Arial" w:hAnsi="Arial" w:cs="Arial"/>
              </w:rPr>
            </w:pPr>
          </w:p>
          <w:p w14:paraId="10F718B4" w14:textId="3F65F87C" w:rsidR="00B67824" w:rsidRPr="00275F23" w:rsidRDefault="005366D3" w:rsidP="005366D3">
            <w:pPr>
              <w:pStyle w:val="Heading1"/>
              <w:rPr>
                <w:rFonts w:ascii="Arial" w:hAnsi="Arial" w:cs="Arial"/>
                <w:szCs w:val="28"/>
              </w:rPr>
            </w:pPr>
            <w:r w:rsidRPr="00275F23">
              <w:rPr>
                <w:rFonts w:ascii="Arial" w:hAnsi="Arial" w:cs="Arial"/>
                <w:szCs w:val="28"/>
              </w:rPr>
              <w:t xml:space="preserve">Ethical considerations </w:t>
            </w:r>
          </w:p>
          <w:p w14:paraId="1BF7CC33" w14:textId="77777777" w:rsidR="00706CAB" w:rsidRPr="00706CAB" w:rsidRDefault="00706CAB" w:rsidP="00706CAB">
            <w:pPr>
              <w:spacing w:line="360" w:lineRule="auto"/>
              <w:rPr>
                <w:rFonts w:ascii="Arial" w:hAnsi="Arial" w:cs="Arial"/>
                <w:lang w:val="en-GB"/>
              </w:rPr>
            </w:pPr>
            <w:r w:rsidRPr="00706CAB">
              <w:rPr>
                <w:rFonts w:ascii="Arial" w:hAnsi="Arial" w:cs="Arial"/>
                <w:lang w:val="en-GB"/>
              </w:rPr>
              <w:t>Although secondary research does not involve direct recruitment, ethical standards remain essential. Only legitimate, publicly accessible or institutionally available sources will be used, and all material will be accurately cited using UWTSD Harvard referencing. Findings will be represented fairly without changing authors’ intended meanings or presenting unsupported conclusions.</w:t>
            </w:r>
          </w:p>
          <w:p w14:paraId="727B7C17" w14:textId="0C6191AE" w:rsidR="00706CAB" w:rsidRPr="00706CAB" w:rsidRDefault="00706CAB" w:rsidP="00706CAB">
            <w:pPr>
              <w:spacing w:line="360" w:lineRule="auto"/>
              <w:rPr>
                <w:rFonts w:ascii="Arial" w:hAnsi="Arial" w:cs="Arial"/>
                <w:lang w:val="en-GB"/>
              </w:rPr>
            </w:pPr>
            <w:r w:rsidRPr="00706CAB">
              <w:rPr>
                <w:rFonts w:ascii="Arial" w:hAnsi="Arial" w:cs="Arial"/>
                <w:lang w:val="en-GB"/>
              </w:rPr>
              <w:t>The researcher will avoid stigmatising language and recognise individual differences in reading ability, communication preferences and support requirements. Confidentiality will be respected when examining published accounts, particularly where individuals discuss sensitive experiences. Copyright requirements will be observed through appropriate paraphrasing and attribution.</w:t>
            </w:r>
            <w:r w:rsidRPr="00706CAB">
              <w:rPr>
                <w:rFonts w:ascii="Arial" w:hAnsi="Arial" w:cs="Arial"/>
                <w:lang w:val="en-GB"/>
              </w:rPr>
              <w:br/>
            </w:r>
          </w:p>
          <w:p w14:paraId="4D4507A7" w14:textId="36DAB73F" w:rsidR="00706CAB" w:rsidRPr="00EB6F36" w:rsidRDefault="00706CAB" w:rsidP="00990E76">
            <w:pPr>
              <w:rPr>
                <w:rFonts w:ascii="Arial" w:hAnsi="Arial" w:cs="Arial"/>
              </w:rPr>
            </w:pPr>
          </w:p>
        </w:tc>
      </w:tr>
      <w:tr w:rsidR="004642F0" w:rsidRPr="00EB6F36" w14:paraId="7D852EB3" w14:textId="77777777" w:rsidTr="00275F23">
        <w:trPr>
          <w:trHeight w:val="60"/>
          <w:jc w:val="center"/>
        </w:trPr>
        <w:tc>
          <w:tcPr>
            <w:tcW w:w="7725" w:type="dxa"/>
            <w:vMerge/>
          </w:tcPr>
          <w:p w14:paraId="7218850B" w14:textId="77777777" w:rsidR="004642F0" w:rsidRPr="00EB6F36" w:rsidRDefault="004642F0" w:rsidP="00B67824">
            <w:pPr>
              <w:rPr>
                <w:rFonts w:ascii="Arial" w:hAnsi="Arial" w:cs="Arial"/>
                <w:noProof/>
              </w:rPr>
            </w:pPr>
          </w:p>
        </w:tc>
        <w:tc>
          <w:tcPr>
            <w:tcW w:w="709" w:type="dxa"/>
            <w:vMerge/>
          </w:tcPr>
          <w:p w14:paraId="31B4DC3A" w14:textId="77777777" w:rsidR="004642F0" w:rsidRPr="00EB6F36" w:rsidRDefault="004642F0" w:rsidP="00B67824">
            <w:pPr>
              <w:rPr>
                <w:rFonts w:ascii="Arial" w:hAnsi="Arial" w:cs="Arial"/>
                <w:noProof/>
              </w:rPr>
            </w:pPr>
          </w:p>
        </w:tc>
        <w:tc>
          <w:tcPr>
            <w:tcW w:w="7667" w:type="dxa"/>
          </w:tcPr>
          <w:p w14:paraId="02715FD6" w14:textId="77777777" w:rsidR="004642F0" w:rsidRPr="00EB6F36" w:rsidRDefault="004642F0" w:rsidP="00C46111">
            <w:pPr>
              <w:rPr>
                <w:rFonts w:ascii="Arial" w:hAnsi="Arial" w:cs="Arial"/>
                <w:noProof/>
              </w:rPr>
            </w:pPr>
          </w:p>
        </w:tc>
        <w:tc>
          <w:tcPr>
            <w:tcW w:w="613" w:type="dxa"/>
            <w:vMerge/>
          </w:tcPr>
          <w:p w14:paraId="52764226" w14:textId="77777777" w:rsidR="004642F0" w:rsidRPr="00EB6F36" w:rsidRDefault="004642F0" w:rsidP="00B67824">
            <w:pPr>
              <w:rPr>
                <w:rFonts w:ascii="Arial" w:hAnsi="Arial" w:cs="Arial"/>
                <w:noProof/>
              </w:rPr>
            </w:pPr>
          </w:p>
        </w:tc>
        <w:tc>
          <w:tcPr>
            <w:tcW w:w="7821" w:type="dxa"/>
            <w:vMerge/>
          </w:tcPr>
          <w:p w14:paraId="1DD4887F" w14:textId="77777777" w:rsidR="004642F0" w:rsidRPr="00EB6F36" w:rsidRDefault="004642F0" w:rsidP="004642F0">
            <w:pPr>
              <w:rPr>
                <w:rFonts w:ascii="Arial" w:hAnsi="Arial" w:cs="Arial"/>
                <w:sz w:val="21"/>
              </w:rPr>
            </w:pPr>
          </w:p>
        </w:tc>
      </w:tr>
      <w:tr w:rsidR="004642F0" w:rsidRPr="00EB6F36" w14:paraId="6FE6E81E" w14:textId="77777777" w:rsidTr="00275F23">
        <w:trPr>
          <w:trHeight w:val="6431"/>
          <w:jc w:val="center"/>
        </w:trPr>
        <w:tc>
          <w:tcPr>
            <w:tcW w:w="7725" w:type="dxa"/>
            <w:vMerge/>
          </w:tcPr>
          <w:p w14:paraId="795D7C90" w14:textId="77777777" w:rsidR="004642F0" w:rsidRPr="00EB6F36" w:rsidRDefault="004642F0" w:rsidP="00B67824">
            <w:pPr>
              <w:rPr>
                <w:rFonts w:ascii="Arial" w:hAnsi="Arial" w:cs="Arial"/>
                <w:noProof/>
              </w:rPr>
            </w:pPr>
          </w:p>
        </w:tc>
        <w:tc>
          <w:tcPr>
            <w:tcW w:w="709" w:type="dxa"/>
            <w:vMerge/>
          </w:tcPr>
          <w:p w14:paraId="1280A41D" w14:textId="77777777" w:rsidR="004642F0" w:rsidRPr="00EB6F36" w:rsidRDefault="004642F0" w:rsidP="00B67824">
            <w:pPr>
              <w:rPr>
                <w:rFonts w:ascii="Arial" w:hAnsi="Arial" w:cs="Arial"/>
                <w:noProof/>
              </w:rPr>
            </w:pPr>
          </w:p>
        </w:tc>
        <w:tc>
          <w:tcPr>
            <w:tcW w:w="7667" w:type="dxa"/>
          </w:tcPr>
          <w:p w14:paraId="1F9B8F03" w14:textId="697053AB" w:rsidR="00EB6F36" w:rsidRPr="00EB6F36" w:rsidRDefault="005366D3" w:rsidP="00EB6F36">
            <w:pPr>
              <w:pStyle w:val="Heading1"/>
              <w:rPr>
                <w:rStyle w:val="Heading1Char"/>
                <w:rFonts w:ascii="Arial" w:hAnsi="Arial" w:cs="Arial"/>
                <w:b/>
              </w:rPr>
            </w:pPr>
            <w:r>
              <w:rPr>
                <w:rFonts w:ascii="Arial" w:hAnsi="Arial" w:cs="Arial"/>
              </w:rPr>
              <w:t>Data Collection Method.</w:t>
            </w:r>
          </w:p>
          <w:p w14:paraId="3D012C75" w14:textId="745F133B" w:rsidR="00FA4395" w:rsidRPr="005366D3" w:rsidRDefault="00D74107" w:rsidP="00706CAB">
            <w:pPr>
              <w:spacing w:line="360" w:lineRule="auto"/>
              <w:rPr>
                <w:rFonts w:ascii="Arial" w:hAnsi="Arial" w:cs="Arial"/>
              </w:rPr>
            </w:pPr>
            <w:r w:rsidRPr="00FA4395">
              <w:rPr>
                <w:rFonts w:ascii="Arial" w:hAnsi="Arial" w:cs="Arial"/>
                <w:lang w:val="en-GB"/>
              </w:rPr>
              <w:t>Secondary</w:t>
            </w:r>
            <w:r w:rsidR="00FA4395" w:rsidRPr="00FA4395">
              <w:rPr>
                <w:rFonts w:ascii="Arial" w:hAnsi="Arial" w:cs="Arial"/>
                <w:lang w:val="en-GB"/>
              </w:rPr>
              <w:t xml:space="preserve"> data will be collected through systematic searches of Google Scholar, PubMed, relevant academic journals, NHS websites and UK government publications. Search terms will include developmental dyslexia, specific learning disorder with impairment in reading, qualitative research, health literacy, person-centred care, reasonable adjustments and social care accessibility.</w:t>
            </w:r>
            <w:r w:rsidR="00FA4395" w:rsidRPr="00FA4395">
              <w:rPr>
                <w:rFonts w:ascii="Arial" w:hAnsi="Arial" w:cs="Arial"/>
                <w:lang w:val="en-GB"/>
              </w:rPr>
              <w:br/>
            </w:r>
          </w:p>
          <w:p w14:paraId="71134CCF" w14:textId="6CB812CA" w:rsidR="00FA4395" w:rsidRPr="00FA4395" w:rsidRDefault="00FA4395" w:rsidP="00706CAB">
            <w:pPr>
              <w:spacing w:line="360" w:lineRule="auto"/>
              <w:rPr>
                <w:rFonts w:ascii="Arial" w:hAnsi="Arial" w:cs="Arial"/>
                <w:lang w:val="en-GB"/>
              </w:rPr>
            </w:pPr>
            <w:r w:rsidRPr="00FA4395">
              <w:rPr>
                <w:rFonts w:ascii="Arial" w:hAnsi="Arial" w:cs="Arial"/>
                <w:lang w:val="en-GB"/>
              </w:rPr>
              <w:t>Inclusion criteria will cover English-language publications from 2016 to 2026 that address reading impairment, service accessibility, professional practice or the experiences of individuals with dyslexia in the UK.</w:t>
            </w:r>
            <w:r w:rsidRPr="00FA4395">
              <w:rPr>
                <w:rFonts w:ascii="Arial" w:hAnsi="Arial" w:cs="Arial"/>
                <w:lang w:val="en-GB"/>
              </w:rPr>
              <w:br/>
            </w:r>
          </w:p>
          <w:p w14:paraId="0C7685E8" w14:textId="77777777" w:rsidR="00FA4395" w:rsidRPr="00FA4395" w:rsidRDefault="00FA4395" w:rsidP="00706CAB">
            <w:pPr>
              <w:spacing w:line="360" w:lineRule="auto"/>
              <w:rPr>
                <w:rFonts w:ascii="Arial" w:hAnsi="Arial" w:cs="Arial"/>
                <w:lang w:val="en-GB"/>
              </w:rPr>
            </w:pPr>
            <w:r w:rsidRPr="00FA4395">
              <w:rPr>
                <w:rFonts w:ascii="Arial" w:hAnsi="Arial" w:cs="Arial"/>
                <w:lang w:val="en-GB"/>
              </w:rPr>
              <w:t>A search record will document databases, keywords, publication dates and reasons for excluding studies. Priority will be given to peer-reviewed qualitative research and authoritative guidance. For example, Louch et al. (2021) explored patient safety experiences using focus groups and publicly available narratives, demonstrating how qualitative evidence can illuminate barriers within health and social care systems. </w:t>
            </w:r>
          </w:p>
          <w:p w14:paraId="33C5AE97" w14:textId="77777777" w:rsidR="00FA4395" w:rsidRDefault="00FA4395" w:rsidP="00EB6F36">
            <w:pPr>
              <w:rPr>
                <w:rFonts w:ascii="Arial" w:hAnsi="Arial" w:cs="Arial"/>
              </w:rPr>
            </w:pPr>
          </w:p>
          <w:p w14:paraId="6C24B37D" w14:textId="77777777" w:rsidR="00EB6F36" w:rsidRPr="00EB6F36" w:rsidRDefault="00EB6F36" w:rsidP="00C46111">
            <w:pPr>
              <w:rPr>
                <w:rFonts w:ascii="Arial" w:hAnsi="Arial" w:cs="Arial"/>
                <w:noProof/>
              </w:rPr>
            </w:pPr>
          </w:p>
        </w:tc>
        <w:tc>
          <w:tcPr>
            <w:tcW w:w="613" w:type="dxa"/>
            <w:vMerge/>
          </w:tcPr>
          <w:p w14:paraId="5706C323" w14:textId="77777777" w:rsidR="004642F0" w:rsidRPr="00EB6F36" w:rsidRDefault="004642F0" w:rsidP="00B67824">
            <w:pPr>
              <w:rPr>
                <w:rFonts w:ascii="Arial" w:hAnsi="Arial" w:cs="Arial"/>
                <w:noProof/>
              </w:rPr>
            </w:pPr>
          </w:p>
        </w:tc>
        <w:tc>
          <w:tcPr>
            <w:tcW w:w="7821" w:type="dxa"/>
            <w:vMerge/>
          </w:tcPr>
          <w:p w14:paraId="3978F1F4" w14:textId="77777777" w:rsidR="004642F0" w:rsidRPr="00EB6F36" w:rsidRDefault="004642F0" w:rsidP="004642F0">
            <w:pPr>
              <w:rPr>
                <w:rFonts w:ascii="Arial" w:hAnsi="Arial" w:cs="Arial"/>
                <w:sz w:val="21"/>
              </w:rPr>
            </w:pPr>
          </w:p>
        </w:tc>
      </w:tr>
      <w:tr w:rsidR="00FA4395" w:rsidRPr="00EB6F36" w14:paraId="2FC5472B" w14:textId="77777777" w:rsidTr="00275F23">
        <w:trPr>
          <w:trHeight w:val="6431"/>
          <w:jc w:val="center"/>
        </w:trPr>
        <w:tc>
          <w:tcPr>
            <w:tcW w:w="7725" w:type="dxa"/>
          </w:tcPr>
          <w:p w14:paraId="23A63081" w14:textId="77777777" w:rsidR="00FA4395" w:rsidRPr="00EB6F36" w:rsidRDefault="00FA4395" w:rsidP="00B67824">
            <w:pPr>
              <w:rPr>
                <w:rFonts w:ascii="Arial" w:hAnsi="Arial" w:cs="Arial"/>
                <w:noProof/>
              </w:rPr>
            </w:pPr>
          </w:p>
        </w:tc>
        <w:tc>
          <w:tcPr>
            <w:tcW w:w="709" w:type="dxa"/>
          </w:tcPr>
          <w:p w14:paraId="399F96B0" w14:textId="77777777" w:rsidR="00FA4395" w:rsidRPr="00EB6F36" w:rsidRDefault="00FA4395" w:rsidP="00B67824">
            <w:pPr>
              <w:rPr>
                <w:rFonts w:ascii="Arial" w:hAnsi="Arial" w:cs="Arial"/>
                <w:noProof/>
              </w:rPr>
            </w:pPr>
          </w:p>
        </w:tc>
        <w:tc>
          <w:tcPr>
            <w:tcW w:w="7667" w:type="dxa"/>
          </w:tcPr>
          <w:p w14:paraId="3A649EE7" w14:textId="77777777" w:rsidR="00FA4395" w:rsidRDefault="00FA4395" w:rsidP="00EB6F36">
            <w:pPr>
              <w:pStyle w:val="Heading1"/>
              <w:rPr>
                <w:rFonts w:ascii="Arial" w:hAnsi="Arial" w:cs="Arial"/>
              </w:rPr>
            </w:pPr>
          </w:p>
        </w:tc>
        <w:tc>
          <w:tcPr>
            <w:tcW w:w="613" w:type="dxa"/>
          </w:tcPr>
          <w:p w14:paraId="4130C9E7" w14:textId="77777777" w:rsidR="00FA4395" w:rsidRPr="00EB6F36" w:rsidRDefault="00FA4395" w:rsidP="00B67824">
            <w:pPr>
              <w:rPr>
                <w:rFonts w:ascii="Arial" w:hAnsi="Arial" w:cs="Arial"/>
                <w:noProof/>
              </w:rPr>
            </w:pPr>
          </w:p>
        </w:tc>
        <w:tc>
          <w:tcPr>
            <w:tcW w:w="7821" w:type="dxa"/>
          </w:tcPr>
          <w:p w14:paraId="07BE6F6C" w14:textId="1EEF14E3" w:rsidR="00FA4395" w:rsidRPr="00EB6F36" w:rsidRDefault="00FA4395" w:rsidP="00D934AA">
            <w:pPr>
              <w:spacing w:line="360" w:lineRule="auto"/>
              <w:rPr>
                <w:rFonts w:ascii="Arial" w:hAnsi="Arial" w:cs="Arial"/>
                <w:sz w:val="21"/>
              </w:rPr>
            </w:pPr>
            <w:r w:rsidRPr="00FA4395">
              <w:rPr>
                <w:rFonts w:ascii="Arial" w:hAnsi="Arial" w:cs="Arial"/>
                <w:sz w:val="21"/>
                <w:lang w:val="en-GB"/>
              </w:rPr>
              <w:t>.</w:t>
            </w:r>
            <w:r w:rsidRPr="00FA4395">
              <w:rPr>
                <w:rFonts w:ascii="Arial" w:hAnsi="Arial" w:cs="Arial"/>
                <w:sz w:val="21"/>
                <w:lang w:val="en-GB"/>
              </w:rPr>
              <w:br/>
            </w:r>
            <w:r w:rsidRPr="00706CAB">
              <w:rPr>
                <w:rFonts w:ascii="Arial" w:hAnsi="Arial" w:cs="Arial"/>
                <w:lang w:val="en-GB"/>
              </w:rPr>
              <w:t>The study will also consider equality, dignity and accessibility. The Equality Act 2010 establishes duties concerning reasonable adjustments, including accessible information where applicable (UK Government, 2010).</w:t>
            </w:r>
            <w:r w:rsidRPr="00706CAB">
              <w:rPr>
                <w:rFonts w:ascii="Arial" w:hAnsi="Arial" w:cs="Arial"/>
                <w:lang w:val="en-GB"/>
              </w:rPr>
              <w:br/>
            </w:r>
          </w:p>
        </w:tc>
      </w:tr>
      <w:tr w:rsidR="00FA4395" w:rsidRPr="00EB6F36" w14:paraId="757074E5" w14:textId="77777777" w:rsidTr="00275F23">
        <w:trPr>
          <w:trHeight w:val="6431"/>
          <w:jc w:val="center"/>
        </w:trPr>
        <w:tc>
          <w:tcPr>
            <w:tcW w:w="7725" w:type="dxa"/>
          </w:tcPr>
          <w:p w14:paraId="3E481AA8" w14:textId="77777777" w:rsidR="00FA4395" w:rsidRPr="00EB6F36" w:rsidRDefault="00FA4395" w:rsidP="00B67824">
            <w:pPr>
              <w:rPr>
                <w:rFonts w:ascii="Arial" w:hAnsi="Arial" w:cs="Arial"/>
                <w:noProof/>
              </w:rPr>
            </w:pPr>
          </w:p>
        </w:tc>
        <w:tc>
          <w:tcPr>
            <w:tcW w:w="709" w:type="dxa"/>
          </w:tcPr>
          <w:p w14:paraId="6F33774B" w14:textId="77777777" w:rsidR="00FA4395" w:rsidRPr="00EB6F36" w:rsidRDefault="00FA4395" w:rsidP="00B67824">
            <w:pPr>
              <w:rPr>
                <w:rFonts w:ascii="Arial" w:hAnsi="Arial" w:cs="Arial"/>
                <w:noProof/>
              </w:rPr>
            </w:pPr>
          </w:p>
        </w:tc>
        <w:tc>
          <w:tcPr>
            <w:tcW w:w="7667" w:type="dxa"/>
          </w:tcPr>
          <w:p w14:paraId="24747767" w14:textId="77777777" w:rsidR="00FA4395" w:rsidRDefault="00FA4395" w:rsidP="00EB6F36">
            <w:pPr>
              <w:pStyle w:val="Heading1"/>
              <w:rPr>
                <w:rFonts w:ascii="Arial" w:hAnsi="Arial" w:cs="Arial"/>
              </w:rPr>
            </w:pPr>
          </w:p>
        </w:tc>
        <w:tc>
          <w:tcPr>
            <w:tcW w:w="613" w:type="dxa"/>
          </w:tcPr>
          <w:p w14:paraId="23156756" w14:textId="77777777" w:rsidR="00FA4395" w:rsidRPr="00EB6F36" w:rsidRDefault="00FA4395" w:rsidP="00B67824">
            <w:pPr>
              <w:rPr>
                <w:rFonts w:ascii="Arial" w:hAnsi="Arial" w:cs="Arial"/>
                <w:noProof/>
              </w:rPr>
            </w:pPr>
          </w:p>
        </w:tc>
        <w:tc>
          <w:tcPr>
            <w:tcW w:w="7821" w:type="dxa"/>
          </w:tcPr>
          <w:p w14:paraId="072A1B92" w14:textId="77777777" w:rsidR="00FA4395" w:rsidRPr="00EB6F36" w:rsidRDefault="00FA4395" w:rsidP="004642F0">
            <w:pPr>
              <w:rPr>
                <w:rFonts w:ascii="Arial" w:hAnsi="Arial" w:cs="Arial"/>
                <w:sz w:val="21"/>
              </w:rPr>
            </w:pPr>
          </w:p>
        </w:tc>
      </w:tr>
      <w:tr w:rsidR="00FA4395" w:rsidRPr="00EB6F36" w14:paraId="739822E8" w14:textId="77777777" w:rsidTr="00275F23">
        <w:trPr>
          <w:trHeight w:val="6431"/>
          <w:jc w:val="center"/>
        </w:trPr>
        <w:tc>
          <w:tcPr>
            <w:tcW w:w="7725" w:type="dxa"/>
          </w:tcPr>
          <w:p w14:paraId="7641729E" w14:textId="77777777" w:rsidR="00FA4395" w:rsidRPr="00EB6F36" w:rsidRDefault="00FA4395" w:rsidP="00B67824">
            <w:pPr>
              <w:rPr>
                <w:rFonts w:ascii="Arial" w:hAnsi="Arial" w:cs="Arial"/>
                <w:noProof/>
              </w:rPr>
            </w:pPr>
          </w:p>
        </w:tc>
        <w:tc>
          <w:tcPr>
            <w:tcW w:w="709" w:type="dxa"/>
          </w:tcPr>
          <w:p w14:paraId="47D71A4C" w14:textId="77777777" w:rsidR="00FA4395" w:rsidRPr="00EB6F36" w:rsidRDefault="00FA4395" w:rsidP="00B67824">
            <w:pPr>
              <w:rPr>
                <w:rFonts w:ascii="Arial" w:hAnsi="Arial" w:cs="Arial"/>
                <w:noProof/>
              </w:rPr>
            </w:pPr>
          </w:p>
        </w:tc>
        <w:tc>
          <w:tcPr>
            <w:tcW w:w="7667" w:type="dxa"/>
          </w:tcPr>
          <w:p w14:paraId="2218BC0A" w14:textId="77777777" w:rsidR="00FA4395" w:rsidRDefault="00FA4395" w:rsidP="00EB6F36">
            <w:pPr>
              <w:pStyle w:val="Heading1"/>
              <w:rPr>
                <w:rFonts w:ascii="Arial" w:hAnsi="Arial" w:cs="Arial"/>
              </w:rPr>
            </w:pPr>
          </w:p>
        </w:tc>
        <w:tc>
          <w:tcPr>
            <w:tcW w:w="613" w:type="dxa"/>
          </w:tcPr>
          <w:p w14:paraId="29F28AB9" w14:textId="77777777" w:rsidR="00FA4395" w:rsidRPr="00EB6F36" w:rsidRDefault="00FA4395" w:rsidP="00B67824">
            <w:pPr>
              <w:rPr>
                <w:rFonts w:ascii="Arial" w:hAnsi="Arial" w:cs="Arial"/>
                <w:noProof/>
              </w:rPr>
            </w:pPr>
          </w:p>
        </w:tc>
        <w:tc>
          <w:tcPr>
            <w:tcW w:w="7821" w:type="dxa"/>
          </w:tcPr>
          <w:p w14:paraId="58C0B2CC" w14:textId="77777777" w:rsidR="00FA4395" w:rsidRPr="00EB6F36" w:rsidRDefault="00FA4395" w:rsidP="004642F0">
            <w:pPr>
              <w:rPr>
                <w:rFonts w:ascii="Arial" w:hAnsi="Arial" w:cs="Arial"/>
                <w:sz w:val="21"/>
              </w:rPr>
            </w:pPr>
          </w:p>
        </w:tc>
      </w:tr>
      <w:tr w:rsidR="00FA4395" w:rsidRPr="00EB6F36" w14:paraId="46684F11" w14:textId="77777777" w:rsidTr="00275F23">
        <w:trPr>
          <w:trHeight w:val="6431"/>
          <w:jc w:val="center"/>
        </w:trPr>
        <w:tc>
          <w:tcPr>
            <w:tcW w:w="7725" w:type="dxa"/>
          </w:tcPr>
          <w:p w14:paraId="2E802694" w14:textId="77777777" w:rsidR="00FA4395" w:rsidRPr="00EB6F36" w:rsidRDefault="00FA4395" w:rsidP="00B67824">
            <w:pPr>
              <w:rPr>
                <w:rFonts w:ascii="Arial" w:hAnsi="Arial" w:cs="Arial"/>
                <w:noProof/>
              </w:rPr>
            </w:pPr>
          </w:p>
        </w:tc>
        <w:tc>
          <w:tcPr>
            <w:tcW w:w="709" w:type="dxa"/>
          </w:tcPr>
          <w:p w14:paraId="0554BED5" w14:textId="77777777" w:rsidR="00FA4395" w:rsidRPr="00EB6F36" w:rsidRDefault="00FA4395" w:rsidP="00B67824">
            <w:pPr>
              <w:rPr>
                <w:rFonts w:ascii="Arial" w:hAnsi="Arial" w:cs="Arial"/>
                <w:noProof/>
              </w:rPr>
            </w:pPr>
          </w:p>
        </w:tc>
        <w:tc>
          <w:tcPr>
            <w:tcW w:w="7667" w:type="dxa"/>
          </w:tcPr>
          <w:p w14:paraId="1F29944C" w14:textId="77777777" w:rsidR="00FA4395" w:rsidRDefault="00FA4395" w:rsidP="00EB6F36">
            <w:pPr>
              <w:pStyle w:val="Heading1"/>
              <w:rPr>
                <w:rFonts w:ascii="Arial" w:hAnsi="Arial" w:cs="Arial"/>
              </w:rPr>
            </w:pPr>
          </w:p>
        </w:tc>
        <w:tc>
          <w:tcPr>
            <w:tcW w:w="613" w:type="dxa"/>
          </w:tcPr>
          <w:p w14:paraId="192AF3D0" w14:textId="77777777" w:rsidR="00FA4395" w:rsidRPr="00EB6F36" w:rsidRDefault="00FA4395" w:rsidP="00B67824">
            <w:pPr>
              <w:rPr>
                <w:rFonts w:ascii="Arial" w:hAnsi="Arial" w:cs="Arial"/>
                <w:noProof/>
              </w:rPr>
            </w:pPr>
          </w:p>
        </w:tc>
        <w:tc>
          <w:tcPr>
            <w:tcW w:w="7821" w:type="dxa"/>
          </w:tcPr>
          <w:p w14:paraId="1FD841FD" w14:textId="77777777" w:rsidR="00FA4395" w:rsidRPr="00EB6F36" w:rsidRDefault="00FA4395" w:rsidP="004642F0">
            <w:pPr>
              <w:rPr>
                <w:rFonts w:ascii="Arial" w:hAnsi="Arial" w:cs="Arial"/>
                <w:sz w:val="21"/>
              </w:rPr>
            </w:pPr>
          </w:p>
        </w:tc>
      </w:tr>
      <w:tr w:rsidR="00FA4395" w:rsidRPr="00EB6F36" w14:paraId="2742367E" w14:textId="77777777" w:rsidTr="00275F23">
        <w:trPr>
          <w:trHeight w:val="6431"/>
          <w:jc w:val="center"/>
        </w:trPr>
        <w:tc>
          <w:tcPr>
            <w:tcW w:w="7725" w:type="dxa"/>
          </w:tcPr>
          <w:p w14:paraId="2AAE15F2" w14:textId="77777777" w:rsidR="00FA4395" w:rsidRPr="00EB6F36" w:rsidRDefault="00FA4395" w:rsidP="00B67824">
            <w:pPr>
              <w:rPr>
                <w:rFonts w:ascii="Arial" w:hAnsi="Arial" w:cs="Arial"/>
                <w:noProof/>
              </w:rPr>
            </w:pPr>
          </w:p>
        </w:tc>
        <w:tc>
          <w:tcPr>
            <w:tcW w:w="709" w:type="dxa"/>
          </w:tcPr>
          <w:p w14:paraId="738CA56D" w14:textId="77777777" w:rsidR="00FA4395" w:rsidRPr="00EB6F36" w:rsidRDefault="00FA4395" w:rsidP="00B67824">
            <w:pPr>
              <w:rPr>
                <w:rFonts w:ascii="Arial" w:hAnsi="Arial" w:cs="Arial"/>
                <w:noProof/>
              </w:rPr>
            </w:pPr>
          </w:p>
        </w:tc>
        <w:tc>
          <w:tcPr>
            <w:tcW w:w="7667" w:type="dxa"/>
          </w:tcPr>
          <w:p w14:paraId="75B32F7F" w14:textId="77777777" w:rsidR="00FA4395" w:rsidRDefault="00FA4395" w:rsidP="00EB6F36">
            <w:pPr>
              <w:pStyle w:val="Heading1"/>
              <w:rPr>
                <w:rFonts w:ascii="Arial" w:hAnsi="Arial" w:cs="Arial"/>
              </w:rPr>
            </w:pPr>
          </w:p>
        </w:tc>
        <w:tc>
          <w:tcPr>
            <w:tcW w:w="613" w:type="dxa"/>
          </w:tcPr>
          <w:p w14:paraId="7632005D" w14:textId="77777777" w:rsidR="00FA4395" w:rsidRPr="00EB6F36" w:rsidRDefault="00FA4395" w:rsidP="00B67824">
            <w:pPr>
              <w:rPr>
                <w:rFonts w:ascii="Arial" w:hAnsi="Arial" w:cs="Arial"/>
                <w:noProof/>
              </w:rPr>
            </w:pPr>
          </w:p>
        </w:tc>
        <w:tc>
          <w:tcPr>
            <w:tcW w:w="7821" w:type="dxa"/>
          </w:tcPr>
          <w:p w14:paraId="7744D8E8" w14:textId="77777777" w:rsidR="00FA4395" w:rsidRPr="00EB6F36" w:rsidRDefault="00FA4395" w:rsidP="004642F0">
            <w:pPr>
              <w:rPr>
                <w:rFonts w:ascii="Arial" w:hAnsi="Arial" w:cs="Arial"/>
                <w:sz w:val="21"/>
              </w:rPr>
            </w:pPr>
          </w:p>
        </w:tc>
      </w:tr>
    </w:tbl>
    <w:p w14:paraId="0863B5DF" w14:textId="77777777" w:rsidR="00B67824" w:rsidRDefault="00B67824" w:rsidP="00C46111"/>
    <w:p w14:paraId="489BBCE1" w14:textId="030ECDA7" w:rsidR="00ED1049" w:rsidRDefault="00ED1049" w:rsidP="00C46111">
      <w:pPr>
        <w:rPr>
          <w:rFonts w:ascii="Arial" w:hAnsi="Arial" w:cs="Arial"/>
          <w:b/>
          <w:bCs/>
          <w:sz w:val="28"/>
          <w:szCs w:val="28"/>
        </w:rPr>
      </w:pPr>
      <w:r w:rsidRPr="00ED1049">
        <w:rPr>
          <w:rFonts w:ascii="Arial" w:hAnsi="Arial" w:cs="Arial"/>
          <w:b/>
          <w:bCs/>
          <w:sz w:val="28"/>
          <w:szCs w:val="28"/>
        </w:rPr>
        <w:t>References</w:t>
      </w:r>
    </w:p>
    <w:p w14:paraId="5C87AE6C" w14:textId="77777777" w:rsidR="000D218D" w:rsidRDefault="000D218D" w:rsidP="00C46111">
      <w:pPr>
        <w:rPr>
          <w:rFonts w:ascii="Arial" w:hAnsi="Arial" w:cs="Arial"/>
          <w:b/>
          <w:bCs/>
          <w:sz w:val="28"/>
          <w:szCs w:val="28"/>
        </w:rPr>
      </w:pPr>
    </w:p>
    <w:p w14:paraId="2FDE5673" w14:textId="77777777" w:rsidR="00860159" w:rsidRDefault="00860159" w:rsidP="00C46111">
      <w:pPr>
        <w:rPr>
          <w:rFonts w:ascii="Arial" w:hAnsi="Arial" w:cs="Arial"/>
          <w:b/>
          <w:bCs/>
          <w:sz w:val="28"/>
          <w:szCs w:val="28"/>
        </w:rPr>
      </w:pPr>
    </w:p>
    <w:p w14:paraId="6D50C875" w14:textId="23D7F1E2" w:rsidR="00860159" w:rsidRDefault="00860159" w:rsidP="00860159">
      <w:pPr>
        <w:spacing w:line="360" w:lineRule="auto"/>
        <w:jc w:val="both"/>
        <w:rPr>
          <w:rFonts w:ascii="Arial" w:eastAsia="Times New Roman" w:hAnsi="Arial" w:cs="Arial"/>
        </w:rPr>
      </w:pPr>
      <w:r w:rsidRPr="00B72C98">
        <w:rPr>
          <w:rFonts w:ascii="Arial" w:eastAsia="Times New Roman" w:hAnsi="Arial" w:cs="Arial"/>
        </w:rPr>
        <w:t xml:space="preserve">Crouch, A.T. (2019) “Perceptions of the possible impact of dyslexia on nursing and midwifery students and of the coping strategies they develop and/or use to help them cope in clinical practice,” </w:t>
      </w:r>
      <w:r w:rsidRPr="00B72C98">
        <w:rPr>
          <w:rFonts w:ascii="Arial" w:eastAsia="Times New Roman" w:hAnsi="Arial" w:cs="Arial"/>
          <w:i/>
          <w:iCs/>
        </w:rPr>
        <w:t>Nurse Education in Practice</w:t>
      </w:r>
      <w:r w:rsidRPr="00B72C98">
        <w:rPr>
          <w:rFonts w:ascii="Arial" w:eastAsia="Times New Roman" w:hAnsi="Arial" w:cs="Arial"/>
        </w:rPr>
        <w:t xml:space="preserve">, 35, pp. 90–97. Available at: </w:t>
      </w:r>
      <w:hyperlink r:id="rId15" w:history="1">
        <w:r w:rsidRPr="00B72C98">
          <w:rPr>
            <w:rStyle w:val="Hyperlink"/>
            <w:rFonts w:ascii="Arial" w:eastAsia="Times New Roman" w:hAnsi="Arial" w:cs="Arial"/>
          </w:rPr>
          <w:t>https://doi.org/10.1016/j.nepr.2018.12.008</w:t>
        </w:r>
      </w:hyperlink>
      <w:r w:rsidRPr="00B72C98">
        <w:rPr>
          <w:rFonts w:ascii="Arial" w:eastAsia="Times New Roman" w:hAnsi="Arial" w:cs="Arial"/>
        </w:rPr>
        <w:t>. (Accessed: 4 October 2026).</w:t>
      </w:r>
    </w:p>
    <w:p w14:paraId="2959F168" w14:textId="0CC0C25B" w:rsidR="00860159" w:rsidRPr="00860159" w:rsidRDefault="00860159" w:rsidP="00860159">
      <w:pPr>
        <w:spacing w:line="360" w:lineRule="auto"/>
        <w:jc w:val="both"/>
        <w:rPr>
          <w:rFonts w:ascii="Arial" w:eastAsia="Times New Roman" w:hAnsi="Arial" w:cs="Arial"/>
        </w:rPr>
      </w:pPr>
      <w:r w:rsidRPr="00860159">
        <w:rPr>
          <w:rFonts w:ascii="Arial" w:eastAsia="Times New Roman" w:hAnsi="Arial" w:cs="Arial"/>
        </w:rPr>
        <w:t xml:space="preserve">Department for Education (2026) </w:t>
      </w:r>
      <w:r w:rsidRPr="00860159">
        <w:rPr>
          <w:rFonts w:ascii="Arial" w:eastAsia="Times New Roman" w:hAnsi="Arial" w:cs="Arial"/>
          <w:i/>
          <w:iCs/>
        </w:rPr>
        <w:t>Special educational needs in England: Academic year 2025/26</w:t>
      </w:r>
      <w:r w:rsidRPr="00860159">
        <w:rPr>
          <w:rFonts w:ascii="Arial" w:eastAsia="Times New Roman" w:hAnsi="Arial" w:cs="Arial"/>
        </w:rPr>
        <w:t xml:space="preserve">. Available at: </w:t>
      </w:r>
      <w:hyperlink r:id="rId16" w:history="1">
        <w:r w:rsidRPr="00860159">
          <w:rPr>
            <w:rStyle w:val="Hyperlink"/>
            <w:rFonts w:ascii="Arial" w:eastAsia="Times New Roman" w:hAnsi="Arial" w:cs="Arial"/>
          </w:rPr>
          <w:t>https://explore-education-statistics.service.gov.uk/find-statistics/special-educational-needs-in-england/2025-26</w:t>
        </w:r>
      </w:hyperlink>
      <w:r w:rsidRPr="00860159">
        <w:rPr>
          <w:rFonts w:ascii="Arial" w:eastAsia="Times New Roman" w:hAnsi="Arial" w:cs="Arial"/>
        </w:rPr>
        <w:t xml:space="preserve"> (Accessed: 12 October 2026).</w:t>
      </w:r>
    </w:p>
    <w:p w14:paraId="3A07ADC3" w14:textId="01EB571B" w:rsidR="00D934AA" w:rsidRPr="00D934AA" w:rsidRDefault="00D934AA" w:rsidP="00C46111">
      <w:pPr>
        <w:rPr>
          <w:rFonts w:ascii="Arial" w:hAnsi="Arial" w:cs="Arial"/>
        </w:rPr>
      </w:pPr>
      <w:r w:rsidRPr="00D934AA">
        <w:rPr>
          <w:rFonts w:ascii="Arial" w:hAnsi="Arial" w:cs="Arial"/>
          <w:i/>
          <w:iCs/>
        </w:rPr>
        <w:t>Equality Act 2010</w:t>
      </w:r>
      <w:r w:rsidRPr="00D934AA">
        <w:rPr>
          <w:rFonts w:ascii="Arial" w:hAnsi="Arial" w:cs="Arial"/>
        </w:rPr>
        <w:t xml:space="preserve">, c. 15. Available at: </w:t>
      </w:r>
      <w:hyperlink r:id="rId17" w:history="1">
        <w:r w:rsidRPr="00D934AA">
          <w:rPr>
            <w:rStyle w:val="Hyperlink"/>
            <w:rFonts w:ascii="Arial" w:hAnsi="Arial" w:cs="Arial"/>
          </w:rPr>
          <w:t>https://www.legislation.gov.uk/ukpga/2010/15</w:t>
        </w:r>
      </w:hyperlink>
      <w:r w:rsidRPr="00D934AA">
        <w:rPr>
          <w:rFonts w:ascii="Arial" w:hAnsi="Arial" w:cs="Arial"/>
        </w:rPr>
        <w:t xml:space="preserve"> (Accessed: 12 October 2026).</w:t>
      </w:r>
    </w:p>
    <w:p w14:paraId="6D7A0B08" w14:textId="77777777" w:rsidR="00D934AA" w:rsidRDefault="00D934AA" w:rsidP="000D218D">
      <w:pPr>
        <w:spacing w:line="360" w:lineRule="auto"/>
        <w:rPr>
          <w:rFonts w:ascii="Arial" w:hAnsi="Arial" w:cs="Arial"/>
        </w:rPr>
      </w:pPr>
      <w:r w:rsidRPr="00D934AA">
        <w:rPr>
          <w:rFonts w:ascii="Arial" w:hAnsi="Arial" w:cs="Arial"/>
        </w:rPr>
        <w:t xml:space="preserve">Louch, G. </w:t>
      </w:r>
      <w:r w:rsidRPr="00D934AA">
        <w:rPr>
          <w:rFonts w:ascii="Arial" w:hAnsi="Arial" w:cs="Arial"/>
          <w:i/>
          <w:iCs/>
        </w:rPr>
        <w:t>et al.</w:t>
      </w:r>
      <w:r w:rsidRPr="00D934AA">
        <w:rPr>
          <w:rFonts w:ascii="Arial" w:hAnsi="Arial" w:cs="Arial"/>
        </w:rPr>
        <w:t xml:space="preserve"> (2021) ‘Systemic safety inequities for people with learning disabilities: a qualitative integrative analysis of the experiences of English health and social care for people with learning disabilities, their families and carers’, </w:t>
      </w:r>
      <w:r w:rsidRPr="00D934AA">
        <w:rPr>
          <w:rFonts w:ascii="Arial" w:hAnsi="Arial" w:cs="Arial"/>
          <w:i/>
          <w:iCs/>
        </w:rPr>
        <w:t>International Journal for Equity in Health</w:t>
      </w:r>
      <w:r w:rsidRPr="00D934AA">
        <w:rPr>
          <w:rFonts w:ascii="Arial" w:hAnsi="Arial" w:cs="Arial"/>
        </w:rPr>
        <w:t xml:space="preserve">, 20, article 136. Available at: </w:t>
      </w:r>
      <w:hyperlink r:id="rId18" w:history="1">
        <w:r w:rsidRPr="00D934AA">
          <w:rPr>
            <w:rStyle w:val="Hyperlink"/>
            <w:rFonts w:ascii="Arial" w:hAnsi="Arial" w:cs="Arial"/>
          </w:rPr>
          <w:t>https://doi.org/10.1186/s12939-021-01612-1</w:t>
        </w:r>
      </w:hyperlink>
      <w:r w:rsidRPr="00D934AA">
        <w:rPr>
          <w:rFonts w:ascii="Arial" w:hAnsi="Arial" w:cs="Arial"/>
        </w:rPr>
        <w:t xml:space="preserve"> (Accessed: 12 October 2026).</w:t>
      </w:r>
    </w:p>
    <w:p w14:paraId="50AB89B9" w14:textId="77777777" w:rsidR="00D934AA" w:rsidRDefault="00D934AA" w:rsidP="000D218D">
      <w:pPr>
        <w:spacing w:line="360" w:lineRule="auto"/>
        <w:rPr>
          <w:rFonts w:ascii="Arial" w:hAnsi="Arial" w:cs="Arial"/>
        </w:rPr>
      </w:pPr>
      <w:r w:rsidRPr="00D934AA">
        <w:rPr>
          <w:rFonts w:ascii="Arial" w:hAnsi="Arial" w:cs="Arial"/>
        </w:rPr>
        <w:t xml:space="preserve">NHS (2026) </w:t>
      </w:r>
      <w:r w:rsidRPr="00D934AA">
        <w:rPr>
          <w:rFonts w:ascii="Arial" w:hAnsi="Arial" w:cs="Arial"/>
          <w:i/>
          <w:iCs/>
        </w:rPr>
        <w:t>Dyslexia in children</w:t>
      </w:r>
      <w:r w:rsidRPr="00D934AA">
        <w:rPr>
          <w:rFonts w:ascii="Arial" w:hAnsi="Arial" w:cs="Arial"/>
        </w:rPr>
        <w:t xml:space="preserve">. Available at: </w:t>
      </w:r>
      <w:hyperlink r:id="rId19" w:history="1">
        <w:r w:rsidRPr="00D934AA">
          <w:rPr>
            <w:rStyle w:val="Hyperlink"/>
            <w:rFonts w:ascii="Arial" w:hAnsi="Arial" w:cs="Arial"/>
          </w:rPr>
          <w:t>https://www.nhs.uk/conditions/dyslexia-in-children/</w:t>
        </w:r>
      </w:hyperlink>
      <w:r w:rsidRPr="00D934AA">
        <w:rPr>
          <w:rFonts w:ascii="Arial" w:hAnsi="Arial" w:cs="Arial"/>
        </w:rPr>
        <w:t xml:space="preserve"> (Accessed: 12 October 2026).</w:t>
      </w:r>
    </w:p>
    <w:p w14:paraId="364E780A" w14:textId="24DF8D8F" w:rsidR="00EB6F36" w:rsidRDefault="00D934AA" w:rsidP="00D934AA">
      <w:pPr>
        <w:spacing w:line="360" w:lineRule="auto"/>
        <w:rPr>
          <w:rFonts w:ascii="Arial" w:hAnsi="Arial" w:cs="Arial"/>
          <w:sz w:val="24"/>
          <w:szCs w:val="24"/>
        </w:rPr>
      </w:pPr>
      <w:r w:rsidRPr="00D934AA">
        <w:rPr>
          <w:rFonts w:ascii="Arial" w:hAnsi="Arial" w:cs="Arial"/>
        </w:rPr>
        <w:t xml:space="preserve">Public Health England (2020) </w:t>
      </w:r>
      <w:r w:rsidRPr="00D934AA">
        <w:rPr>
          <w:rFonts w:ascii="Arial" w:hAnsi="Arial" w:cs="Arial"/>
          <w:i/>
          <w:iCs/>
        </w:rPr>
        <w:t>Reasonable adjustments: a legal duty</w:t>
      </w:r>
      <w:r w:rsidRPr="00D934AA">
        <w:rPr>
          <w:rFonts w:ascii="Arial" w:hAnsi="Arial" w:cs="Arial"/>
        </w:rPr>
        <w:t xml:space="preserve">. Available at: </w:t>
      </w:r>
      <w:hyperlink r:id="rId20" w:history="1">
        <w:r w:rsidRPr="00D934AA">
          <w:rPr>
            <w:rStyle w:val="Hyperlink"/>
            <w:rFonts w:ascii="Arial" w:hAnsi="Arial" w:cs="Arial"/>
          </w:rPr>
          <w:t>https://www.gov.uk/government/publications/reasonable-adjustments-a-legal-duty/reasonable-adjustments-a-legal-duty</w:t>
        </w:r>
      </w:hyperlink>
      <w:r w:rsidRPr="00D934AA">
        <w:rPr>
          <w:rFonts w:ascii="Arial" w:hAnsi="Arial" w:cs="Arial"/>
        </w:rPr>
        <w:t xml:space="preserve"> (Accessed: 12 October 2026).</w:t>
      </w:r>
      <w:r w:rsidR="000D218D" w:rsidRPr="000D218D">
        <w:rPr>
          <w:rFonts w:ascii="Arial" w:hAnsi="Arial" w:cs="Arial"/>
          <w:lang w:val="en-GB"/>
        </w:rPr>
        <w:t xml:space="preserve">UK Government (2010) Equality </w:t>
      </w:r>
      <w:r w:rsidR="00EB6F36">
        <w:rPr>
          <w:rFonts w:ascii="Arial" w:hAnsi="Arial" w:cs="Arial"/>
          <w:sz w:val="24"/>
          <w:szCs w:val="24"/>
        </w:rPr>
        <w:t xml:space="preserve">    </w:t>
      </w:r>
    </w:p>
    <w:p w14:paraId="787444DC" w14:textId="77777777" w:rsidR="00EB6F36" w:rsidRDefault="00EB6F36" w:rsidP="00C46111">
      <w:pPr>
        <w:rPr>
          <w:rFonts w:ascii="Arial" w:hAnsi="Arial" w:cs="Arial"/>
          <w:sz w:val="24"/>
          <w:szCs w:val="24"/>
        </w:rPr>
      </w:pPr>
    </w:p>
    <w:p w14:paraId="725FE163" w14:textId="77777777" w:rsidR="00EB6F36" w:rsidRPr="00EB6F36" w:rsidRDefault="00EB6F36" w:rsidP="00C46111">
      <w:pPr>
        <w:rPr>
          <w:rFonts w:ascii="Arial" w:hAnsi="Arial" w:cs="Arial"/>
          <w:sz w:val="24"/>
          <w:szCs w:val="24"/>
        </w:rPr>
      </w:pPr>
    </w:p>
    <w:sectPr w:rsidR="00EB6F36" w:rsidRPr="00EB6F36" w:rsidSect="00C46111">
      <w:headerReference w:type="default" r:id="rId21"/>
      <w:headerReference w:type="first" r:id="rId22"/>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F609F" w14:textId="77777777" w:rsidR="00CC543C" w:rsidRDefault="00CC543C" w:rsidP="00D210FA">
      <w:pPr>
        <w:spacing w:after="0"/>
      </w:pPr>
      <w:r>
        <w:separator/>
      </w:r>
    </w:p>
  </w:endnote>
  <w:endnote w:type="continuationSeparator" w:id="0">
    <w:p w14:paraId="21A794FF" w14:textId="77777777" w:rsidR="00CC543C" w:rsidRDefault="00CC543C"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143D8" w14:textId="77777777" w:rsidR="00CC543C" w:rsidRDefault="00CC543C" w:rsidP="00D210FA">
      <w:pPr>
        <w:spacing w:after="0"/>
      </w:pPr>
      <w:r>
        <w:separator/>
      </w:r>
    </w:p>
  </w:footnote>
  <w:footnote w:type="continuationSeparator" w:id="0">
    <w:p w14:paraId="7E105B1C" w14:textId="77777777" w:rsidR="00CC543C" w:rsidRDefault="00CC543C"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1"/>
  </w:num>
  <w:num w:numId="2" w16cid:durableId="66732129">
    <w:abstractNumId w:val="0"/>
  </w:num>
  <w:num w:numId="3" w16cid:durableId="1791968620">
    <w:abstractNumId w:val="5"/>
  </w:num>
  <w:num w:numId="4" w16cid:durableId="67852329">
    <w:abstractNumId w:val="6"/>
  </w:num>
  <w:num w:numId="5" w16cid:durableId="825783799">
    <w:abstractNumId w:val="3"/>
  </w:num>
  <w:num w:numId="6" w16cid:durableId="1203637911">
    <w:abstractNumId w:val="2"/>
  </w:num>
  <w:num w:numId="7" w16cid:durableId="13931178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5"/>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61977"/>
    <w:rsid w:val="0008782A"/>
    <w:rsid w:val="000A065A"/>
    <w:rsid w:val="000D218D"/>
    <w:rsid w:val="000F57A8"/>
    <w:rsid w:val="00106FC5"/>
    <w:rsid w:val="00120DEC"/>
    <w:rsid w:val="00123C19"/>
    <w:rsid w:val="001C55B6"/>
    <w:rsid w:val="001D6CC4"/>
    <w:rsid w:val="00206405"/>
    <w:rsid w:val="00253267"/>
    <w:rsid w:val="00275F23"/>
    <w:rsid w:val="002823CD"/>
    <w:rsid w:val="00287787"/>
    <w:rsid w:val="00291685"/>
    <w:rsid w:val="002B0A3D"/>
    <w:rsid w:val="003007A7"/>
    <w:rsid w:val="003257E1"/>
    <w:rsid w:val="00325DEC"/>
    <w:rsid w:val="00346FFA"/>
    <w:rsid w:val="003A3069"/>
    <w:rsid w:val="003C20B5"/>
    <w:rsid w:val="003E545F"/>
    <w:rsid w:val="003F03D2"/>
    <w:rsid w:val="003F1E1A"/>
    <w:rsid w:val="004045E5"/>
    <w:rsid w:val="00421496"/>
    <w:rsid w:val="00422C27"/>
    <w:rsid w:val="0044367C"/>
    <w:rsid w:val="004642F0"/>
    <w:rsid w:val="00500564"/>
    <w:rsid w:val="0051102B"/>
    <w:rsid w:val="005366D3"/>
    <w:rsid w:val="005838BC"/>
    <w:rsid w:val="005B57E1"/>
    <w:rsid w:val="005E61E0"/>
    <w:rsid w:val="005F0F31"/>
    <w:rsid w:val="006024ED"/>
    <w:rsid w:val="0061793F"/>
    <w:rsid w:val="0062123A"/>
    <w:rsid w:val="006605F8"/>
    <w:rsid w:val="006676A1"/>
    <w:rsid w:val="006833BD"/>
    <w:rsid w:val="006D2642"/>
    <w:rsid w:val="006E2D42"/>
    <w:rsid w:val="00706CAB"/>
    <w:rsid w:val="00720FEE"/>
    <w:rsid w:val="00764B6F"/>
    <w:rsid w:val="007C7319"/>
    <w:rsid w:val="007D43B3"/>
    <w:rsid w:val="007F20B4"/>
    <w:rsid w:val="007F525E"/>
    <w:rsid w:val="0082695D"/>
    <w:rsid w:val="0083044C"/>
    <w:rsid w:val="0085182D"/>
    <w:rsid w:val="00860159"/>
    <w:rsid w:val="00867E5F"/>
    <w:rsid w:val="008709F5"/>
    <w:rsid w:val="00877A91"/>
    <w:rsid w:val="00884E86"/>
    <w:rsid w:val="008927FF"/>
    <w:rsid w:val="008B0F18"/>
    <w:rsid w:val="008E3921"/>
    <w:rsid w:val="0090027B"/>
    <w:rsid w:val="00905238"/>
    <w:rsid w:val="0094702A"/>
    <w:rsid w:val="00967DAB"/>
    <w:rsid w:val="00990E76"/>
    <w:rsid w:val="00991A53"/>
    <w:rsid w:val="00996F4E"/>
    <w:rsid w:val="009F71FE"/>
    <w:rsid w:val="00A31F33"/>
    <w:rsid w:val="00A70A62"/>
    <w:rsid w:val="00A71DA8"/>
    <w:rsid w:val="00AB1210"/>
    <w:rsid w:val="00AB770D"/>
    <w:rsid w:val="00AF2088"/>
    <w:rsid w:val="00AF5FB0"/>
    <w:rsid w:val="00B0080A"/>
    <w:rsid w:val="00B0538C"/>
    <w:rsid w:val="00B37AB8"/>
    <w:rsid w:val="00B418DE"/>
    <w:rsid w:val="00B47FE7"/>
    <w:rsid w:val="00B67824"/>
    <w:rsid w:val="00BE15BA"/>
    <w:rsid w:val="00C20ED0"/>
    <w:rsid w:val="00C348A8"/>
    <w:rsid w:val="00C46111"/>
    <w:rsid w:val="00C83332"/>
    <w:rsid w:val="00C95E04"/>
    <w:rsid w:val="00CC0A8F"/>
    <w:rsid w:val="00CC24B6"/>
    <w:rsid w:val="00CC543C"/>
    <w:rsid w:val="00CD3A64"/>
    <w:rsid w:val="00CE08CD"/>
    <w:rsid w:val="00D0664A"/>
    <w:rsid w:val="00D210FA"/>
    <w:rsid w:val="00D30F1D"/>
    <w:rsid w:val="00D55DCE"/>
    <w:rsid w:val="00D57231"/>
    <w:rsid w:val="00D66AFA"/>
    <w:rsid w:val="00D74107"/>
    <w:rsid w:val="00D87B48"/>
    <w:rsid w:val="00D91203"/>
    <w:rsid w:val="00D934AA"/>
    <w:rsid w:val="00D94FD1"/>
    <w:rsid w:val="00E41692"/>
    <w:rsid w:val="00E55D74"/>
    <w:rsid w:val="00E81234"/>
    <w:rsid w:val="00E9037E"/>
    <w:rsid w:val="00EA120D"/>
    <w:rsid w:val="00EA49C3"/>
    <w:rsid w:val="00EB5E14"/>
    <w:rsid w:val="00EB6F36"/>
    <w:rsid w:val="00ED1049"/>
    <w:rsid w:val="00EE19D9"/>
    <w:rsid w:val="00EF26FC"/>
    <w:rsid w:val="00F37523"/>
    <w:rsid w:val="00F50168"/>
    <w:rsid w:val="00F50D34"/>
    <w:rsid w:val="00F61360"/>
    <w:rsid w:val="00FA4395"/>
    <w:rsid w:val="00FB52FE"/>
    <w:rsid w:val="00FC538A"/>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Hyperlink">
    <w:name w:val="Hyperlink"/>
    <w:basedOn w:val="DefaultParagraphFont"/>
    <w:uiPriority w:val="99"/>
    <w:unhideWhenUsed/>
    <w:rsid w:val="00D934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doi.org/10.1186/s12939-021-01612-1"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www.legislation.gov.uk/ukpga/2010/15" TargetMode="External"/><Relationship Id="rId2" Type="http://schemas.openxmlformats.org/officeDocument/2006/relationships/customXml" Target="../customXml/item2.xml"/><Relationship Id="rId16" Type="http://schemas.openxmlformats.org/officeDocument/2006/relationships/hyperlink" Target="https://explore-education-statistics.service.gov.uk/find-statistics/special-educational-needs-in-england/2025-26" TargetMode="External"/><Relationship Id="rId20" Type="http://schemas.openxmlformats.org/officeDocument/2006/relationships/hyperlink" Target="https://www.gov.uk/government/publications/reasonable-adjustments-a-legal-duty/reasonable-adjustments-a-legal-du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oi.org/10.1016/j.nepr.2018.12.008"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nhs.uk/conditions/dyslexia-in-childre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1</Pages>
  <Words>1128</Words>
  <Characters>6430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2026-10-13T12:51:00Z</dcterms:created>
  <dcterms:modified xsi:type="dcterms:W3CDTF">2026-10-13T12:51:00Z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012caffa0eb9e67f2be88ed92b3aa6703cba231af1eba8629bc4020070848f05</vt:lpwstr>
  </property>
</Properties>
</file>