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5A5351" w14:textId="201F345F" w:rsidR="001C2CA0" w:rsidRPr="001C2CA0" w:rsidRDefault="001C2CA0" w:rsidP="00FA0C26">
      <w:pPr>
        <w:rPr>
          <w:rFonts w:ascii="Times New Roman" w:hAnsi="Times New Roman" w:cs="Times New Roman"/>
          <w:sz w:val="24"/>
          <w:szCs w:val="24"/>
        </w:rPr>
      </w:pPr>
      <w:r w:rsidRPr="001C2CA0">
        <w:rPr>
          <w:rFonts w:ascii="Times New Roman" w:hAnsi="Times New Roman" w:cs="Times New Roman"/>
          <w:sz w:val="24"/>
          <w:szCs w:val="24"/>
        </w:rPr>
        <w:t xml:space="preserve">Hume, </w:t>
      </w:r>
      <w:r w:rsidRPr="001C2CA0">
        <w:rPr>
          <w:rFonts w:ascii="Times New Roman" w:hAnsi="Times New Roman" w:cs="Times New Roman"/>
          <w:i/>
          <w:sz w:val="24"/>
          <w:szCs w:val="24"/>
        </w:rPr>
        <w:t xml:space="preserve">Enquiry </w:t>
      </w:r>
      <w:proofErr w:type="spellStart"/>
      <w:r>
        <w:rPr>
          <w:rFonts w:ascii="Times New Roman" w:hAnsi="Times New Roman" w:cs="Times New Roman"/>
          <w:sz w:val="24"/>
          <w:szCs w:val="24"/>
        </w:rPr>
        <w:t>ch</w:t>
      </w:r>
      <w:proofErr w:type="spellEnd"/>
      <w:r>
        <w:rPr>
          <w:rFonts w:ascii="Times New Roman" w:hAnsi="Times New Roman" w:cs="Times New Roman"/>
          <w:sz w:val="24"/>
          <w:szCs w:val="24"/>
        </w:rPr>
        <w:t xml:space="preserve"> </w:t>
      </w:r>
      <w:r w:rsidRPr="001C2CA0">
        <w:rPr>
          <w:rFonts w:ascii="Times New Roman" w:hAnsi="Times New Roman" w:cs="Times New Roman"/>
          <w:sz w:val="24"/>
          <w:szCs w:val="24"/>
        </w:rPr>
        <w:t>VII Part II</w:t>
      </w:r>
    </w:p>
    <w:p w14:paraId="13C52156" w14:textId="056FBF03" w:rsidR="00FA0C26" w:rsidRPr="003E67DA" w:rsidRDefault="00FA0C26" w:rsidP="00FA0C26">
      <w:pPr>
        <w:rPr>
          <w:rFonts w:ascii="Times New Roman" w:hAnsi="Times New Roman" w:cs="Times New Roman"/>
          <w:sz w:val="24"/>
          <w:szCs w:val="24"/>
        </w:rPr>
      </w:pPr>
      <w:r w:rsidRPr="001C2CA0">
        <w:rPr>
          <w:rFonts w:ascii="Times New Roman" w:hAnsi="Times New Roman" w:cs="Times New Roman"/>
          <w:sz w:val="24"/>
          <w:szCs w:val="24"/>
        </w:rPr>
        <w:t>We have looked at every possible source</w:t>
      </w:r>
      <w:r w:rsidRPr="003E67DA">
        <w:rPr>
          <w:rFonts w:ascii="Times New Roman" w:hAnsi="Times New Roman" w:cs="Times New Roman"/>
          <w:sz w:val="24"/>
          <w:szCs w:val="24"/>
        </w:rPr>
        <w:t xml:space="preserve"> for an idea of power or necessary </w:t>
      </w:r>
      <w:proofErr w:type="gramStart"/>
      <w:r w:rsidRPr="003E67DA">
        <w:rPr>
          <w:rFonts w:ascii="Times New Roman" w:hAnsi="Times New Roman" w:cs="Times New Roman"/>
          <w:sz w:val="24"/>
          <w:szCs w:val="24"/>
        </w:rPr>
        <w:t>connection, and</w:t>
      </w:r>
      <w:proofErr w:type="gramEnd"/>
      <w:r w:rsidRPr="003E67DA">
        <w:rPr>
          <w:rFonts w:ascii="Times New Roman" w:hAnsi="Times New Roman" w:cs="Times New Roman"/>
          <w:sz w:val="24"/>
          <w:szCs w:val="24"/>
        </w:rPr>
        <w:t xml:space="preserve"> have found nothing. However</w:t>
      </w:r>
      <w:r w:rsidR="001C2CA0">
        <w:rPr>
          <w:rFonts w:ascii="Times New Roman" w:hAnsi="Times New Roman" w:cs="Times New Roman"/>
          <w:sz w:val="24"/>
          <w:szCs w:val="24"/>
        </w:rPr>
        <w:t xml:space="preserve"> </w:t>
      </w:r>
      <w:r w:rsidRPr="003E67DA">
        <w:rPr>
          <w:rFonts w:ascii="Times New Roman" w:hAnsi="Times New Roman" w:cs="Times New Roman"/>
          <w:sz w:val="24"/>
          <w:szCs w:val="24"/>
        </w:rPr>
        <w:t>hard we look at an isolated physical episode, it seems, we can never discover anything but one event following another; we never ﬁnd any force or power by which the cause operates, or any connection between it and its supposed effect. The same holds for the inﬂuence of mind on body: the mind wills, and then the body moves, and we observe both events; but we don’t observe—and can’t even conceive—•the tie that binds the volition to the motion, i.e. •the energy by which the mind causes the body to move. And the power of the will over its own faculties and ideas—·i.e. over the mind, as distinct from the body·—is no more comprehensible. Summing up, then: throughout the whole of nature there seems not to be a single instance of connection that is conceivable by us. All events seem to be entirely loose and separate. One event follows another, but we never can observe any tie between them. They seem associated, but never connected. And as we can have no idea of anything that never appeared ·as an impression· to our outward sense or inward feeling, we are forced to conclude that we have no idea of ‘connection’ or ‘power’ at all, and that those words—as used in philosophical reasonings or in common life—have absolutely no meaning.</w:t>
      </w:r>
    </w:p>
    <w:p w14:paraId="7FEA89AD" w14:textId="2ED771FA" w:rsidR="001C2CA0" w:rsidRDefault="00FA0C26" w:rsidP="00FA0C26">
      <w:pPr>
        <w:rPr>
          <w:rFonts w:ascii="Times New Roman" w:hAnsi="Times New Roman" w:cs="Times New Roman"/>
          <w:sz w:val="24"/>
          <w:szCs w:val="24"/>
        </w:rPr>
      </w:pPr>
      <w:r w:rsidRPr="003E67DA">
        <w:rPr>
          <w:rFonts w:ascii="Times New Roman" w:hAnsi="Times New Roman" w:cs="Times New Roman"/>
          <w:sz w:val="24"/>
          <w:szCs w:val="24"/>
        </w:rPr>
        <w:t>One escape route may be still open to us: there is one possible source for the idea of connection or power that I haven’t yet examined. When we are confronted by any</w:t>
      </w:r>
      <w:r w:rsidR="001C2CA0">
        <w:rPr>
          <w:rStyle w:val="FootnoteReference"/>
          <w:rFonts w:ascii="Times New Roman" w:hAnsi="Times New Roman" w:cs="Times New Roman"/>
          <w:sz w:val="24"/>
          <w:szCs w:val="24"/>
        </w:rPr>
        <w:footnoteReference w:id="1"/>
      </w:r>
      <w:r w:rsidR="001C2CA0">
        <w:rPr>
          <w:rFonts w:ascii="Times New Roman" w:hAnsi="Times New Roman" w:cs="Times New Roman"/>
          <w:sz w:val="24"/>
          <w:szCs w:val="24"/>
        </w:rPr>
        <w:t xml:space="preserve"> </w:t>
      </w:r>
      <w:r w:rsidRPr="003E67DA">
        <w:rPr>
          <w:rFonts w:ascii="Times New Roman" w:hAnsi="Times New Roman" w:cs="Times New Roman"/>
          <w:sz w:val="24"/>
          <w:szCs w:val="24"/>
        </w:rPr>
        <w:t xml:space="preserve">natural object or event of which we have had no experience, no amount of cleverness and hard work will enable us to discover or even guess what event will result from it, or to make any prediction that goes beyond what is immediately present to our memory and senses. Even after we know from experience what the result was in a </w:t>
      </w:r>
      <w:proofErr w:type="gramStart"/>
      <w:r w:rsidRPr="003E67DA">
        <w:rPr>
          <w:rFonts w:ascii="Times New Roman" w:hAnsi="Times New Roman" w:cs="Times New Roman"/>
          <w:sz w:val="24"/>
          <w:szCs w:val="24"/>
        </w:rPr>
        <w:t>particular case</w:t>
      </w:r>
      <w:proofErr w:type="gramEnd"/>
      <w:r w:rsidRPr="003E67DA">
        <w:rPr>
          <w:rFonts w:ascii="Times New Roman" w:hAnsi="Times New Roman" w:cs="Times New Roman"/>
          <w:sz w:val="24"/>
          <w:szCs w:val="24"/>
        </w:rPr>
        <w:t xml:space="preserve">, we aren’t entitled to bring it under a general rule, or to predict what will happen in similar cases in the future. Basing a view about the whole course of nature on a single experiment, however accurate or certain it may be, is rightly thought to be too bold. But if events of one kind have always in </w:t>
      </w:r>
      <w:r w:rsidRPr="003E67DA">
        <w:rPr>
          <w:rFonts w:ascii="Times New Roman" w:hAnsi="Times New Roman" w:cs="Times New Roman"/>
          <w:sz w:val="24"/>
          <w:szCs w:val="24"/>
        </w:rPr>
        <w:lastRenderedPageBreak/>
        <w:t xml:space="preserve">all instances been associated with events of some one other kind, we no longer shrink from predicting an event of the latter kind when we experience one of the former kind. We then call one the </w:t>
      </w:r>
      <w:proofErr w:type="spellStart"/>
      <w:r w:rsidRPr="003E67DA">
        <w:rPr>
          <w:rFonts w:ascii="Times New Roman" w:hAnsi="Times New Roman" w:cs="Times New Roman"/>
          <w:sz w:val="24"/>
          <w:szCs w:val="24"/>
        </w:rPr>
        <w:t>‘cause</w:t>
      </w:r>
      <w:proofErr w:type="spellEnd"/>
      <w:r w:rsidRPr="003E67DA">
        <w:rPr>
          <w:rFonts w:ascii="Times New Roman" w:hAnsi="Times New Roman" w:cs="Times New Roman"/>
          <w:sz w:val="24"/>
          <w:szCs w:val="24"/>
        </w:rPr>
        <w:t xml:space="preserve">’, and the other the ‘effect’. We suppose there to be some connection between them; some power in the cause by which it infallibly produces the effect, operating with the greatest certainty and strongest necessity. The source of this idea of a necessary connection among events seems to be </w:t>
      </w:r>
      <w:proofErr w:type="gramStart"/>
      <w:r w:rsidRPr="003E67DA">
        <w:rPr>
          <w:rFonts w:ascii="Times New Roman" w:hAnsi="Times New Roman" w:cs="Times New Roman"/>
          <w:sz w:val="24"/>
          <w:szCs w:val="24"/>
        </w:rPr>
        <w:t>a number of</w:t>
      </w:r>
      <w:proofErr w:type="gramEnd"/>
      <w:r w:rsidRPr="003E67DA">
        <w:rPr>
          <w:rFonts w:ascii="Times New Roman" w:hAnsi="Times New Roman" w:cs="Times New Roman"/>
          <w:sz w:val="24"/>
          <w:szCs w:val="24"/>
        </w:rPr>
        <w:t xml:space="preserve"> similar instances of the regular pairing of events of these two kinds; and the idea cannot be prompted by any one of these instances on its own, however comprehensively we examine it. But what can </w:t>
      </w:r>
      <w:proofErr w:type="gramStart"/>
      <w:r w:rsidRPr="003E67DA">
        <w:rPr>
          <w:rFonts w:ascii="Times New Roman" w:hAnsi="Times New Roman" w:cs="Times New Roman"/>
          <w:sz w:val="24"/>
          <w:szCs w:val="24"/>
        </w:rPr>
        <w:t>a number of</w:t>
      </w:r>
      <w:proofErr w:type="gramEnd"/>
      <w:r w:rsidRPr="003E67DA">
        <w:rPr>
          <w:rFonts w:ascii="Times New Roman" w:hAnsi="Times New Roman" w:cs="Times New Roman"/>
          <w:sz w:val="24"/>
          <w:szCs w:val="24"/>
        </w:rPr>
        <w:t xml:space="preserve"> instances contain that is different from any single instance that is supposed to be exactly like them? Only that when the mind experiences many similar instances, it acquires a habit of expectation: the repetition of the pattern affects it in such a way that when it •observes an event of one of the two kinds it •expects an event of the other kind to follow. </w:t>
      </w:r>
      <w:proofErr w:type="gramStart"/>
      <w:r w:rsidRPr="003E67DA">
        <w:rPr>
          <w:rFonts w:ascii="Times New Roman" w:hAnsi="Times New Roman" w:cs="Times New Roman"/>
          <w:sz w:val="24"/>
          <w:szCs w:val="24"/>
        </w:rPr>
        <w:t>So</w:t>
      </w:r>
      <w:proofErr w:type="gramEnd"/>
      <w:r w:rsidRPr="003E67DA">
        <w:rPr>
          <w:rFonts w:ascii="Times New Roman" w:hAnsi="Times New Roman" w:cs="Times New Roman"/>
          <w:sz w:val="24"/>
          <w:szCs w:val="24"/>
        </w:rPr>
        <w:t xml:space="preserve"> the feeling or impression from which we derive our idea of power or necessary connection is a feeling of connection in the mind—a feeling that accompanies the imagination’s habitual move from observing one event to expecting another of the kind that usually follows it. That’s</w:t>
      </w:r>
      <w:r w:rsidR="001C2CA0">
        <w:rPr>
          <w:rFonts w:ascii="Times New Roman" w:hAnsi="Times New Roman" w:cs="Times New Roman"/>
          <w:sz w:val="24"/>
          <w:szCs w:val="24"/>
        </w:rPr>
        <w:t xml:space="preserve"> </w:t>
      </w:r>
      <w:r w:rsidRPr="003E67DA">
        <w:rPr>
          <w:rFonts w:ascii="Times New Roman" w:hAnsi="Times New Roman" w:cs="Times New Roman"/>
          <w:sz w:val="24"/>
          <w:szCs w:val="24"/>
        </w:rPr>
        <w:t xml:space="preserve">all there is to it. Study the topic from all angles; you will never ﬁnd any other origin for that idea. This is the only difference between a single instance (which can never give us the idea of connection) and </w:t>
      </w:r>
      <w:proofErr w:type="gramStart"/>
      <w:r w:rsidRPr="003E67DA">
        <w:rPr>
          <w:rFonts w:ascii="Times New Roman" w:hAnsi="Times New Roman" w:cs="Times New Roman"/>
          <w:sz w:val="24"/>
          <w:szCs w:val="24"/>
        </w:rPr>
        <w:t>a number of</w:t>
      </w:r>
      <w:proofErr w:type="gramEnd"/>
      <w:r w:rsidRPr="003E67DA">
        <w:rPr>
          <w:rFonts w:ascii="Times New Roman" w:hAnsi="Times New Roman" w:cs="Times New Roman"/>
          <w:sz w:val="24"/>
          <w:szCs w:val="24"/>
        </w:rPr>
        <w:t xml:space="preserve"> similar instances (which do suggest the idea). The ﬁrst time a man saw motion being passed from one thing to another in a collision, as when one billiard ball hits another, he couldn’t say that the red ball’s starting to move •</w:t>
      </w:r>
      <w:proofErr w:type="gramStart"/>
      <w:r w:rsidRPr="003E67DA">
        <w:rPr>
          <w:rFonts w:ascii="Times New Roman" w:hAnsi="Times New Roman" w:cs="Times New Roman"/>
          <w:sz w:val="24"/>
          <w:szCs w:val="24"/>
        </w:rPr>
        <w:t>was connected with</w:t>
      </w:r>
      <w:proofErr w:type="gramEnd"/>
      <w:r w:rsidRPr="003E67DA">
        <w:rPr>
          <w:rFonts w:ascii="Times New Roman" w:hAnsi="Times New Roman" w:cs="Times New Roman"/>
          <w:sz w:val="24"/>
          <w:szCs w:val="24"/>
        </w:rPr>
        <w:t xml:space="preserve"> the white ball’s hitting it, but only that one event •followed the other. After seeing several instances of this kind, he then says that they—·i.e. the two events within each instance·—are connected. What has happened to give rise to this new idea of connection? Only that he now feels these events to be connected in his </w:t>
      </w:r>
      <w:proofErr w:type="gramStart"/>
      <w:r w:rsidRPr="003E67DA">
        <w:rPr>
          <w:rFonts w:ascii="Times New Roman" w:hAnsi="Times New Roman" w:cs="Times New Roman"/>
          <w:sz w:val="24"/>
          <w:szCs w:val="24"/>
        </w:rPr>
        <w:t>imagination, and</w:t>
      </w:r>
      <w:proofErr w:type="gramEnd"/>
      <w:r w:rsidRPr="003E67DA">
        <w:rPr>
          <w:rFonts w:ascii="Times New Roman" w:hAnsi="Times New Roman" w:cs="Times New Roman"/>
          <w:sz w:val="24"/>
          <w:szCs w:val="24"/>
        </w:rPr>
        <w:t xml:space="preserve"> can predict the occurrence of one from the appearance of the other. </w:t>
      </w:r>
      <w:proofErr w:type="gramStart"/>
      <w:r w:rsidRPr="003E67DA">
        <w:rPr>
          <w:rFonts w:ascii="Times New Roman" w:hAnsi="Times New Roman" w:cs="Times New Roman"/>
          <w:sz w:val="24"/>
          <w:szCs w:val="24"/>
        </w:rPr>
        <w:t>So</w:t>
      </w:r>
      <w:proofErr w:type="gramEnd"/>
      <w:r w:rsidRPr="003E67DA">
        <w:rPr>
          <w:rFonts w:ascii="Times New Roman" w:hAnsi="Times New Roman" w:cs="Times New Roman"/>
          <w:sz w:val="24"/>
          <w:szCs w:val="24"/>
        </w:rPr>
        <w:t xml:space="preserve"> when we say that one event is connected with another, all we mean is that they have come to be connected in our thought so that we’re willing to conduct this inference through which they are taken to be proofs of each other’s existence. This is a strange conclusion! But it seems to be well supported by the evidence. Even people who are in a general way cautious about what the understanding can achieve, or sceptical about every conclusion that is new and extraordinary, shouldn’t on that account be suspicious of this conclusion. It announces a discovery about the weakness and narrow limits of human reason and capacity—nothing could be more agreeable to scepticism than it is. And what stronger example than this could we ﬁnd of how surprisingly ignorant and weak our understanding is? If there is any relation between objects that it matters to us to know perfectly, it is that of cause and effect. It is the basis for all our reasonings about matters of fact or existence; it alone assures us about objects that are not now present to memory or senses. The only immediate use of all the</w:t>
      </w:r>
      <w:r w:rsidR="001C2CA0">
        <w:rPr>
          <w:rFonts w:ascii="Times New Roman" w:hAnsi="Times New Roman" w:cs="Times New Roman"/>
          <w:sz w:val="24"/>
          <w:szCs w:val="24"/>
        </w:rPr>
        <w:t xml:space="preserve"> </w:t>
      </w:r>
      <w:r w:rsidRPr="003E67DA">
        <w:rPr>
          <w:rFonts w:ascii="Times New Roman" w:hAnsi="Times New Roman" w:cs="Times New Roman"/>
          <w:sz w:val="24"/>
          <w:szCs w:val="24"/>
        </w:rPr>
        <w:t xml:space="preserve">sciences is to teach us how to control and regulate future events through their causes. </w:t>
      </w:r>
      <w:proofErr w:type="gramStart"/>
      <w:r w:rsidRPr="003E67DA">
        <w:rPr>
          <w:rFonts w:ascii="Times New Roman" w:hAnsi="Times New Roman" w:cs="Times New Roman"/>
          <w:sz w:val="24"/>
          <w:szCs w:val="24"/>
        </w:rPr>
        <w:t>So</w:t>
      </w:r>
      <w:proofErr w:type="gramEnd"/>
      <w:r w:rsidRPr="003E67DA">
        <w:rPr>
          <w:rFonts w:ascii="Times New Roman" w:hAnsi="Times New Roman" w:cs="Times New Roman"/>
          <w:sz w:val="24"/>
          <w:szCs w:val="24"/>
        </w:rPr>
        <w:t xml:space="preserve"> our thoughts and enquiries are at every moment concerned with the relation of cause to effect; yet our ideas regarding it are so imperfect that we can’t accurately deﬁne </w:t>
      </w:r>
      <w:proofErr w:type="spellStart"/>
      <w:r w:rsidRPr="003E67DA">
        <w:rPr>
          <w:rFonts w:ascii="Times New Roman" w:hAnsi="Times New Roman" w:cs="Times New Roman"/>
          <w:sz w:val="24"/>
          <w:szCs w:val="24"/>
        </w:rPr>
        <w:t>‘cause</w:t>
      </w:r>
      <w:proofErr w:type="spellEnd"/>
      <w:r w:rsidRPr="003E67DA">
        <w:rPr>
          <w:rFonts w:ascii="Times New Roman" w:hAnsi="Times New Roman" w:cs="Times New Roman"/>
          <w:sz w:val="24"/>
          <w:szCs w:val="24"/>
        </w:rPr>
        <w:t xml:space="preserve">’ except in terms of something that is extraneous to the cause, forming no part of it. ·There are two ways of doing this·. (1) Similar events are always associated with similar. Of this we have experience. Suitably to this experience, therefore, we may deﬁne a </w:t>
      </w:r>
      <w:proofErr w:type="spellStart"/>
      <w:r w:rsidRPr="003E67DA">
        <w:rPr>
          <w:rFonts w:ascii="Times New Roman" w:hAnsi="Times New Roman" w:cs="Times New Roman"/>
          <w:sz w:val="24"/>
          <w:szCs w:val="24"/>
        </w:rPr>
        <w:t>‘cause</w:t>
      </w:r>
      <w:proofErr w:type="spellEnd"/>
      <w:r w:rsidRPr="003E67DA">
        <w:rPr>
          <w:rFonts w:ascii="Times New Roman" w:hAnsi="Times New Roman" w:cs="Times New Roman"/>
          <w:sz w:val="24"/>
          <w:szCs w:val="24"/>
        </w:rPr>
        <w:t xml:space="preserve">’ to be •an event followed by another, where all events </w:t>
      </w:r>
      <w:proofErr w:type="gramStart"/>
      <w:r w:rsidRPr="003E67DA">
        <w:rPr>
          <w:rFonts w:ascii="Times New Roman" w:hAnsi="Times New Roman" w:cs="Times New Roman"/>
          <w:sz w:val="24"/>
          <w:szCs w:val="24"/>
        </w:rPr>
        <w:t>similar to</w:t>
      </w:r>
      <w:proofErr w:type="gramEnd"/>
      <w:r w:rsidRPr="003E67DA">
        <w:rPr>
          <w:rFonts w:ascii="Times New Roman" w:hAnsi="Times New Roman" w:cs="Times New Roman"/>
          <w:sz w:val="24"/>
          <w:szCs w:val="24"/>
        </w:rPr>
        <w:t xml:space="preserve"> the ﬁrst are followed by events similar to the second. Or in other words where if the ﬁrst event hadn’t occurred the second wouldn’t have occurred either. [Hume states all this in terms of the ‘existence’ of ‘objects’ rather than the occurrence of events.] (2) The appearance of a cause always conveys the mind—in a transition brought about through custom—to the idea of the effect. Of this also we have experience. We could embody this experience in another deﬁnition of </w:t>
      </w:r>
      <w:proofErr w:type="spellStart"/>
      <w:r w:rsidRPr="003E67DA">
        <w:rPr>
          <w:rFonts w:ascii="Times New Roman" w:hAnsi="Times New Roman" w:cs="Times New Roman"/>
          <w:sz w:val="24"/>
          <w:szCs w:val="24"/>
        </w:rPr>
        <w:t>‘cause</w:t>
      </w:r>
      <w:proofErr w:type="spellEnd"/>
      <w:r w:rsidRPr="003E67DA">
        <w:rPr>
          <w:rFonts w:ascii="Times New Roman" w:hAnsi="Times New Roman" w:cs="Times New Roman"/>
          <w:sz w:val="24"/>
          <w:szCs w:val="24"/>
        </w:rPr>
        <w:t xml:space="preserve">’: •an event followed by another, where the appearance of the former always conveys the thought to the latter. Each of these deﬁnitions brings in something that lies right outside the cause itself, ·because deﬁnition (1) brings in earlier events </w:t>
      </w:r>
      <w:proofErr w:type="gramStart"/>
      <w:r w:rsidRPr="003E67DA">
        <w:rPr>
          <w:rFonts w:ascii="Times New Roman" w:hAnsi="Times New Roman" w:cs="Times New Roman"/>
          <w:sz w:val="24"/>
          <w:szCs w:val="24"/>
        </w:rPr>
        <w:t>similar to</w:t>
      </w:r>
      <w:proofErr w:type="gramEnd"/>
      <w:r w:rsidRPr="003E67DA">
        <w:rPr>
          <w:rFonts w:ascii="Times New Roman" w:hAnsi="Times New Roman" w:cs="Times New Roman"/>
          <w:sz w:val="24"/>
          <w:szCs w:val="24"/>
        </w:rPr>
        <w:t xml:space="preserve"> the cause, while (2) brings in events in the mind of the speaker·; but there’s no remedy for this drawback. We can’t replace those deﬁnitions by a more perfect one that picks out something in the cause itself that connects it with its effect. We have no idea of this connection; nor even any clear notion of what we are aiming at when we try to form a conception of it. When we say, for instance, that the vibration of this string is ‘the cause of’ this </w:t>
      </w:r>
      <w:proofErr w:type="gramStart"/>
      <w:r w:rsidRPr="003E67DA">
        <w:rPr>
          <w:rFonts w:ascii="Times New Roman" w:hAnsi="Times New Roman" w:cs="Times New Roman"/>
          <w:sz w:val="24"/>
          <w:szCs w:val="24"/>
        </w:rPr>
        <w:t>particular sound</w:t>
      </w:r>
      <w:proofErr w:type="gramEnd"/>
      <w:r w:rsidRPr="003E67DA">
        <w:rPr>
          <w:rFonts w:ascii="Times New Roman" w:hAnsi="Times New Roman" w:cs="Times New Roman"/>
          <w:sz w:val="24"/>
          <w:szCs w:val="24"/>
        </w:rPr>
        <w:t>, we mean that this vibration is followed by this sound and either that all similar vibrations have been followed by</w:t>
      </w:r>
      <w:r w:rsidR="001C2CA0">
        <w:rPr>
          <w:rFonts w:ascii="Times New Roman" w:hAnsi="Times New Roman" w:cs="Times New Roman"/>
          <w:sz w:val="24"/>
          <w:szCs w:val="24"/>
        </w:rPr>
        <w:t xml:space="preserve"> </w:t>
      </w:r>
      <w:r w:rsidRPr="003E67DA">
        <w:rPr>
          <w:rFonts w:ascii="Times New Roman" w:hAnsi="Times New Roman" w:cs="Times New Roman"/>
          <w:sz w:val="24"/>
          <w:szCs w:val="24"/>
        </w:rPr>
        <w:t xml:space="preserve">similar sounds or that when the mind sees the vibration it immediately forms an anticipatory idea of the sound. We can look at the cause-effect relation in either of these ways; we have no other idea of it. </w:t>
      </w:r>
      <w:r w:rsidR="001C2CA0">
        <w:rPr>
          <w:rFonts w:ascii="Times New Roman" w:hAnsi="Times New Roman" w:cs="Times New Roman"/>
          <w:sz w:val="24"/>
          <w:szCs w:val="24"/>
        </w:rPr>
        <w:t>[</w:t>
      </w:r>
      <w:r w:rsidRPr="003E67DA">
        <w:rPr>
          <w:rFonts w:ascii="Times New Roman" w:hAnsi="Times New Roman" w:cs="Times New Roman"/>
          <w:sz w:val="24"/>
          <w:szCs w:val="24"/>
        </w:rPr>
        <w:t xml:space="preserve">START OF A VAST FOOTNOTE· According to these explanations and deﬁnitions, the idea of power is as relative as the idea of cause is. Each refers to an effect, or some other event constantly associated with the former. When we consider the unknown nature of an object that ﬁxes what effects it will have, we call that its ‘power’; which is why everyone agrees that a thing’s effects provide a measure of its power. But if they had any idea of power as it </w:t>
      </w:r>
      <w:proofErr w:type="gramStart"/>
      <w:r w:rsidRPr="003E67DA">
        <w:rPr>
          <w:rFonts w:ascii="Times New Roman" w:hAnsi="Times New Roman" w:cs="Times New Roman"/>
          <w:sz w:val="24"/>
          <w:szCs w:val="24"/>
        </w:rPr>
        <w:t>is in itself, why</w:t>
      </w:r>
      <w:proofErr w:type="gramEnd"/>
      <w:r w:rsidRPr="003E67DA">
        <w:rPr>
          <w:rFonts w:ascii="Times New Roman" w:hAnsi="Times New Roman" w:cs="Times New Roman"/>
          <w:sz w:val="24"/>
          <w:szCs w:val="24"/>
        </w:rPr>
        <w:t xml:space="preserve"> couldn’t they measure it in itself? </w:t>
      </w:r>
      <w:proofErr w:type="gramStart"/>
      <w:r w:rsidRPr="003E67DA">
        <w:rPr>
          <w:rFonts w:ascii="Times New Roman" w:hAnsi="Times New Roman" w:cs="Times New Roman"/>
          <w:sz w:val="24"/>
          <w:szCs w:val="24"/>
        </w:rPr>
        <w:t>Similarly</w:t>
      </w:r>
      <w:proofErr w:type="gramEnd"/>
      <w:r w:rsidRPr="003E67DA">
        <w:rPr>
          <w:rFonts w:ascii="Times New Roman" w:hAnsi="Times New Roman" w:cs="Times New Roman"/>
          <w:sz w:val="24"/>
          <w:szCs w:val="24"/>
        </w:rPr>
        <w:t xml:space="preserve"> with the dispute about whether the force of a body in motion is proportional to its velocity or to the square of its velocity: if we had an idea of power as it is in itself, this dispute could be settled by direct measuring and comparison, with no need to compare effects in ‘power’; which is why everyone agrees that a thing’s effects provide a measure of its power. But if they had any idea of power as it </w:t>
      </w:r>
      <w:proofErr w:type="gramStart"/>
      <w:r w:rsidRPr="003E67DA">
        <w:rPr>
          <w:rFonts w:ascii="Times New Roman" w:hAnsi="Times New Roman" w:cs="Times New Roman"/>
          <w:sz w:val="24"/>
          <w:szCs w:val="24"/>
        </w:rPr>
        <w:t>is in itself, why</w:t>
      </w:r>
      <w:proofErr w:type="gramEnd"/>
      <w:r w:rsidRPr="003E67DA">
        <w:rPr>
          <w:rFonts w:ascii="Times New Roman" w:hAnsi="Times New Roman" w:cs="Times New Roman"/>
          <w:sz w:val="24"/>
          <w:szCs w:val="24"/>
        </w:rPr>
        <w:t xml:space="preserve"> couldn’t they measure it in itself? </w:t>
      </w:r>
      <w:proofErr w:type="gramStart"/>
      <w:r w:rsidRPr="003E67DA">
        <w:rPr>
          <w:rFonts w:ascii="Times New Roman" w:hAnsi="Times New Roman" w:cs="Times New Roman"/>
          <w:sz w:val="24"/>
          <w:szCs w:val="24"/>
        </w:rPr>
        <w:t>Similarly</w:t>
      </w:r>
      <w:proofErr w:type="gramEnd"/>
      <w:r w:rsidRPr="003E67DA">
        <w:rPr>
          <w:rFonts w:ascii="Times New Roman" w:hAnsi="Times New Roman" w:cs="Times New Roman"/>
          <w:sz w:val="24"/>
          <w:szCs w:val="24"/>
        </w:rPr>
        <w:t xml:space="preserve"> with the dispute about whether the force of a body in motion is proportional to its velocity or to the square of its velocity: if we had an idea of power as it is in itself, this dispute could be settled by direct measuring and comparison, with no need to compare effects in equal or unequal times. It is true that the words ‘force’, ‘power’, ‘energy’ etc. occur frequently throughout everyday conversation as well as in philosophy; but that doesn’t show that we are ever acquainted with the connecting principle between cause and effect, or that we can account ultimately for one event’s causing another. These words, as commonly used, have very loose meanings, and their ideas—·i.e. the associated ideas that give them their meanings·—are very uncertain</w:t>
      </w:r>
      <w:r w:rsidR="001C2CA0">
        <w:rPr>
          <w:rFonts w:ascii="Times New Roman" w:hAnsi="Times New Roman" w:cs="Times New Roman"/>
          <w:sz w:val="24"/>
          <w:szCs w:val="24"/>
        </w:rPr>
        <w:t xml:space="preserve"> </w:t>
      </w:r>
      <w:r w:rsidRPr="003E67DA">
        <w:rPr>
          <w:rFonts w:ascii="Times New Roman" w:hAnsi="Times New Roman" w:cs="Times New Roman"/>
          <w:sz w:val="24"/>
          <w:szCs w:val="24"/>
        </w:rPr>
        <w:t xml:space="preserve">and confused. Those ideas fall into two groups, each of which is animistic, treating inanimate causes and effects as though they were alive. (1) One group comes into play when a cause-effect transaction is thought of as involving a transfer of motion from one object to another. (2) The other group are the ideas that are treated in my account of causal reasoning. (1) No animal can set external bodies into motion without a feeling of effort; and every animal knows the feeling of being pushed or hit by a moving external object. These sensations—which are merely animal, and from which we can a priori draw no conclusions—we are inclined to transfer to inanimate objects, and to suppose that they have some such feelings whenever motion is transferred by them or to them. ·For example, we suppose or pretend that the white billiard ball exerts an effort which it feels, and that the red one feels the impact of the white one·. (2) When one event causes </w:t>
      </w:r>
      <w:proofErr w:type="gramStart"/>
      <w:r w:rsidRPr="003E67DA">
        <w:rPr>
          <w:rFonts w:ascii="Times New Roman" w:hAnsi="Times New Roman" w:cs="Times New Roman"/>
          <w:sz w:val="24"/>
          <w:szCs w:val="24"/>
        </w:rPr>
        <w:t>another</w:t>
      </w:r>
      <w:proofErr w:type="gramEnd"/>
      <w:r w:rsidRPr="003E67DA">
        <w:rPr>
          <w:rFonts w:ascii="Times New Roman" w:hAnsi="Times New Roman" w:cs="Times New Roman"/>
          <w:sz w:val="24"/>
          <w:szCs w:val="24"/>
        </w:rPr>
        <w:t xml:space="preserve"> and we don’t bring the thought of motion-transfer into play, ·we have no way of bringing in the ideas based on the feelings of pushing or being pushed, and so· we take into account only the constant experienced association of the two kinds of events. That has set up in our minds a habitual connection between our ideas of the two events, and we transfer the feeling of that mental connection to the objects. We attribute to external bodies internal sensations which they induce in us; this is </w:t>
      </w:r>
      <w:proofErr w:type="gramStart"/>
      <w:r w:rsidRPr="003E67DA">
        <w:rPr>
          <w:rFonts w:ascii="Times New Roman" w:hAnsi="Times New Roman" w:cs="Times New Roman"/>
          <w:sz w:val="24"/>
          <w:szCs w:val="24"/>
        </w:rPr>
        <w:t>absolutely normal</w:t>
      </w:r>
      <w:proofErr w:type="gramEnd"/>
      <w:r w:rsidRPr="003E67DA">
        <w:rPr>
          <w:rFonts w:ascii="Times New Roman" w:hAnsi="Times New Roman" w:cs="Times New Roman"/>
          <w:sz w:val="24"/>
          <w:szCs w:val="24"/>
        </w:rPr>
        <w:t xml:space="preserve"> human practice. [In another of his works, Hume writes: ‘The mind has a great propensity to spread itself on external objects, and to conjoin with them any internal impressions which they occasion.’] ·END OF THE VAST FOOTNOTE</w:t>
      </w:r>
      <w:r w:rsidR="001C2CA0">
        <w:rPr>
          <w:rFonts w:ascii="Times New Roman" w:hAnsi="Times New Roman" w:cs="Times New Roman"/>
          <w:sz w:val="24"/>
          <w:szCs w:val="24"/>
        </w:rPr>
        <w:t>]</w:t>
      </w:r>
    </w:p>
    <w:p w14:paraId="07FA5E4E" w14:textId="0DAB42E3" w:rsidR="00FA0C26" w:rsidRPr="003E67DA" w:rsidRDefault="00FA0C26" w:rsidP="00FA0C26">
      <w:pPr>
        <w:rPr>
          <w:rFonts w:ascii="Times New Roman" w:hAnsi="Times New Roman" w:cs="Times New Roman"/>
          <w:sz w:val="24"/>
          <w:szCs w:val="24"/>
        </w:rPr>
      </w:pPr>
      <w:r w:rsidRPr="003E67DA">
        <w:rPr>
          <w:rFonts w:ascii="Times New Roman" w:hAnsi="Times New Roman" w:cs="Times New Roman"/>
          <w:sz w:val="24"/>
          <w:szCs w:val="24"/>
        </w:rPr>
        <w:t>To sum up the reasonings of this section: Every idea is</w:t>
      </w:r>
      <w:r w:rsidR="001C2CA0">
        <w:rPr>
          <w:rFonts w:ascii="Times New Roman" w:hAnsi="Times New Roman" w:cs="Times New Roman"/>
          <w:sz w:val="24"/>
          <w:szCs w:val="24"/>
        </w:rPr>
        <w:t xml:space="preserve"> </w:t>
      </w:r>
      <w:r w:rsidRPr="003E67DA">
        <w:rPr>
          <w:rFonts w:ascii="Times New Roman" w:hAnsi="Times New Roman" w:cs="Times New Roman"/>
          <w:sz w:val="24"/>
          <w:szCs w:val="24"/>
        </w:rPr>
        <w:t xml:space="preserve">copied from a previous impression or feeling, and where we can’t ﬁnd any impression we may be certain that there is no idea. No isolated episode of mental or physical causation yields any impression of power or necessary connection. Therefore, no such episode can prompt us to form any idea of power or necessary connection. When many similar episodes are observed to occur, however, and events of one kind are always followed events of a second kind, we then start to form the notion of cause and connection. The experience of this regularity gives us a new •impression, namely ·the feeling or impression of· a custom-induced connection in our thought or imagination between one event and another; and the idea that we have been hunting for—·the idea of power or necessary connection·—is copied from •this impression. ·Here is why this must be right·. The idea arises from a series of similar episodes and not from any one taken singly; </w:t>
      </w:r>
      <w:proofErr w:type="gramStart"/>
      <w:r w:rsidRPr="003E67DA">
        <w:rPr>
          <w:rFonts w:ascii="Times New Roman" w:hAnsi="Times New Roman" w:cs="Times New Roman"/>
          <w:sz w:val="24"/>
          <w:szCs w:val="24"/>
        </w:rPr>
        <w:t>so</w:t>
      </w:r>
      <w:proofErr w:type="gramEnd"/>
      <w:r w:rsidRPr="003E67DA">
        <w:rPr>
          <w:rFonts w:ascii="Times New Roman" w:hAnsi="Times New Roman" w:cs="Times New Roman"/>
          <w:sz w:val="24"/>
          <w:szCs w:val="24"/>
        </w:rPr>
        <w:t xml:space="preserve"> it must arise from whatever it is that differentiates the series from each individual episode; and the only difference is this customary connection or transition of the imagination. In every other respect, each individual episode is just like the whole series. To return to our humdrum example: The ﬁrst time we saw motion being transferred through a collision between two billiard balls, what we saw was exactly like any other such collision that we might see now; the only difference was that on that ﬁrst occasion we couldn’t infer one event from the other, as we can now after such a long course of uniform experience. I do not know whether the reader will easily grasp this reasoning. I am afraid that if I were to go on longer about it, presenting it from a greater variety of angles, it would only become more obscure and complicated.</w:t>
      </w:r>
    </w:p>
    <w:p w14:paraId="4BC18C35" w14:textId="1A3C563E" w:rsidR="00BD346A" w:rsidRPr="003E67DA" w:rsidRDefault="002B36CF" w:rsidP="00FA0C26">
      <w:pPr>
        <w:rPr>
          <w:rFonts w:ascii="Times New Roman" w:hAnsi="Times New Roman" w:cs="Times New Roman"/>
          <w:sz w:val="24"/>
          <w:szCs w:val="24"/>
        </w:rPr>
      </w:pPr>
      <w:bookmarkStart w:id="0" w:name="_GoBack"/>
      <w:bookmarkEnd w:id="0"/>
    </w:p>
    <w:sectPr w:rsidR="00BD346A" w:rsidRPr="003E67D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6C1001" w14:textId="77777777" w:rsidR="002B36CF" w:rsidRDefault="002B36CF" w:rsidP="001C2CA0">
      <w:pPr>
        <w:spacing w:after="0" w:line="240" w:lineRule="auto"/>
      </w:pPr>
      <w:r>
        <w:separator/>
      </w:r>
    </w:p>
  </w:endnote>
  <w:endnote w:type="continuationSeparator" w:id="0">
    <w:p w14:paraId="3A75D58B" w14:textId="77777777" w:rsidR="002B36CF" w:rsidRDefault="002B36CF" w:rsidP="001C2C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73FA87" w14:textId="77777777" w:rsidR="002B36CF" w:rsidRDefault="002B36CF" w:rsidP="001C2CA0">
      <w:pPr>
        <w:spacing w:after="0" w:line="240" w:lineRule="auto"/>
      </w:pPr>
      <w:r>
        <w:separator/>
      </w:r>
    </w:p>
  </w:footnote>
  <w:footnote w:type="continuationSeparator" w:id="0">
    <w:p w14:paraId="1F586966" w14:textId="77777777" w:rsidR="002B36CF" w:rsidRDefault="002B36CF" w:rsidP="001C2CA0">
      <w:pPr>
        <w:spacing w:after="0" w:line="240" w:lineRule="auto"/>
      </w:pPr>
      <w:r>
        <w:continuationSeparator/>
      </w:r>
    </w:p>
  </w:footnote>
  <w:footnote w:id="1">
    <w:p w14:paraId="4D5DDE7B" w14:textId="77777777" w:rsidR="001C2CA0" w:rsidRPr="003E67DA" w:rsidRDefault="001C2CA0" w:rsidP="001C2CA0">
      <w:pPr>
        <w:rPr>
          <w:rFonts w:ascii="Times New Roman" w:hAnsi="Times New Roman" w:cs="Times New Roman"/>
          <w:sz w:val="24"/>
          <w:szCs w:val="24"/>
        </w:rPr>
      </w:pPr>
      <w:r>
        <w:rPr>
          <w:rStyle w:val="FootnoteReference"/>
        </w:rPr>
        <w:footnoteRef/>
      </w:r>
      <w:r>
        <w:t xml:space="preserve"> </w:t>
      </w:r>
      <w:r w:rsidRPr="003E67DA">
        <w:rPr>
          <w:rFonts w:ascii="Times New Roman" w:hAnsi="Times New Roman" w:cs="Times New Roman"/>
          <w:sz w:val="24"/>
          <w:szCs w:val="24"/>
        </w:rPr>
        <w:t xml:space="preserve">I needn’t examine at length the inertia which is so much talked of in the new science, and which is ascribed to matter. We ﬁnd by experience that a body at rest or in motion continues in that state until some new cause acts upon it; and that when a body is bumped into it takes as much motion from the bumping body as it acquires itself. These are facts. When we call this a power of inertia, we merely record these facts without claiming to have any idea of the inert power; just as in talking of gravity we mean certain effects without having any grasp of that active power. Sir Isaac Newton never meant to deny all force or energy to causes other than God, though some of his followers have tried to establish that theory on his authority. On the contrary, that great scientist invoked an </w:t>
      </w:r>
      <w:proofErr w:type="spellStart"/>
      <w:r w:rsidRPr="003E67DA">
        <w:rPr>
          <w:rFonts w:ascii="Times New Roman" w:hAnsi="Times New Roman" w:cs="Times New Roman"/>
          <w:sz w:val="24"/>
          <w:szCs w:val="24"/>
        </w:rPr>
        <w:t>etherial</w:t>
      </w:r>
      <w:proofErr w:type="spellEnd"/>
      <w:r w:rsidRPr="003E67DA">
        <w:rPr>
          <w:rFonts w:ascii="Times New Roman" w:hAnsi="Times New Roman" w:cs="Times New Roman"/>
          <w:sz w:val="24"/>
          <w:szCs w:val="24"/>
        </w:rPr>
        <w:t xml:space="preserve"> active ﬂuid to explain his universal attraction; though he was cautious and modest enough to allow that this was a mere hypothesis, not to be insisted on without more experiments. I have to say that there’s something odd about what happens to opinions. Descartes hinted at the doctrine that only God has real power or efﬁcacy, though he didn’t insist on this. Malebranche and other Cartesians made it the foundation of all their philosophy. But the doctrine had no authority in England. Locke, Clarke, and Cudworth never so much as mention it, and assume all along that matter has real power, though of a subordinate and derived kind. By what means has it—·that is, the doctrine that God is the only being with causal power·—become so prevalent among our modern metaphysicians?</w:t>
      </w:r>
    </w:p>
    <w:p w14:paraId="549692EF" w14:textId="38042491" w:rsidR="001C2CA0" w:rsidRDefault="001C2CA0">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C26"/>
    <w:rsid w:val="001C2CA0"/>
    <w:rsid w:val="002B36CF"/>
    <w:rsid w:val="003E67DA"/>
    <w:rsid w:val="006D63D6"/>
    <w:rsid w:val="008E214F"/>
    <w:rsid w:val="008F799C"/>
    <w:rsid w:val="00FA0C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7C16B"/>
  <w15:chartTrackingRefBased/>
  <w15:docId w15:val="{0FAA5A39-DDDA-48B0-A0DE-44343AAD2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C2CA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C2CA0"/>
    <w:rPr>
      <w:sz w:val="20"/>
      <w:szCs w:val="20"/>
    </w:rPr>
  </w:style>
  <w:style w:type="character" w:styleId="FootnoteReference">
    <w:name w:val="footnote reference"/>
    <w:basedOn w:val="DefaultParagraphFont"/>
    <w:uiPriority w:val="99"/>
    <w:semiHidden/>
    <w:unhideWhenUsed/>
    <w:rsid w:val="001C2CA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A052AB-21E0-4A7E-AB24-EFBD66AE7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1931</Words>
  <Characters>11012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Cockburn</dc:creator>
  <cp:keywords/>
  <dc:description/>
  <cp:lastModifiedBy>David Cockburn</cp:lastModifiedBy>
  <cp:revision>3</cp:revision>
  <dcterms:created xsi:type="dcterms:W3CDTF">2018-07-03T06:48:00Z</dcterms:created>
  <dcterms:modified xsi:type="dcterms:W3CDTF">2018-07-03T06:56:00Z</dcterms:modified>
</cp:coreProperties>
</file>