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59310E" w14:textId="77777777" w:rsidR="00BA7D79" w:rsidRDefault="00BA7D79" w:rsidP="00BA7D79">
      <w:pPr>
        <w:jc w:val="center"/>
      </w:pPr>
      <w:r>
        <w:rPr>
          <w:noProof/>
        </w:rPr>
        <w:drawing>
          <wp:inline distT="0" distB="0" distL="0" distR="0" wp14:anchorId="3B33F2D1" wp14:editId="52F70894">
            <wp:extent cx="3470061" cy="1381539"/>
            <wp:effectExtent l="0" t="0" r="0" b="0"/>
            <wp:docPr id="1056826316" name="Picture 1" descr="University of Wales Trinity Saint David - Univers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826316" name="Picture 1" descr="University of Wales Trinity Saint David - University ..."/>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486892" cy="1388240"/>
                    </a:xfrm>
                    <a:prstGeom prst="rect">
                      <a:avLst/>
                    </a:prstGeom>
                    <a:noFill/>
                    <a:ln>
                      <a:noFill/>
                    </a:ln>
                  </pic:spPr>
                </pic:pic>
              </a:graphicData>
            </a:graphic>
          </wp:inline>
        </w:drawing>
      </w:r>
    </w:p>
    <w:p w14:paraId="56BBDA26" w14:textId="77777777" w:rsidR="00BA7D79" w:rsidRDefault="00BA7D79" w:rsidP="00BA7D79">
      <w:pPr>
        <w:jc w:val="center"/>
        <w:rPr>
          <w:b/>
          <w:bCs/>
          <w:sz w:val="32"/>
          <w:szCs w:val="28"/>
        </w:rPr>
      </w:pPr>
    </w:p>
    <w:p w14:paraId="7FACCB94" w14:textId="77777777" w:rsidR="00BA7D79" w:rsidRPr="00AA41C1" w:rsidRDefault="00BA7D79" w:rsidP="00BA7D79">
      <w:pPr>
        <w:jc w:val="center"/>
        <w:rPr>
          <w:b/>
          <w:bCs/>
          <w:sz w:val="32"/>
          <w:szCs w:val="28"/>
        </w:rPr>
      </w:pPr>
      <w:r w:rsidRPr="00AA41C1">
        <w:rPr>
          <w:b/>
          <w:bCs/>
          <w:sz w:val="32"/>
          <w:szCs w:val="28"/>
        </w:rPr>
        <w:t>LCMB7024 Marketing Management</w:t>
      </w:r>
    </w:p>
    <w:p w14:paraId="28F033E3" w14:textId="77777777" w:rsidR="00B02B4C" w:rsidRDefault="00B02B4C" w:rsidP="00BA7D79">
      <w:pPr>
        <w:jc w:val="center"/>
        <w:rPr>
          <w:b/>
          <w:bCs/>
          <w:sz w:val="32"/>
          <w:szCs w:val="28"/>
        </w:rPr>
      </w:pPr>
    </w:p>
    <w:p w14:paraId="230ADC90" w14:textId="122B79E6" w:rsidR="00BA7D79" w:rsidRDefault="00BA7D79" w:rsidP="00BA7D79">
      <w:pPr>
        <w:jc w:val="center"/>
        <w:rPr>
          <w:b/>
          <w:bCs/>
          <w:sz w:val="32"/>
          <w:szCs w:val="28"/>
        </w:rPr>
      </w:pPr>
      <w:r w:rsidRPr="00AA41C1">
        <w:rPr>
          <w:b/>
          <w:bCs/>
          <w:sz w:val="32"/>
          <w:szCs w:val="28"/>
        </w:rPr>
        <w:t>Assessment Component 1- Essay</w:t>
      </w:r>
    </w:p>
    <w:p w14:paraId="72BC3416" w14:textId="77777777" w:rsidR="00BA7D79" w:rsidRDefault="00BA7D79" w:rsidP="00BA7D79">
      <w:pPr>
        <w:jc w:val="center"/>
        <w:rPr>
          <w:b/>
          <w:bCs/>
          <w:sz w:val="32"/>
          <w:szCs w:val="28"/>
        </w:rPr>
      </w:pPr>
    </w:p>
    <w:p w14:paraId="39271D8A" w14:textId="77777777" w:rsidR="00BA7D79" w:rsidRPr="004401BD" w:rsidRDefault="00BA7D79" w:rsidP="00BA7D79">
      <w:pPr>
        <w:jc w:val="center"/>
        <w:rPr>
          <w:b/>
          <w:bCs/>
          <w:sz w:val="28"/>
        </w:rPr>
      </w:pPr>
      <w:r w:rsidRPr="004401BD">
        <w:rPr>
          <w:b/>
          <w:bCs/>
          <w:sz w:val="28"/>
        </w:rPr>
        <w:t>Essay Title: "Pioneers vs. Followers: Strategic Market Entry and Competitive Advantage in the Product Life Cycle"</w:t>
      </w:r>
    </w:p>
    <w:p w14:paraId="2CA5000A" w14:textId="77777777" w:rsidR="00BA7D79" w:rsidRDefault="00BA7D79" w:rsidP="00BA7D79"/>
    <w:p w14:paraId="50FF4F5B" w14:textId="77777777" w:rsidR="00BA7D79" w:rsidRDefault="00BA7D79" w:rsidP="00BA7D79"/>
    <w:p w14:paraId="3AC75DA8" w14:textId="4A5C7D0A" w:rsidR="00BA7D79" w:rsidRPr="00AA41C1" w:rsidRDefault="00BA7D79" w:rsidP="00155637">
      <w:pPr>
        <w:jc w:val="left"/>
        <w:rPr>
          <w:b/>
          <w:bCs/>
          <w:sz w:val="28"/>
        </w:rPr>
      </w:pPr>
      <w:r w:rsidRPr="00AA41C1">
        <w:rPr>
          <w:b/>
          <w:bCs/>
          <w:sz w:val="28"/>
        </w:rPr>
        <w:t>Student Name:</w:t>
      </w:r>
      <w:r w:rsidR="00155637">
        <w:rPr>
          <w:b/>
          <w:bCs/>
          <w:sz w:val="28"/>
        </w:rPr>
        <w:t xml:space="preserve"> Joynul Hussain Tuhin</w:t>
      </w:r>
    </w:p>
    <w:p w14:paraId="0D60C037" w14:textId="1881B18A" w:rsidR="00BA7D79" w:rsidRDefault="00BA7D79" w:rsidP="00155637">
      <w:pPr>
        <w:jc w:val="left"/>
        <w:rPr>
          <w:b/>
          <w:bCs/>
          <w:sz w:val="28"/>
        </w:rPr>
      </w:pPr>
      <w:r w:rsidRPr="00AA41C1">
        <w:rPr>
          <w:b/>
          <w:bCs/>
          <w:sz w:val="28"/>
        </w:rPr>
        <w:t>Student ID:</w:t>
      </w:r>
      <w:r w:rsidR="00155637">
        <w:rPr>
          <w:b/>
          <w:bCs/>
          <w:sz w:val="28"/>
        </w:rPr>
        <w:t xml:space="preserve"> 2422037</w:t>
      </w:r>
    </w:p>
    <w:p w14:paraId="3755B1D0" w14:textId="77777777" w:rsidR="00A166AC" w:rsidRDefault="00A166AC" w:rsidP="00155637">
      <w:pPr>
        <w:jc w:val="left"/>
        <w:rPr>
          <w:b/>
          <w:bCs/>
          <w:sz w:val="28"/>
        </w:rPr>
      </w:pPr>
    </w:p>
    <w:p w14:paraId="45C7A25E" w14:textId="77777777" w:rsidR="00A166AC" w:rsidRPr="00AA41C1" w:rsidRDefault="00A166AC" w:rsidP="00155637">
      <w:pPr>
        <w:jc w:val="left"/>
        <w:rPr>
          <w:b/>
          <w:bCs/>
          <w:sz w:val="28"/>
        </w:rPr>
      </w:pPr>
    </w:p>
    <w:p w14:paraId="58658DDE" w14:textId="2D97040C" w:rsidR="006A6E23" w:rsidRPr="00A166AC" w:rsidRDefault="00A166AC" w:rsidP="006A6E23">
      <w:pPr>
        <w:rPr>
          <w:b/>
          <w:bCs/>
          <w:sz w:val="28"/>
          <w:szCs w:val="28"/>
        </w:rPr>
      </w:pPr>
      <w:r w:rsidRPr="00A166AC">
        <w:rPr>
          <w:b/>
          <w:bCs/>
          <w:sz w:val="28"/>
          <w:szCs w:val="28"/>
        </w:rPr>
        <w:t xml:space="preserve">Lecturer Name: </w:t>
      </w:r>
      <w:r>
        <w:rPr>
          <w:b/>
          <w:bCs/>
          <w:sz w:val="28"/>
          <w:szCs w:val="28"/>
        </w:rPr>
        <w:t xml:space="preserve">Dr Laila </w:t>
      </w:r>
      <w:proofErr w:type="spellStart"/>
      <w:r>
        <w:rPr>
          <w:b/>
          <w:bCs/>
          <w:sz w:val="28"/>
          <w:szCs w:val="28"/>
        </w:rPr>
        <w:t>Maazouz</w:t>
      </w:r>
      <w:proofErr w:type="spellEnd"/>
    </w:p>
    <w:p w14:paraId="4B006EB7" w14:textId="77777777" w:rsidR="006A6E23" w:rsidRDefault="006A6E23" w:rsidP="006A6E23"/>
    <w:p w14:paraId="6AA43FFD" w14:textId="77777777" w:rsidR="006A6E23" w:rsidRDefault="006A6E23" w:rsidP="006A6E23"/>
    <w:p w14:paraId="3A37C120" w14:textId="77777777" w:rsidR="006A6E23" w:rsidRDefault="006A6E23" w:rsidP="006A6E23"/>
    <w:p w14:paraId="07F8B7E7" w14:textId="77777777" w:rsidR="006A6E23" w:rsidRDefault="006A6E23" w:rsidP="006A6E23"/>
    <w:p w14:paraId="6BB3D323" w14:textId="77777777" w:rsidR="006A6E23" w:rsidRDefault="006A6E23" w:rsidP="006A6E23"/>
    <w:p w14:paraId="42236C31" w14:textId="65415838" w:rsidR="00276CB7" w:rsidRPr="00276CB7" w:rsidRDefault="00276CB7" w:rsidP="00276CB7">
      <w:pPr>
        <w:rPr>
          <w:sz w:val="48"/>
          <w:szCs w:val="23"/>
        </w:rPr>
        <w:sectPr w:rsidR="00276CB7" w:rsidRPr="00276CB7" w:rsidSect="00C935F9">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20" w:footer="720" w:gutter="0"/>
          <w:cols w:space="720"/>
          <w:docGrid w:linePitch="360"/>
        </w:sectPr>
      </w:pPr>
    </w:p>
    <w:p w14:paraId="7600482D" w14:textId="1A95BECB" w:rsidR="000D6484" w:rsidRPr="006647CF" w:rsidRDefault="006647CF" w:rsidP="000D6484">
      <w:pPr>
        <w:pStyle w:val="Heading1"/>
        <w:rPr>
          <w:rFonts w:cs="Times New Roman"/>
        </w:rPr>
      </w:pPr>
      <w:bookmarkStart w:id="0" w:name="_Toc162951508"/>
      <w:r w:rsidRPr="006647CF">
        <w:rPr>
          <w:rFonts w:cs="Times New Roman"/>
        </w:rPr>
        <w:lastRenderedPageBreak/>
        <w:t>Introduction</w:t>
      </w:r>
      <w:bookmarkEnd w:id="0"/>
    </w:p>
    <w:p w14:paraId="08F35C99" w14:textId="0E9F95BB" w:rsidR="001133CF" w:rsidRDefault="006344A5" w:rsidP="006344A5">
      <w:r>
        <w:t>Every business must make a choice when entering a particular market</w:t>
      </w:r>
      <w:r w:rsidR="00646998">
        <w:t xml:space="preserve"> which is</w:t>
      </w:r>
      <w:r>
        <w:t xml:space="preserve"> to be a leader or a follower</w:t>
      </w:r>
      <w:r w:rsidRPr="006344A5">
        <w:t>.</w:t>
      </w:r>
      <w:r>
        <w:t xml:space="preserve"> A first mover sets the pattern by being the first to offer a new product, a new service, or a new technology in the marketplace</w:t>
      </w:r>
      <w:r w:rsidR="00BA7D79">
        <w:t xml:space="preserve">. </w:t>
      </w:r>
      <w:r>
        <w:t xml:space="preserve">On the other hand, a follower comes to the market later and states from the pioneer’s experiences to tweak the service offerings, cut down the cost, and avoid targeting obscure niches </w:t>
      </w:r>
      <w:r w:rsidRPr="006344A5">
        <w:t>(Kotler et al., 2020).</w:t>
      </w:r>
      <w:r>
        <w:t xml:space="preserve"> The timing is crucial in this decision because early entry offers the opportunity to create a strong market identity, while the later entrants can correct the shortcomings of their products based on the response from consumers</w:t>
      </w:r>
      <w:r w:rsidR="00BA7D79">
        <w:t>.</w:t>
      </w:r>
      <w:r w:rsidR="00BF124D">
        <w:t xml:space="preserve"> </w:t>
      </w:r>
      <w:r>
        <w:t xml:space="preserve">This essay discusses the two approaches of a leader and a manned contender, as they apply to competition and its impacts. Also, it analyses how firms can apply the Product Life Cycle (PLC) for long-term market dominance. The PLC has five stages, which are pre-launching, introducing, growing, maturing, and declining, and the impact these stages have on the business and product positioning differs between pioneers and followers. The first part of the essay is the analysis of the merits and demerits of pioneers as well as followers before evaluating the strategies employed on the room by each of the approaches. It is followed by a discussion with respect to the effectiveness of which strategy under the market conditions, customers’ </w:t>
      </w:r>
      <w:proofErr w:type="spellStart"/>
      <w:r>
        <w:t>behaviour</w:t>
      </w:r>
      <w:proofErr w:type="spellEnd"/>
      <w:r>
        <w:t xml:space="preserve">, and industry trends. </w:t>
      </w:r>
    </w:p>
    <w:p w14:paraId="3BADB6DC" w14:textId="77777777" w:rsidR="00EE4D7C" w:rsidRDefault="00EE4D7C" w:rsidP="00EE4D7C"/>
    <w:p w14:paraId="311CC416" w14:textId="0615D2BB" w:rsidR="00EE4D7C" w:rsidRDefault="00EE4D7C" w:rsidP="00EE4D7C">
      <w:pPr>
        <w:pStyle w:val="Heading2"/>
        <w:rPr>
          <w:rStyle w:val="Strong"/>
          <w:b/>
          <w:bCs w:val="0"/>
        </w:rPr>
      </w:pPr>
    </w:p>
    <w:p w14:paraId="319D7859" w14:textId="77777777" w:rsidR="006344A5" w:rsidRDefault="006344A5" w:rsidP="006344A5"/>
    <w:p w14:paraId="74548EB2" w14:textId="77777777" w:rsidR="00E731A3" w:rsidRDefault="00E731A3" w:rsidP="006344A5"/>
    <w:p w14:paraId="10679B43" w14:textId="77777777" w:rsidR="00E731A3" w:rsidRDefault="00E731A3" w:rsidP="006344A5"/>
    <w:p w14:paraId="225D9959" w14:textId="77777777" w:rsidR="00E731A3" w:rsidRDefault="00E731A3" w:rsidP="006344A5"/>
    <w:p w14:paraId="12378586" w14:textId="77777777" w:rsidR="00E731A3" w:rsidRDefault="00E731A3" w:rsidP="006344A5"/>
    <w:p w14:paraId="599AE656" w14:textId="77777777" w:rsidR="00BA7D79" w:rsidRDefault="00BA7D79" w:rsidP="006344A5"/>
    <w:p w14:paraId="195F4E36" w14:textId="77777777" w:rsidR="00BA7D79" w:rsidRDefault="00BA7D79" w:rsidP="006344A5"/>
    <w:p w14:paraId="061E39DF" w14:textId="77777777" w:rsidR="00BA7D79" w:rsidRDefault="00BA7D79" w:rsidP="006344A5"/>
    <w:p w14:paraId="5763F2AA" w14:textId="77777777" w:rsidR="00E731A3" w:rsidRDefault="00E731A3" w:rsidP="006344A5"/>
    <w:p w14:paraId="53567EE3" w14:textId="77777777" w:rsidR="00BF124D" w:rsidRDefault="00BF124D" w:rsidP="006344A5"/>
    <w:p w14:paraId="3B6C9CBC" w14:textId="77777777" w:rsidR="00BF124D" w:rsidRPr="006344A5" w:rsidRDefault="00BF124D" w:rsidP="006344A5"/>
    <w:p w14:paraId="554F0677" w14:textId="1B3FD7DD" w:rsidR="00CC3EF9" w:rsidRDefault="00CC3EF9" w:rsidP="00CC3EF9">
      <w:pPr>
        <w:pStyle w:val="Heading1"/>
      </w:pPr>
      <w:r>
        <w:lastRenderedPageBreak/>
        <w:t>Advantages of Being a Pioneer and Follower</w:t>
      </w:r>
    </w:p>
    <w:p w14:paraId="4D5EB0AD" w14:textId="6490E912" w:rsidR="00482CC2" w:rsidRPr="00F24281" w:rsidRDefault="004C402C" w:rsidP="00CC3EF9">
      <w:r w:rsidRPr="00F24281">
        <w:t>A pioneer enters a particular market initially offering a new product, good or a service or technology with no rival in the market. While followers achieve some of the benefits of pioneers in terms of sales, performance and market position, they struggle with brand implementation and market capture due to limited R&amp;D expenditures (Whittington et al., 2020)</w:t>
      </w:r>
      <w:r w:rsidR="00BF124D" w:rsidRPr="00F24281">
        <w:t>.</w:t>
      </w:r>
    </w:p>
    <w:p w14:paraId="6AC5A0B4" w14:textId="1AF514EE" w:rsidR="001661DD" w:rsidRDefault="00EE4D7C" w:rsidP="004C402C">
      <w:pPr>
        <w:pStyle w:val="Heading1"/>
      </w:pPr>
      <w:r>
        <w:rPr>
          <w:rStyle w:val="Strong"/>
          <w:b/>
          <w:bCs w:val="0"/>
        </w:rPr>
        <w:t xml:space="preserve">Pioneer Strategy: First-Mover Advantages </w:t>
      </w:r>
    </w:p>
    <w:p w14:paraId="4A8626DF" w14:textId="486BCDDE" w:rsidR="00B24A3B" w:rsidRPr="00B24A3B" w:rsidRDefault="00B24A3B" w:rsidP="00B24A3B">
      <w:r w:rsidRPr="00B24A3B">
        <w:t xml:space="preserve">One of the well-known </w:t>
      </w:r>
      <w:r>
        <w:t>a</w:t>
      </w:r>
      <w:r w:rsidRPr="00B24A3B">
        <w:t>dvantages of being a pioneer is the awareness, or brand recognition, leading to customer association (Recio-Román et al., 2019). For example, Tesla has gained significant sales and recognition in the market of electric vehicles because of the first-mover advantages</w:t>
      </w:r>
      <w:r w:rsidR="00BF124D">
        <w:t xml:space="preserve">. </w:t>
      </w:r>
      <w:r w:rsidRPr="00B24A3B">
        <w:t>Pioneers also have certain advantages, which are called the first movers’ advantage</w:t>
      </w:r>
      <w:r w:rsidR="00BA7D79">
        <w:t xml:space="preserve">. </w:t>
      </w:r>
      <w:r w:rsidRPr="00B24A3B">
        <w:t>First movers can obtain patents, acquire competitive advantage, and establish customers’ expectations (Hayat &amp; Winkler, 2022). Another advantage is a higher degree of profit margin</w:t>
      </w:r>
      <w:r w:rsidR="008C72BE">
        <w:t xml:space="preserve">. </w:t>
      </w:r>
      <w:r w:rsidRPr="00B24A3B">
        <w:t>First movers also benefit from the ability to set high prices because there are relatively few like them, while those that imitate pay a high price</w:t>
      </w:r>
      <w:r w:rsidR="008C72BE">
        <w:t xml:space="preserve">. </w:t>
      </w:r>
      <w:r w:rsidRPr="00B24A3B">
        <w:t xml:space="preserve">For instance, Apple introduced the first iPhone and </w:t>
      </w:r>
      <w:proofErr w:type="spellStart"/>
      <w:r w:rsidRPr="00B24A3B">
        <w:t>monopolised</w:t>
      </w:r>
      <w:proofErr w:type="spellEnd"/>
      <w:r w:rsidRPr="00B24A3B">
        <w:t xml:space="preserve"> the market, and competitors could not emulate the act</w:t>
      </w:r>
      <w:r w:rsidR="00BA7D79">
        <w:t xml:space="preserve">. </w:t>
      </w:r>
      <w:r w:rsidRPr="00B24A3B">
        <w:t>They also obtain improved bargaining power for the business (Hague, 2019). They themselves create industry standards and impact the suppliers and distributors in the business company</w:t>
      </w:r>
      <w:r w:rsidR="00BA7D79">
        <w:t xml:space="preserve">. </w:t>
      </w:r>
      <w:proofErr w:type="spellStart"/>
      <w:r w:rsidRPr="00B24A3B">
        <w:t>Organised</w:t>
      </w:r>
      <w:proofErr w:type="spellEnd"/>
      <w:r w:rsidRPr="00B24A3B">
        <w:t xml:space="preserve"> players like the pharmaceutical companies, for instance, insist on undertaking some research to get hold of exclusive patents through which they control the supply and prices</w:t>
      </w:r>
      <w:r w:rsidR="000F177C">
        <w:t>.</w:t>
      </w:r>
    </w:p>
    <w:p w14:paraId="6A737E9D" w14:textId="77777777" w:rsidR="00B24A3B" w:rsidRDefault="00B24A3B" w:rsidP="00B24A3B"/>
    <w:p w14:paraId="7CC310EC" w14:textId="201CB7D3" w:rsidR="00B24A3B" w:rsidRPr="00F24281" w:rsidRDefault="004C402C" w:rsidP="00B24A3B">
      <w:r w:rsidRPr="00F24281">
        <w:t xml:space="preserve">Pioneers also play an active role in changing the customer attitude and creating the demand, which will be favorable for them. They benefit from the first-mover advantage since the consumer tends to stick to a particular brand or product due to inertia. This supports customer retention and increases prettier value for business in the long run (Hague, 2019). First movers also get to benefit from economies of scale, which is the ability to effectively combine large quantities in production and distribution. They attain economies of scale early to lower the cost per unit and deter other companies from penetrating their markets. For instance, Amazon, as the first mover in e-commerce, used its dexterity and superior bargaining power to capture the online retail market through economies of scale to offer low-priced commodities and hence increased market penetration. Furthermore, first movers also influence the industry and </w:t>
      </w:r>
      <w:r w:rsidRPr="00F24281">
        <w:lastRenderedPageBreak/>
        <w:t>customers’ perception about the first movers and result in cultivating long-term bonds of trust. Once a pioneer manages to make consumers recognize it as an innovator, consumers tend to identify the brand as reliable and of high quality</w:t>
      </w:r>
      <w:r w:rsidR="002C21C1" w:rsidRPr="00F24281">
        <w:t>. I</w:t>
      </w:r>
      <w:r w:rsidRPr="00F24281">
        <w:t xml:space="preserve">t becomes hard for followers to encroach into the market. Market leaders such as Microsoft and Intel in software and semiconductor product markets, respectively, sustain their dominance for a long time. </w:t>
      </w:r>
      <w:r w:rsidR="002C21C1" w:rsidRPr="00F24281">
        <w:t>B</w:t>
      </w:r>
      <w:r w:rsidRPr="00F24281">
        <w:t>y identifying best practices and gaining market dominance, they create lasting barriers that help them to remain dominant and are hard for those who come next (Recio-Román et al., 2019)</w:t>
      </w:r>
      <w:r w:rsidR="00BF124D" w:rsidRPr="00F24281">
        <w:t>.</w:t>
      </w:r>
      <w:r w:rsidR="002C21C1" w:rsidRPr="00F24281">
        <w:t xml:space="preserve"> For instance, Uber disrupted the transportation industry by being the first to introduce ride-sharing technology, reshaping urban mobility. Similarly, Netflix’s early entry into the streaming market allowed it to dominate before traditional media companies adapted. These pioneers defined consumer behavior, making it difficult for new entrants to challenge their position.</w:t>
      </w:r>
    </w:p>
    <w:p w14:paraId="280ABEE5" w14:textId="77ADC912" w:rsidR="00EE4D7C" w:rsidRPr="00533EC0" w:rsidRDefault="00EE4D7C" w:rsidP="00B24A3B">
      <w:pPr>
        <w:pStyle w:val="Heading1"/>
        <w:rPr>
          <w:color w:val="FF0000"/>
        </w:rPr>
      </w:pPr>
      <w:r>
        <w:rPr>
          <w:rStyle w:val="Strong"/>
          <w:b/>
          <w:bCs w:val="0"/>
        </w:rPr>
        <w:t xml:space="preserve">Follower Strategy: Late-Entrant Advantages </w:t>
      </w:r>
      <w:r w:rsidR="00533EC0">
        <w:rPr>
          <w:rStyle w:val="Strong"/>
          <w:b/>
          <w:bCs w:val="0"/>
          <w:strike/>
          <w:color w:val="FF0000"/>
        </w:rPr>
        <w:t xml:space="preserve"> </w:t>
      </w:r>
    </w:p>
    <w:p w14:paraId="386B7417" w14:textId="5A9CA3B3" w:rsidR="00B24A3B" w:rsidRDefault="00B24A3B" w:rsidP="00B24A3B">
      <w:r>
        <w:t>A key benefit of being a follower is low capital costs (Hering et al., 2018). In terms of adaptive strategies, followers do not incur large research and development costs as well as market education expenses</w:t>
      </w:r>
      <w:r w:rsidR="0089760D">
        <w:t xml:space="preserve">. </w:t>
      </w:r>
      <w:r>
        <w:t>For instance, Samsung began offering smartphones only after Apple</w:t>
      </w:r>
      <w:r w:rsidR="000F177C">
        <w:t xml:space="preserve">. </w:t>
      </w:r>
      <w:r>
        <w:t xml:space="preserve">One of the benefits that comes with following others is that followers </w:t>
      </w:r>
      <w:r w:rsidR="00E731A3">
        <w:t>can</w:t>
      </w:r>
      <w:r>
        <w:t xml:space="preserve"> get it wrong from the pioneers</w:t>
      </w:r>
      <w:r w:rsidR="008C72BE">
        <w:t xml:space="preserve">. </w:t>
      </w:r>
      <w:r>
        <w:t xml:space="preserve">For instance, while Burger King was </w:t>
      </w:r>
      <w:proofErr w:type="spellStart"/>
      <w:r>
        <w:t>analysing</w:t>
      </w:r>
      <w:proofErr w:type="spellEnd"/>
      <w:r>
        <w:t xml:space="preserve"> McDonald's fast-food strategies, the firm marketed itself as a more aggressive competitor to McDonald's (</w:t>
      </w:r>
      <w:proofErr w:type="spellStart"/>
      <w:r>
        <w:t>Nadube</w:t>
      </w:r>
      <w:proofErr w:type="spellEnd"/>
      <w:r>
        <w:t xml:space="preserve"> &amp; Didia, 2018). Another advantage includes value; the followers also get to enjoy a clearly defined market and demarcation</w:t>
      </w:r>
      <w:r w:rsidR="00BF124D">
        <w:t xml:space="preserve">. </w:t>
      </w:r>
      <w:r>
        <w:t>For instance, while NIO came late to the EV market compared to Tesla, it targeted a segment that Tesla was partly missing, namely premium Chinese consumers</w:t>
      </w:r>
      <w:r w:rsidR="000F177C">
        <w:t>.</w:t>
      </w:r>
    </w:p>
    <w:p w14:paraId="43EA324A" w14:textId="77777777" w:rsidR="00B24A3B" w:rsidRPr="00BC35C6" w:rsidRDefault="00B24A3B" w:rsidP="00B24A3B">
      <w:pPr>
        <w:rPr>
          <w:color w:val="FF0000"/>
          <w:lang w:val="en-GB"/>
        </w:rPr>
      </w:pPr>
    </w:p>
    <w:p w14:paraId="5C546105" w14:textId="7C0BA4CE" w:rsidR="00BC35C6" w:rsidRPr="00AD35D9" w:rsidRDefault="00BC35C6" w:rsidP="001661DD">
      <w:r w:rsidRPr="00AD35D9">
        <w:t xml:space="preserve">One of the major positive attributes of being a follower is that the follower does not have to spend a lot of money on capital, whether towards research and development or towards educating the market (Hering et al., 2018). For instance, Samsung ventured into the smartphone’ market after Apple introduced its iPhone, enabling this firm to optimize its products without bearing heavy innovation costs. Followers also benefit from getting it wrong, being able to develop better products and strategies based on the mistakes of pioneers. For instance, Burger King criticized McDonald’s successfully established fast-food business model and aligned it as a more competitive one. Likewise, NIO entered the electric vehicle market after Tesla but aimed at the high-end Chinese market, an area that Tesla had not effectively explored. Followers can create merchandise on the back of a pre-established marketplace and therefore have the additional opportunity to fine-tune their product to the consumer. </w:t>
      </w:r>
    </w:p>
    <w:p w14:paraId="1DFCED72" w14:textId="77777777" w:rsidR="00BC35C6" w:rsidRPr="00AD35D9" w:rsidRDefault="00BC35C6" w:rsidP="001661DD"/>
    <w:p w14:paraId="5023C82F" w14:textId="2C1ADF80" w:rsidR="001661DD" w:rsidRPr="00AD35D9" w:rsidRDefault="00BC35C6" w:rsidP="001661DD">
      <w:r w:rsidRPr="00AD35D9">
        <w:t xml:space="preserve">Amazon is not the pioneer of the e-commerce platforms, but the company analyzed the mistakes of other companies and made efficient supply chain management as well as successful customer support to capture 90% of the market. Likewise, Facebook evolved from </w:t>
      </w:r>
      <w:proofErr w:type="spellStart"/>
      <w:r w:rsidRPr="00AD35D9">
        <w:t>MySpace</w:t>
      </w:r>
      <w:proofErr w:type="spellEnd"/>
      <w:r w:rsidRPr="00AD35D9">
        <w:t xml:space="preserve"> and Friendster and took over the world. Firms also make good use of existing channels of distribution. Tesla was first and foremost in electric vehicles, but others like NIO and Rivian were even quicker to grow because they benefited from supplier networks Tesla created. The PLC strategies show that pioneers rely more on innovations in the introduction stage as presented by Apple’s iPhone and Tesla’s EVs. In the growth stage, they produce on larger scales as well as try to establish brand equity, as is the case with Amazon. Imitators come with a lower cost after the growth stage of pioneers in developing the ideas and concepts. Samsung built upon the features of Apple by improving upon it, and Netflix surpassed Blockbuster through streaming. Market expansion, either through the product or through the geographical regions, proper pricing strategies, and product differentiation that is innovation is a key to sustaining long-term success for both pioneers and followers.</w:t>
      </w:r>
    </w:p>
    <w:p w14:paraId="6C734BDA" w14:textId="70055806" w:rsidR="00EE4D7C" w:rsidRDefault="00EE4D7C" w:rsidP="003169AD">
      <w:pPr>
        <w:pStyle w:val="Heading1"/>
        <w:rPr>
          <w:rStyle w:val="Strong"/>
          <w:b/>
          <w:bCs w:val="0"/>
        </w:rPr>
      </w:pPr>
      <w:r>
        <w:rPr>
          <w:rStyle w:val="Strong"/>
          <w:b/>
          <w:bCs w:val="0"/>
        </w:rPr>
        <w:t xml:space="preserve">Product Life Cycle Strategies for Pioneers and Followers </w:t>
      </w:r>
    </w:p>
    <w:p w14:paraId="764A3BB6" w14:textId="7C28FB97" w:rsidR="003169AD" w:rsidRPr="003169AD" w:rsidRDefault="003169AD" w:rsidP="003169AD">
      <w:r w:rsidRPr="003169AD">
        <w:t>The Product Life Cycle (PLC) describes the stage that a product goes through from its development stage and introduction in the market to its decline (CMI, 2019). The implementation of the PLC contains five phases that involve distinct strategic actions (</w:t>
      </w:r>
      <w:proofErr w:type="spellStart"/>
      <w:r w:rsidRPr="003169AD">
        <w:t>Lalaounis</w:t>
      </w:r>
      <w:proofErr w:type="spellEnd"/>
      <w:r w:rsidRPr="003169AD">
        <w:t>, 2020).</w:t>
      </w:r>
    </w:p>
    <w:p w14:paraId="64D608AB" w14:textId="4700F867" w:rsidR="003169AD" w:rsidRDefault="003169AD" w:rsidP="003169AD">
      <w:r>
        <w:rPr>
          <w:noProof/>
        </w:rPr>
        <w:drawing>
          <wp:inline distT="0" distB="0" distL="0" distR="0" wp14:anchorId="0B46617C" wp14:editId="57458065">
            <wp:extent cx="5731510" cy="3056255"/>
            <wp:effectExtent l="0" t="0" r="0" b="4445"/>
            <wp:docPr id="2043086344" name="Picture 1" descr="A diagram of a product lif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086344" name="Picture 1" descr="A diagram of a product life cycl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56255"/>
                    </a:xfrm>
                    <a:prstGeom prst="rect">
                      <a:avLst/>
                    </a:prstGeom>
                  </pic:spPr>
                </pic:pic>
              </a:graphicData>
            </a:graphic>
          </wp:inline>
        </w:drawing>
      </w:r>
    </w:p>
    <w:p w14:paraId="5BB32B60" w14:textId="016B1692" w:rsidR="003169AD" w:rsidRPr="00347C58" w:rsidRDefault="003169AD" w:rsidP="003169AD">
      <w:pPr>
        <w:jc w:val="center"/>
        <w:rPr>
          <w:b/>
          <w:bCs/>
        </w:rPr>
      </w:pPr>
      <w:r>
        <w:t xml:space="preserve">Figure 01: </w:t>
      </w:r>
      <w:r w:rsidRPr="003169AD">
        <w:t>Product Life Cycle Stages</w:t>
      </w:r>
      <w:r w:rsidR="00347C58">
        <w:t xml:space="preserve"> </w:t>
      </w:r>
      <w:r w:rsidR="00347C58">
        <w:rPr>
          <w:rStyle w:val="Strong"/>
          <w:b w:val="0"/>
          <w:bCs w:val="0"/>
        </w:rPr>
        <w:t>(Self Made)</w:t>
      </w:r>
    </w:p>
    <w:p w14:paraId="7074285A" w14:textId="757A77D5" w:rsidR="00E1402D" w:rsidRDefault="003169AD" w:rsidP="003169AD">
      <w:r w:rsidRPr="00E1402D">
        <w:rPr>
          <w:b/>
          <w:bCs/>
        </w:rPr>
        <w:lastRenderedPageBreak/>
        <w:t xml:space="preserve">The </w:t>
      </w:r>
      <w:r w:rsidR="00E1402D" w:rsidRPr="00E1402D">
        <w:rPr>
          <w:b/>
          <w:bCs/>
        </w:rPr>
        <w:t>introduction/</w:t>
      </w:r>
      <w:r w:rsidRPr="00E1402D">
        <w:rPr>
          <w:b/>
          <w:bCs/>
        </w:rPr>
        <w:t>pre-launch stage</w:t>
      </w:r>
      <w:r w:rsidRPr="003169AD">
        <w:t xml:space="preserve"> can be defined as the phase where new products are developed and tested as well as the market </w:t>
      </w:r>
      <w:proofErr w:type="spellStart"/>
      <w:r w:rsidRPr="003169AD">
        <w:t>analysed</w:t>
      </w:r>
      <w:proofErr w:type="spellEnd"/>
      <w:r w:rsidRPr="003169AD">
        <w:t xml:space="preserve"> prior to their launch (Dreiling &amp; Bican, 2022). </w:t>
      </w:r>
      <w:proofErr w:type="spellStart"/>
      <w:r w:rsidRPr="003169AD">
        <w:t>Organisations</w:t>
      </w:r>
      <w:proofErr w:type="spellEnd"/>
      <w:r w:rsidRPr="003169AD">
        <w:t xml:space="preserve"> spend resources on technology, customers, and prototypes to evaluate the viability</w:t>
      </w:r>
      <w:r w:rsidR="00BF124D">
        <w:t xml:space="preserve">. </w:t>
      </w:r>
      <w:r w:rsidRPr="003169AD">
        <w:t xml:space="preserve">For instance, pharmaceutical </w:t>
      </w:r>
      <w:proofErr w:type="spellStart"/>
      <w:r w:rsidRPr="003169AD">
        <w:t>organisations</w:t>
      </w:r>
      <w:proofErr w:type="spellEnd"/>
      <w:r w:rsidRPr="003169AD">
        <w:t xml:space="preserve"> invest a considerable amount of time, often many years, before developing their drugs or receiving market </w:t>
      </w:r>
      <w:r w:rsidR="000F177C">
        <w:t xml:space="preserve">authorization. </w:t>
      </w:r>
      <w:r w:rsidRPr="003169AD">
        <w:t>The in</w:t>
      </w:r>
      <w:r>
        <w:t>troduction</w:t>
      </w:r>
      <w:r w:rsidRPr="003169AD">
        <w:t xml:space="preserve"> stage of the marketing communication comprises brand placement and brand recognition (Karpenko et al., 2021). These are high mainly because marketing costs are relatively high (Gerard &amp; </w:t>
      </w:r>
      <w:proofErr w:type="spellStart"/>
      <w:r w:rsidRPr="003169AD">
        <w:t>Bruijl</w:t>
      </w:r>
      <w:proofErr w:type="spellEnd"/>
      <w:r w:rsidRPr="003169AD">
        <w:t>, 2019). For instance, Tesla made its significant expenditure in branding and establishing frameworks related to EVs</w:t>
      </w:r>
      <w:r w:rsidR="000F177C">
        <w:t xml:space="preserve">. </w:t>
      </w:r>
    </w:p>
    <w:p w14:paraId="46454510" w14:textId="77777777" w:rsidR="00E1402D" w:rsidRDefault="00E1402D" w:rsidP="003169AD"/>
    <w:p w14:paraId="04378312" w14:textId="333D0067" w:rsidR="00EE4D7C" w:rsidRDefault="003169AD" w:rsidP="003169AD">
      <w:r w:rsidRPr="00E1402D">
        <w:rPr>
          <w:b/>
          <w:bCs/>
        </w:rPr>
        <w:t>The growth stage</w:t>
      </w:r>
      <w:r w:rsidRPr="003169AD">
        <w:t xml:space="preserve"> is </w:t>
      </w:r>
      <w:proofErr w:type="spellStart"/>
      <w:r w:rsidRPr="003169AD">
        <w:t>characterised</w:t>
      </w:r>
      <w:proofErr w:type="spellEnd"/>
      <w:r w:rsidRPr="003169AD">
        <w:t xml:space="preserve"> by sales growth as more and more people embrace the product within the market</w:t>
      </w:r>
      <w:r w:rsidR="00D01C91">
        <w:t xml:space="preserve">. </w:t>
      </w:r>
      <w:r w:rsidR="00D01C91" w:rsidRPr="006E37E8">
        <w:t xml:space="preserve">In the growth stage, the strategy of defending market share is the fortress strategy as executed through patents, and exclusive partnership deals and brand loyalty according to Hering et al. (2018). On the other hand, followers apply the attack strategy and counter pioneers through pricing, additional product features or clientele niche, based on </w:t>
      </w:r>
      <w:proofErr w:type="spellStart"/>
      <w:r w:rsidR="00D01C91" w:rsidRPr="006E37E8">
        <w:t>Lalaounis</w:t>
      </w:r>
      <w:proofErr w:type="spellEnd"/>
      <w:r w:rsidR="00D01C91" w:rsidRPr="006E37E8">
        <w:t xml:space="preserve"> (2020). These strategies help the pioneers to retain their competitive advantage and for the followers to disrupt the market with the shifting of dynamics as demand rises and competition increases during this maturity stage of the product life cycle.</w:t>
      </w:r>
      <w:r w:rsidR="00BA5F4F" w:rsidRPr="006E37E8">
        <w:t xml:space="preserve"> In UK Dyson uses the patented technology and premium positioning of its vacuum cleaners and Virgin Atlantic uses low price and improved service attacks on high-end firms such as the British airways. </w:t>
      </w:r>
      <w:r w:rsidRPr="003169AD">
        <w:t xml:space="preserve">The maturity stage is </w:t>
      </w:r>
      <w:proofErr w:type="spellStart"/>
      <w:r w:rsidRPr="003169AD">
        <w:t>characterised</w:t>
      </w:r>
      <w:proofErr w:type="spellEnd"/>
      <w:r w:rsidRPr="003169AD">
        <w:t xml:space="preserve"> by increased competition due to the existence of many competitors in the market</w:t>
      </w:r>
      <w:r w:rsidR="000F177C">
        <w:t xml:space="preserve">. </w:t>
      </w:r>
      <w:r w:rsidRPr="003169AD">
        <w:t>Some of the business strategies are differentiation, changing prices, and promotions (CMI, 2019). For instance, Coca-Cola came up with the miniature and no-sugar sweetened packaging to maintain its market presence (</w:t>
      </w:r>
      <w:proofErr w:type="spellStart"/>
      <w:r w:rsidRPr="003169AD">
        <w:t>Lalaounis</w:t>
      </w:r>
      <w:proofErr w:type="spellEnd"/>
      <w:r w:rsidRPr="003169AD">
        <w:t>, 2020). The decline stage entails declining sales, product discontinuation, or rebranding/</w:t>
      </w:r>
      <w:proofErr w:type="spellStart"/>
      <w:r w:rsidRPr="003169AD">
        <w:t>restrategi</w:t>
      </w:r>
      <w:r w:rsidR="000F177C">
        <w:t>s</w:t>
      </w:r>
      <w:r w:rsidRPr="003169AD">
        <w:t>ation</w:t>
      </w:r>
      <w:proofErr w:type="spellEnd"/>
      <w:r w:rsidR="000F177C">
        <w:t>.</w:t>
      </w:r>
    </w:p>
    <w:p w14:paraId="47E56575" w14:textId="77777777" w:rsidR="00726840" w:rsidRDefault="00726840" w:rsidP="003C132E">
      <w:pPr>
        <w:rPr>
          <w:rStyle w:val="Strong"/>
          <w:b w:val="0"/>
          <w:bCs w:val="0"/>
        </w:rPr>
      </w:pPr>
    </w:p>
    <w:p w14:paraId="77C4D8A3" w14:textId="3DA040DE" w:rsidR="003C132E" w:rsidRDefault="003C132E" w:rsidP="003C132E">
      <w:pPr>
        <w:rPr>
          <w:rStyle w:val="Strong"/>
          <w:b w:val="0"/>
          <w:bCs w:val="0"/>
        </w:rPr>
      </w:pPr>
      <w:r w:rsidRPr="003C132E">
        <w:rPr>
          <w:rStyle w:val="Strong"/>
          <w:b w:val="0"/>
          <w:bCs w:val="0"/>
        </w:rPr>
        <w:t>It requires careful management of the PLC to ensure that the pioneer company sustains their competitive advantage</w:t>
      </w:r>
      <w:r w:rsidR="008C72BE">
        <w:rPr>
          <w:rStyle w:val="Strong"/>
          <w:b w:val="0"/>
          <w:bCs w:val="0"/>
        </w:rPr>
        <w:t xml:space="preserve">. </w:t>
      </w:r>
      <w:r>
        <w:rPr>
          <w:rStyle w:val="Strong"/>
          <w:b w:val="0"/>
          <w:bCs w:val="0"/>
        </w:rPr>
        <w:t>T</w:t>
      </w:r>
      <w:r w:rsidRPr="003C132E">
        <w:rPr>
          <w:rStyle w:val="Strong"/>
          <w:b w:val="0"/>
          <w:bCs w:val="0"/>
        </w:rPr>
        <w:t xml:space="preserve">he introduction phase is strategic in development as pioneers must set the tone in an industry (Gerard &amp; </w:t>
      </w:r>
      <w:proofErr w:type="spellStart"/>
      <w:r w:rsidRPr="003C132E">
        <w:rPr>
          <w:rStyle w:val="Strong"/>
          <w:b w:val="0"/>
          <w:bCs w:val="0"/>
        </w:rPr>
        <w:t>Bruijl</w:t>
      </w:r>
      <w:proofErr w:type="spellEnd"/>
      <w:r w:rsidRPr="003C132E">
        <w:rPr>
          <w:rStyle w:val="Strong"/>
          <w:b w:val="0"/>
          <w:bCs w:val="0"/>
        </w:rPr>
        <w:t>, 2019). For instance, Apple committed most of its resources into the development of the first version of iPhone and its enhanced design</w:t>
      </w:r>
      <w:r w:rsidR="000F177C">
        <w:rPr>
          <w:rStyle w:val="Strong"/>
          <w:b w:val="0"/>
          <w:bCs w:val="0"/>
        </w:rPr>
        <w:t xml:space="preserve">. </w:t>
      </w:r>
      <w:r w:rsidRPr="003C132E">
        <w:rPr>
          <w:rStyle w:val="Strong"/>
          <w:b w:val="0"/>
          <w:bCs w:val="0"/>
        </w:rPr>
        <w:t xml:space="preserve">Tesla also made efforts on the social acceptance by enforcing customer awareness on the acceptance of EVs (Hering et al., 2018). </w:t>
      </w:r>
    </w:p>
    <w:p w14:paraId="0884C718" w14:textId="546B854C" w:rsidR="003C132E" w:rsidRDefault="003C132E" w:rsidP="003C132E">
      <w:pPr>
        <w:rPr>
          <w:rStyle w:val="Strong"/>
          <w:b w:val="0"/>
          <w:bCs w:val="0"/>
        </w:rPr>
      </w:pPr>
      <w:r>
        <w:rPr>
          <w:noProof/>
        </w:rPr>
        <w:lastRenderedPageBreak/>
        <w:drawing>
          <wp:inline distT="0" distB="0" distL="0" distR="0" wp14:anchorId="3BE58528" wp14:editId="5EAC67E7">
            <wp:extent cx="5730703" cy="2687494"/>
            <wp:effectExtent l="0" t="0" r="0" b="5080"/>
            <wp:docPr id="1192272052" name="Picture 3" descr="A diagram of a business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272052" name="Picture 3" descr="A diagram of a business strategy&#10;&#10;AI-generated content may be incorrect."/>
                    <pic:cNvPicPr/>
                  </pic:nvPicPr>
                  <pic:blipFill rotWithShape="1">
                    <a:blip r:embed="rId16" cstate="print">
                      <a:extLst>
                        <a:ext uri="{28A0092B-C50C-407E-A947-70E740481C1C}">
                          <a14:useLocalDpi xmlns:a14="http://schemas.microsoft.com/office/drawing/2010/main" val="0"/>
                        </a:ext>
                      </a:extLst>
                    </a:blip>
                    <a:srcRect t="22635" b="10155"/>
                    <a:stretch/>
                  </pic:blipFill>
                  <pic:spPr bwMode="auto">
                    <a:xfrm>
                      <a:off x="0" y="0"/>
                      <a:ext cx="5731510" cy="2687872"/>
                    </a:xfrm>
                    <a:prstGeom prst="rect">
                      <a:avLst/>
                    </a:prstGeom>
                    <a:ln>
                      <a:noFill/>
                    </a:ln>
                    <a:extLst>
                      <a:ext uri="{53640926-AAD7-44D8-BBD7-CCE9431645EC}">
                        <a14:shadowObscured xmlns:a14="http://schemas.microsoft.com/office/drawing/2010/main"/>
                      </a:ext>
                    </a:extLst>
                  </pic:spPr>
                </pic:pic>
              </a:graphicData>
            </a:graphic>
          </wp:inline>
        </w:drawing>
      </w:r>
    </w:p>
    <w:p w14:paraId="25651C5E" w14:textId="5BCB51F3" w:rsidR="003C132E" w:rsidRDefault="003C132E" w:rsidP="003C132E">
      <w:pPr>
        <w:jc w:val="center"/>
        <w:rPr>
          <w:rStyle w:val="Strong"/>
          <w:b w:val="0"/>
          <w:bCs w:val="0"/>
        </w:rPr>
      </w:pPr>
      <w:r>
        <w:rPr>
          <w:rStyle w:val="Strong"/>
          <w:b w:val="0"/>
          <w:bCs w:val="0"/>
        </w:rPr>
        <w:t xml:space="preserve">Figure 02: </w:t>
      </w:r>
      <w:r w:rsidRPr="003C132E">
        <w:rPr>
          <w:rStyle w:val="Strong"/>
          <w:b w:val="0"/>
          <w:bCs w:val="0"/>
        </w:rPr>
        <w:t>Pioneer PLC Strategies</w:t>
      </w:r>
      <w:r w:rsidR="00BF124D">
        <w:rPr>
          <w:rStyle w:val="Strong"/>
          <w:b w:val="0"/>
          <w:bCs w:val="0"/>
        </w:rPr>
        <w:t xml:space="preserve"> </w:t>
      </w:r>
      <w:r w:rsidR="00BF124D">
        <w:t>(Kotler et al., 2020).</w:t>
      </w:r>
    </w:p>
    <w:p w14:paraId="2570C77E" w14:textId="5DA33520" w:rsidR="00EE4D7C" w:rsidRDefault="003C132E" w:rsidP="003C132E">
      <w:pPr>
        <w:rPr>
          <w:rStyle w:val="Strong"/>
          <w:b w:val="0"/>
          <w:bCs w:val="0"/>
        </w:rPr>
      </w:pPr>
      <w:r w:rsidRPr="003C132E">
        <w:rPr>
          <w:rStyle w:val="Strong"/>
          <w:b w:val="0"/>
          <w:bCs w:val="0"/>
        </w:rPr>
        <w:t>However, the stage of growth is used to increase the presence of pioneers in a market and erect a path for competitors to enter</w:t>
      </w:r>
      <w:r w:rsidR="00BF124D">
        <w:rPr>
          <w:rStyle w:val="Strong"/>
          <w:b w:val="0"/>
          <w:bCs w:val="0"/>
        </w:rPr>
        <w:t xml:space="preserve"> </w:t>
      </w:r>
      <w:r w:rsidR="00BF124D">
        <w:t xml:space="preserve">(Whittington et al., 2020). </w:t>
      </w:r>
      <w:r w:rsidR="000F177C">
        <w:rPr>
          <w:rStyle w:val="Strong"/>
          <w:b w:val="0"/>
          <w:bCs w:val="0"/>
        </w:rPr>
        <w:t xml:space="preserve"> </w:t>
      </w:r>
      <w:r w:rsidRPr="003C132E">
        <w:rPr>
          <w:rStyle w:val="Strong"/>
          <w:b w:val="0"/>
          <w:bCs w:val="0"/>
        </w:rPr>
        <w:t>Apple's iPhone operating system isolates customers within its environment, unlike Tesla, which enhances customers’ experiences through the Supercharger network</w:t>
      </w:r>
      <w:r w:rsidR="000F177C">
        <w:rPr>
          <w:rStyle w:val="Strong"/>
          <w:b w:val="0"/>
          <w:bCs w:val="0"/>
        </w:rPr>
        <w:t xml:space="preserve">. </w:t>
      </w:r>
      <w:r w:rsidRPr="003C132E">
        <w:rPr>
          <w:rStyle w:val="Strong"/>
          <w:b w:val="0"/>
          <w:bCs w:val="0"/>
        </w:rPr>
        <w:t>In the maturity stage, pioneers modify the strategies that support growth (</w:t>
      </w:r>
      <w:proofErr w:type="spellStart"/>
      <w:r w:rsidRPr="003C132E">
        <w:rPr>
          <w:rStyle w:val="Strong"/>
          <w:b w:val="0"/>
          <w:bCs w:val="0"/>
        </w:rPr>
        <w:t>Lalaounis</w:t>
      </w:r>
      <w:proofErr w:type="spellEnd"/>
      <w:r w:rsidRPr="003C132E">
        <w:rPr>
          <w:rStyle w:val="Strong"/>
          <w:b w:val="0"/>
          <w:bCs w:val="0"/>
        </w:rPr>
        <w:t xml:space="preserve">, 2020). Product diversification and expansion in turn ensure that the firm remains relevant in the actor’s environment (Dreiling &amp; Bican, 2022). For instance, McDonald's, which was an established </w:t>
      </w:r>
      <w:r w:rsidR="0096170D" w:rsidRPr="003C132E">
        <w:rPr>
          <w:rStyle w:val="Strong"/>
          <w:b w:val="0"/>
          <w:bCs w:val="0"/>
        </w:rPr>
        <w:t>fast-food</w:t>
      </w:r>
      <w:r w:rsidRPr="003C132E">
        <w:rPr>
          <w:rStyle w:val="Strong"/>
          <w:b w:val="0"/>
          <w:bCs w:val="0"/>
        </w:rPr>
        <w:t xml:space="preserve"> company, had to incorporate a new menu that would satisfy the increased demands from the consumers (Gómez et al., 2022). Pioneers also innovate continuously and apply constant improvements, like adding new car features through over-the-air updates in the case of Tesla</w:t>
      </w:r>
      <w:r w:rsidR="00E731A3">
        <w:rPr>
          <w:rStyle w:val="Strong"/>
          <w:b w:val="0"/>
          <w:bCs w:val="0"/>
        </w:rPr>
        <w:t xml:space="preserve">. </w:t>
      </w:r>
      <w:r w:rsidRPr="003C132E">
        <w:rPr>
          <w:rStyle w:val="Strong"/>
          <w:b w:val="0"/>
          <w:bCs w:val="0"/>
        </w:rPr>
        <w:t xml:space="preserve">In the Decline phase, these pioneers’ strategies involve either repositioning, cost reduction, or market withdrawal (Karpenko et al., 2021). </w:t>
      </w:r>
    </w:p>
    <w:p w14:paraId="24E76F3D" w14:textId="77777777" w:rsidR="00726840" w:rsidRPr="003C132E" w:rsidRDefault="00726840" w:rsidP="003C132E">
      <w:pPr>
        <w:rPr>
          <w:rStyle w:val="Strong"/>
          <w:b w:val="0"/>
          <w:bCs w:val="0"/>
        </w:rPr>
      </w:pPr>
    </w:p>
    <w:p w14:paraId="231FDE1C" w14:textId="2D356004" w:rsidR="003C132E" w:rsidRDefault="003C132E" w:rsidP="00EE4D7C">
      <w:r w:rsidRPr="003C132E">
        <w:t>Consumers join a given market at diverse organic growth stages but are always associated with high intensity when grasping for market share (Hering et al., 2018). The introduction phase relates to the price skimming strategy and market niche selection</w:t>
      </w:r>
      <w:r w:rsidR="008C72BE">
        <w:t xml:space="preserve">. </w:t>
      </w:r>
      <w:r w:rsidRPr="003C132E">
        <w:t>For example, Samsung began producing smartphones after Apple’s entrance, but it introduced products that were cheaper and possessed other features (Xie et al., 2021). NIO came into the EV market after Tesla with a unique position of targeting the first-tier Chinese premium car buyers, which Tesla initially neglected</w:t>
      </w:r>
      <w:r w:rsidR="000F177C">
        <w:t xml:space="preserve">. </w:t>
      </w:r>
      <w:r w:rsidRPr="003C132E">
        <w:t>In the growth phase, followers employ threat-routine penetration strategies</w:t>
      </w:r>
      <w:r w:rsidR="00BF124D">
        <w:t xml:space="preserve">. </w:t>
      </w:r>
      <w:r w:rsidRPr="003C132E">
        <w:t>It is common to see companies market their products in a way that will make them pioneers to the existing ones (</w:t>
      </w:r>
      <w:proofErr w:type="spellStart"/>
      <w:r w:rsidRPr="003C132E">
        <w:t>Lalaounis</w:t>
      </w:r>
      <w:proofErr w:type="spellEnd"/>
      <w:r w:rsidRPr="003C132E">
        <w:t xml:space="preserve">, 2020). For instance, McDonald’s direct competitor Burger King </w:t>
      </w:r>
      <w:r w:rsidRPr="003C132E">
        <w:lastRenderedPageBreak/>
        <w:t>appealed to consumers by offering flame-grilled burgers; this is a straight-up challenge to the fast-food standard of McDonald's</w:t>
      </w:r>
      <w:r w:rsidR="00BF124D">
        <w:t>.</w:t>
      </w:r>
    </w:p>
    <w:p w14:paraId="1519B6B9" w14:textId="77777777" w:rsidR="00E1402D" w:rsidRDefault="00E1402D" w:rsidP="00EE4D7C"/>
    <w:p w14:paraId="20A7D1B5" w14:textId="0DBC9768" w:rsidR="00EE4D7C" w:rsidRDefault="003C132E" w:rsidP="00EE4D7C">
      <w:r w:rsidRPr="00E1402D">
        <w:rPr>
          <w:b/>
          <w:bCs/>
        </w:rPr>
        <w:t>In maturity,</w:t>
      </w:r>
      <w:r w:rsidRPr="003C132E">
        <w:t xml:space="preserve"> strategic marketing and pricing strategies determine the followers as they struggle to outdo each other </w:t>
      </w:r>
      <w:r w:rsidR="006344A5" w:rsidRPr="003C132E">
        <w:t>to</w:t>
      </w:r>
      <w:r w:rsidRPr="003C132E">
        <w:t xml:space="preserve"> achieve their goals</w:t>
      </w:r>
      <w:r w:rsidR="008C72BE">
        <w:t xml:space="preserve">. </w:t>
      </w:r>
      <w:r w:rsidRPr="003C132E">
        <w:t xml:space="preserve">For instance, Pepsi has not relented to pressure posed by Coca-Cola as it launches a more aggressive advertising campaign and introduces new products into the </w:t>
      </w:r>
      <w:r w:rsidR="00BF124D" w:rsidRPr="003C132E">
        <w:t xml:space="preserve">market </w:t>
      </w:r>
      <w:r w:rsidR="00BF124D" w:rsidRPr="003169AD">
        <w:t xml:space="preserve">(Gómez et al., 2022). </w:t>
      </w:r>
      <w:r w:rsidRPr="003C132E">
        <w:t>For instance, Nintendo switched from the failed Wii U and was able to recreate itself with the help of the gaming console known as the Switch</w:t>
      </w:r>
      <w:r w:rsidR="00BF124D">
        <w:t xml:space="preserve">. </w:t>
      </w:r>
      <w:r w:rsidRPr="003C132E">
        <w:t>IBM also moved from hardware to artificial intelligence, which would be profitable in the long run (Hayat and Winkler, 2022).</w:t>
      </w:r>
    </w:p>
    <w:p w14:paraId="7717B3BD" w14:textId="77777777" w:rsidR="00726840" w:rsidRDefault="00726840" w:rsidP="003C132E"/>
    <w:p w14:paraId="4C0F7FEB" w14:textId="5B12B0DB" w:rsidR="00347C58" w:rsidRDefault="00347C58" w:rsidP="003C132E">
      <w:r w:rsidRPr="00347C58">
        <w:t>The comparison of the pioneer and follower strategies during the different stages of the product lifecycle shows the particularities of the way they deal with market success. Tesla and Apple have relatively high R&amp;D and emphasize market awareness during the introduction stage, while Samsung and NIO use low prices and clear segmentation to enter the market</w:t>
      </w:r>
      <w:r w:rsidR="00BF124D">
        <w:t xml:space="preserve"> </w:t>
      </w:r>
      <w:r w:rsidR="00BF124D" w:rsidRPr="003C132E">
        <w:t>(Dreiling &amp; Bican, 2022).</w:t>
      </w:r>
    </w:p>
    <w:p w14:paraId="080D2CA5" w14:textId="763A2453" w:rsidR="00347C58" w:rsidRDefault="00347C58" w:rsidP="00347C58">
      <w:pPr>
        <w:jc w:val="center"/>
      </w:pPr>
      <w:r>
        <w:rPr>
          <w:noProof/>
        </w:rPr>
        <w:drawing>
          <wp:inline distT="0" distB="0" distL="0" distR="0" wp14:anchorId="2F90742C" wp14:editId="1DDFA6B8">
            <wp:extent cx="4876756" cy="3269673"/>
            <wp:effectExtent l="0" t="0" r="635" b="0"/>
            <wp:docPr id="11719822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982247" name="Picture 1171982247"/>
                    <pic:cNvPicPr/>
                  </pic:nvPicPr>
                  <pic:blipFill rotWithShape="1">
                    <a:blip r:embed="rId17" cstate="print">
                      <a:extLst>
                        <a:ext uri="{28A0092B-C50C-407E-A947-70E740481C1C}">
                          <a14:useLocalDpi xmlns:a14="http://schemas.microsoft.com/office/drawing/2010/main" val="0"/>
                        </a:ext>
                      </a:extLst>
                    </a:blip>
                    <a:srcRect b="16668"/>
                    <a:stretch/>
                  </pic:blipFill>
                  <pic:spPr bwMode="auto">
                    <a:xfrm>
                      <a:off x="0" y="0"/>
                      <a:ext cx="4901583" cy="3286319"/>
                    </a:xfrm>
                    <a:prstGeom prst="rect">
                      <a:avLst/>
                    </a:prstGeom>
                    <a:ln>
                      <a:noFill/>
                    </a:ln>
                    <a:extLst>
                      <a:ext uri="{53640926-AAD7-44D8-BBD7-CCE9431645EC}">
                        <a14:shadowObscured xmlns:a14="http://schemas.microsoft.com/office/drawing/2010/main"/>
                      </a:ext>
                    </a:extLst>
                  </pic:spPr>
                </pic:pic>
              </a:graphicData>
            </a:graphic>
          </wp:inline>
        </w:drawing>
      </w:r>
    </w:p>
    <w:p w14:paraId="35B2D0A8" w14:textId="2213BA69" w:rsidR="00347C58" w:rsidRDefault="00347C58" w:rsidP="00347C58">
      <w:pPr>
        <w:jc w:val="center"/>
      </w:pPr>
      <w:r>
        <w:rPr>
          <w:rStyle w:val="Strong"/>
          <w:b w:val="0"/>
          <w:bCs w:val="0"/>
        </w:rPr>
        <w:t xml:space="preserve">Figure 03: </w:t>
      </w:r>
      <w:r w:rsidRPr="00347C58">
        <w:rPr>
          <w:rStyle w:val="Strong"/>
          <w:b w:val="0"/>
          <w:bCs w:val="0"/>
        </w:rPr>
        <w:t>Comparison of Pioneer vs. Follower PLC Strategies</w:t>
      </w:r>
      <w:r>
        <w:rPr>
          <w:rStyle w:val="Strong"/>
          <w:b w:val="0"/>
          <w:bCs w:val="0"/>
        </w:rPr>
        <w:t xml:space="preserve"> </w:t>
      </w:r>
      <w:r w:rsidR="00BF124D" w:rsidRPr="003C132E">
        <w:t xml:space="preserve">(Gerard &amp; </w:t>
      </w:r>
      <w:proofErr w:type="spellStart"/>
      <w:r w:rsidR="00BF124D" w:rsidRPr="003C132E">
        <w:t>Bruijl</w:t>
      </w:r>
      <w:proofErr w:type="spellEnd"/>
      <w:r w:rsidR="00BF124D" w:rsidRPr="003C132E">
        <w:t>, 2019).</w:t>
      </w:r>
    </w:p>
    <w:p w14:paraId="4820CBC0" w14:textId="77777777" w:rsidR="00E1402D" w:rsidRDefault="00347C58" w:rsidP="00EE4D7C">
      <w:r w:rsidRPr="00347C58">
        <w:t>In the growth stage, pioneers focus on fortifying their innovations and securing patents for protection, while followers like Burger King and Samsung typically concentrate on increasing market share and improving existing products</w:t>
      </w:r>
      <w:r w:rsidR="000F177C">
        <w:t xml:space="preserve">. </w:t>
      </w:r>
      <w:r w:rsidRPr="00347C58">
        <w:t xml:space="preserve">During maturity, pioneers versus offers new </w:t>
      </w:r>
      <w:r w:rsidRPr="00347C58">
        <w:lastRenderedPageBreak/>
        <w:t xml:space="preserve">products and updates, whereas followers like Pepsi and Huawei focus on market pricing and establishment of brand image. </w:t>
      </w:r>
    </w:p>
    <w:p w14:paraId="2C468828" w14:textId="19AE207B" w:rsidR="003C132E" w:rsidRDefault="00347C58" w:rsidP="00EE4D7C">
      <w:r w:rsidRPr="00E1402D">
        <w:rPr>
          <w:b/>
          <w:bCs/>
        </w:rPr>
        <w:t>In the decline stage,</w:t>
      </w:r>
      <w:r w:rsidRPr="00347C58">
        <w:t xml:space="preserve"> the pioneers may decide to cut costs or reposition, like Kodak and Nokia, while the followers may try </w:t>
      </w:r>
      <w:proofErr w:type="spellStart"/>
      <w:r w:rsidRPr="00347C58">
        <w:t>revitalisation</w:t>
      </w:r>
      <w:proofErr w:type="spellEnd"/>
      <w:r w:rsidRPr="00347C58">
        <w:t xml:space="preserve"> strategies or move to another market, as seen by Nintendo and IBM. Such a comparison also draws the following conclusion that finally, pioneers strive for maintaining dominance via invention and innovation, while followers depend on dynamic competition and aggression (Xie et al., 2021). </w:t>
      </w:r>
    </w:p>
    <w:p w14:paraId="0DCFC107" w14:textId="77777777" w:rsidR="00726840" w:rsidRDefault="00726840" w:rsidP="00EE4D7C"/>
    <w:p w14:paraId="3EECE2DB" w14:textId="5939EEC8" w:rsidR="00052936" w:rsidRDefault="00052936" w:rsidP="00EE4D7C">
      <w:r w:rsidRPr="00052936">
        <w:t xml:space="preserve">The application of a pioneer or a follower strategy depends on various factors such as the market environment, the industry, and even the consumer. They </w:t>
      </w:r>
      <w:r w:rsidR="000F177C" w:rsidRPr="00052936">
        <w:t>can</w:t>
      </w:r>
      <w:r w:rsidRPr="00052936">
        <w:t xml:space="preserve"> </w:t>
      </w:r>
      <w:proofErr w:type="spellStart"/>
      <w:r w:rsidRPr="00052936">
        <w:t>recognise</w:t>
      </w:r>
      <w:proofErr w:type="spellEnd"/>
      <w:r w:rsidRPr="00052936">
        <w:t xml:space="preserve"> early market signals, filter ideas and programs, and develop low-cost solutions (Hering et al., 2018). However, in industries where competition is not high, like in the production of luxury or pharmaceutical goods, pioneers get more benefits from brand distinction, patents, and consumers’ loyalty (Dreiling &amp; Bican, 2022). </w:t>
      </w:r>
    </w:p>
    <w:p w14:paraId="2BEC8038" w14:textId="77777777" w:rsidR="00052936" w:rsidRDefault="00052936" w:rsidP="00EE4D7C"/>
    <w:p w14:paraId="2CE5A8A4" w14:textId="26906D44" w:rsidR="00052936" w:rsidRDefault="00052936" w:rsidP="00EE4D7C">
      <w:r w:rsidRPr="00052936">
        <w:t>On the other hand, followers provide more flexibility to shift their operations in accordance with the consumer trends, price wars, and other trends that may arise. For instance, Samsung based its organisational follower strategy on adapting the iPhone designs and specificities to make advanced smartphones to threaten Apple’s supremacy</w:t>
      </w:r>
      <w:r w:rsidR="000F177C">
        <w:t xml:space="preserve">. </w:t>
      </w:r>
      <w:r w:rsidRPr="00052936">
        <w:t xml:space="preserve">Moving to the future and envisaging the future of competition, more prominence is given to such a principle as AI and digital transformation. Due to the use of data, the ability of late entrants to market their products influences consumers’ experience in a better way than pioneers (Recio-Román et al., 2019). </w:t>
      </w:r>
    </w:p>
    <w:p w14:paraId="384833EB" w14:textId="50C5A1CD" w:rsidR="00EE4D7C" w:rsidRDefault="00EE4D7C" w:rsidP="00EE4D7C">
      <w:pPr>
        <w:pStyle w:val="Heading2"/>
        <w:rPr>
          <w:rStyle w:val="Strong"/>
          <w:b/>
          <w:bCs w:val="0"/>
        </w:rPr>
      </w:pPr>
      <w:r>
        <w:rPr>
          <w:rStyle w:val="Strong"/>
          <w:b/>
          <w:bCs w:val="0"/>
        </w:rPr>
        <w:t xml:space="preserve">Conclusion </w:t>
      </w:r>
    </w:p>
    <w:p w14:paraId="5798B482" w14:textId="77D4FA42" w:rsidR="00E731A3" w:rsidRPr="00AD35D9" w:rsidRDefault="00726840" w:rsidP="00E731A3">
      <w:r w:rsidRPr="00AD35D9">
        <w:t xml:space="preserve">Choosing to be a market leader or a follower is one of the most important factors that determine product differentiation, investments, and the degree of success. First movers gain first-mover advantage, market control, shielded patents, and hence, customer loyalty; change the market standards; and can set high prices. Nowadays, many companies, such as Tesla, Apple, and Amazon, </w:t>
      </w:r>
      <w:proofErr w:type="spellStart"/>
      <w:r w:rsidRPr="00AD35D9">
        <w:t>utilise</w:t>
      </w:r>
      <w:proofErr w:type="spellEnd"/>
      <w:r w:rsidRPr="00AD35D9">
        <w:t xml:space="preserve"> the valuable first-mover factor to preserve their dominant positions in their markets. Nevertheless, high costs for research and development, the unpredictable demand, and the bear risk market mechanism are some of the main difficulties faced by pioneers. </w:t>
      </w:r>
      <w:proofErr w:type="spellStart"/>
      <w:r w:rsidRPr="00AD35D9">
        <w:t>Organisations</w:t>
      </w:r>
      <w:proofErr w:type="spellEnd"/>
      <w:r w:rsidRPr="00AD35D9">
        <w:t xml:space="preserve"> gain factors such as low capital investment, enhanced market understanding, and the opportunity to fine-tune existing offerings. The successful and unsuccessful experiences of pioneers have helped the late entrant firms to </w:t>
      </w:r>
      <w:proofErr w:type="spellStart"/>
      <w:r w:rsidRPr="00AD35D9">
        <w:t>maximise</w:t>
      </w:r>
      <w:proofErr w:type="spellEnd"/>
      <w:r w:rsidRPr="00AD35D9">
        <w:t xml:space="preserve"> their strategies to gain market share, </w:t>
      </w:r>
      <w:r w:rsidRPr="00AD35D9">
        <w:lastRenderedPageBreak/>
        <w:t xml:space="preserve">including Samsung, Netflix, and Burger King. It offers cost advantages, product differentiation, and product placement where the followers do not have to assume the responsibility of creating the market. The strategies connected to the product life cycle ensure that the market dominance proved difficult to overcome irrespective of the status of the competitor as a pioneer or a follower. While the pioneers are concentrating on innovation and market penetration at the introduction and growth stages, the followers focus on issues such as price, product differentiation, and consumers. While the pioneers are innovating incessantly in the maturity and decline phases, the followers aggressively market their product and reduce costs. Both strategies are effective depending on the industry forces, consumer characteristics, and other factors in the market. </w:t>
      </w:r>
    </w:p>
    <w:p w14:paraId="1851B639" w14:textId="77777777" w:rsidR="00E731A3" w:rsidRPr="00726840" w:rsidRDefault="00E731A3" w:rsidP="00E731A3">
      <w:pPr>
        <w:rPr>
          <w:color w:val="FF0000"/>
        </w:rPr>
      </w:pPr>
    </w:p>
    <w:p w14:paraId="55BBA10B" w14:textId="1A1E0707" w:rsidR="006645FE" w:rsidRPr="00726840" w:rsidRDefault="006645FE" w:rsidP="006645FE">
      <w:pPr>
        <w:rPr>
          <w:color w:val="FF0000"/>
        </w:rPr>
      </w:pPr>
    </w:p>
    <w:p w14:paraId="0D005DD4" w14:textId="621C5007" w:rsidR="006645FE" w:rsidRDefault="006645FE" w:rsidP="006645FE"/>
    <w:p w14:paraId="7336F75A" w14:textId="1EBC3D98" w:rsidR="006645FE" w:rsidRDefault="006645FE" w:rsidP="006645FE"/>
    <w:p w14:paraId="3693BA79" w14:textId="5C658E05" w:rsidR="006645FE" w:rsidRDefault="006645FE" w:rsidP="006645FE"/>
    <w:p w14:paraId="25FDC04E" w14:textId="77777777" w:rsidR="00E731A3" w:rsidRPr="006645FE" w:rsidRDefault="00E731A3" w:rsidP="006645FE"/>
    <w:p w14:paraId="6AD4689B" w14:textId="77777777" w:rsidR="00155637" w:rsidRDefault="00155637">
      <w:pPr>
        <w:spacing w:after="160" w:line="259" w:lineRule="auto"/>
        <w:jc w:val="left"/>
        <w:rPr>
          <w:rFonts w:eastAsiaTheme="majorEastAsia" w:cs="Times New Roman"/>
          <w:b/>
          <w:bCs/>
          <w:sz w:val="28"/>
          <w:szCs w:val="32"/>
        </w:rPr>
      </w:pPr>
      <w:bookmarkStart w:id="1" w:name="_Toc162951511"/>
      <w:r>
        <w:rPr>
          <w:rFonts w:cs="Times New Roman"/>
          <w:bCs/>
        </w:rPr>
        <w:br w:type="page"/>
      </w:r>
    </w:p>
    <w:p w14:paraId="381E4324" w14:textId="7BA45817" w:rsidR="000D6484" w:rsidRDefault="00E877B4" w:rsidP="000D6484">
      <w:pPr>
        <w:pStyle w:val="Heading1"/>
        <w:rPr>
          <w:rFonts w:eastAsiaTheme="minorHAnsi" w:cs="Times New Roman"/>
          <w:sz w:val="24"/>
          <w:szCs w:val="24"/>
        </w:rPr>
      </w:pPr>
      <w:r w:rsidRPr="00F05BCC">
        <w:rPr>
          <w:rFonts w:cs="Times New Roman"/>
          <w:bCs/>
        </w:rPr>
        <w:lastRenderedPageBreak/>
        <w:t>References</w:t>
      </w:r>
      <w:bookmarkEnd w:id="1"/>
    </w:p>
    <w:p w14:paraId="69CDB3DC" w14:textId="77777777" w:rsidR="00DB02E2" w:rsidRDefault="00DB02E2" w:rsidP="00DB02E2">
      <w:pPr>
        <w:ind w:left="720" w:hanging="720"/>
      </w:pPr>
      <w:r>
        <w:t>CMI (2024) How to Build Your Personal Brand. Available at: https://www.managers.org.uk/knowledge-and-insights/article/build-your-personal-brand/ (Accessed: 6 March 2025).</w:t>
      </w:r>
    </w:p>
    <w:p w14:paraId="1379E3B4" w14:textId="77777777" w:rsidR="00DB02E2" w:rsidRDefault="00DB02E2" w:rsidP="00DB02E2">
      <w:pPr>
        <w:ind w:left="720" w:hanging="720"/>
      </w:pPr>
      <w:r>
        <w:t>Dreiling, A. and Bican, P.M. (2024) 'Pioneer or follower: Which strategy to choose?', in The Routledge Companion to Technology Management. Routledge, pp. 100-115.</w:t>
      </w:r>
    </w:p>
    <w:p w14:paraId="46212FA1" w14:textId="77777777" w:rsidR="00DB02E2" w:rsidRDefault="00DB02E2" w:rsidP="00DB02E2">
      <w:pPr>
        <w:ind w:left="720" w:hanging="720"/>
      </w:pPr>
      <w:r>
        <w:t xml:space="preserve">Gerard, H. and </w:t>
      </w:r>
      <w:proofErr w:type="spellStart"/>
      <w:r>
        <w:t>Bruijl</w:t>
      </w:r>
      <w:proofErr w:type="spellEnd"/>
      <w:r>
        <w:t>, T. (2024) 'The relevance of Porter's five forces in today's innovative and changing business environment', SSRN.</w:t>
      </w:r>
    </w:p>
    <w:p w14:paraId="022D1905" w14:textId="77777777" w:rsidR="00DB02E2" w:rsidRDefault="00DB02E2" w:rsidP="00DB02E2">
      <w:pPr>
        <w:ind w:left="720" w:hanging="720"/>
      </w:pPr>
      <w:r>
        <w:t>Gómez, J., Perez-</w:t>
      </w:r>
      <w:proofErr w:type="spellStart"/>
      <w:r>
        <w:t>Aradros</w:t>
      </w:r>
      <w:proofErr w:type="spellEnd"/>
      <w:r>
        <w:t>, B. and Salazar, I. (2024) 'How to beat early movers: The role of competitive strategy and industry dynamism on followers’ performance in the telecommunications industry', Long Range Planning, 55(5), p.102244.</w:t>
      </w:r>
    </w:p>
    <w:p w14:paraId="17258D04" w14:textId="77777777" w:rsidR="00DB02E2" w:rsidRDefault="00DB02E2" w:rsidP="00DB02E2">
      <w:pPr>
        <w:ind w:left="720" w:hanging="720"/>
      </w:pPr>
      <w:r>
        <w:t>Hague, P. (2024) The Business Models Handbook: Templates, Theory and Case Studies. London, United Kingdom; New York, NY: Kogan Page Limited.</w:t>
      </w:r>
    </w:p>
    <w:p w14:paraId="169F8EC7" w14:textId="77777777" w:rsidR="00DB02E2" w:rsidRDefault="00DB02E2" w:rsidP="00DB02E2">
      <w:pPr>
        <w:ind w:left="720" w:hanging="720"/>
      </w:pPr>
      <w:r>
        <w:t>Hayat, M. and Winkler, H. (2024) 'An analytic hierarchy process for selection of blockchain-based platform for product lifecycle management', Sustainability, 14(21), p. 13703.</w:t>
      </w:r>
    </w:p>
    <w:p w14:paraId="023514E1" w14:textId="77777777" w:rsidR="00DB02E2" w:rsidRDefault="00DB02E2" w:rsidP="00DB02E2">
      <w:pPr>
        <w:ind w:left="720" w:hanging="720"/>
      </w:pPr>
      <w:r>
        <w:t xml:space="preserve">Hering, S., Loretz, B., Friedli, T., Lehr, C.M. and </w:t>
      </w:r>
      <w:proofErr w:type="spellStart"/>
      <w:r>
        <w:t>Stieneker</w:t>
      </w:r>
      <w:proofErr w:type="spellEnd"/>
      <w:r>
        <w:t>, F. (2024) 'Can lifecycle management safeguard innovation in the pharmaceutical industry?', Drug Discovery Today, 23(12), pp. 1962-1973.</w:t>
      </w:r>
    </w:p>
    <w:p w14:paraId="496EB223" w14:textId="77777777" w:rsidR="00DB02E2" w:rsidRDefault="00DB02E2" w:rsidP="00DB02E2">
      <w:pPr>
        <w:ind w:left="720" w:hanging="720"/>
      </w:pPr>
      <w:r>
        <w:t xml:space="preserve">Karpenko, Y., Kuznetsova, I., </w:t>
      </w:r>
      <w:proofErr w:type="spellStart"/>
      <w:r>
        <w:t>Chykurkova</w:t>
      </w:r>
      <w:proofErr w:type="spellEnd"/>
      <w:r>
        <w:t xml:space="preserve">, A., </w:t>
      </w:r>
      <w:proofErr w:type="spellStart"/>
      <w:r>
        <w:t>Matveyeva</w:t>
      </w:r>
      <w:proofErr w:type="spellEnd"/>
      <w:r>
        <w:t xml:space="preserve">, M., </w:t>
      </w:r>
      <w:proofErr w:type="spellStart"/>
      <w:r>
        <w:t>Hridin</w:t>
      </w:r>
      <w:proofErr w:type="spellEnd"/>
      <w:r>
        <w:t xml:space="preserve">, O. and </w:t>
      </w:r>
      <w:proofErr w:type="spellStart"/>
      <w:r>
        <w:t>Nakonechna</w:t>
      </w:r>
      <w:proofErr w:type="spellEnd"/>
      <w:r>
        <w:t>, K. (2024) 'Formation of the enterprise strategy based on the industry life cycle', Independent Journal of Management &amp; Production, 12(3), pp. s262-s280.</w:t>
      </w:r>
    </w:p>
    <w:p w14:paraId="36B4BD9D" w14:textId="77777777" w:rsidR="00DB02E2" w:rsidRDefault="00DB02E2" w:rsidP="00DB02E2">
      <w:pPr>
        <w:ind w:left="720" w:hanging="720"/>
      </w:pPr>
      <w:r>
        <w:t xml:space="preserve">Kotler, P., Armstrong, G., Harris, L. and Piercy, N. (2024) Principles of marketing. 8th European </w:t>
      </w:r>
      <w:proofErr w:type="spellStart"/>
      <w:r>
        <w:t>edn</w:t>
      </w:r>
      <w:proofErr w:type="spellEnd"/>
      <w:r>
        <w:t>. Harlow: Pearson.</w:t>
      </w:r>
    </w:p>
    <w:p w14:paraId="4EDAF2CC" w14:textId="77777777" w:rsidR="00DB02E2" w:rsidRDefault="00DB02E2" w:rsidP="00DB02E2">
      <w:pPr>
        <w:ind w:left="720" w:hanging="720"/>
      </w:pPr>
      <w:proofErr w:type="spellStart"/>
      <w:r>
        <w:t>Krzakiewicz</w:t>
      </w:r>
      <w:proofErr w:type="spellEnd"/>
      <w:r>
        <w:t>, K. and Bartkowiak, P. (2024) 'Imitation as a competitive strategy'.</w:t>
      </w:r>
    </w:p>
    <w:p w14:paraId="40A14FE1" w14:textId="77777777" w:rsidR="00DB02E2" w:rsidRDefault="00DB02E2" w:rsidP="00DB02E2">
      <w:pPr>
        <w:ind w:left="720" w:hanging="720"/>
      </w:pPr>
      <w:proofErr w:type="spellStart"/>
      <w:r>
        <w:t>Lalaounis</w:t>
      </w:r>
      <w:proofErr w:type="spellEnd"/>
      <w:r>
        <w:t xml:space="preserve">, S.T. (2024) Strategic Brand Management and Development: Creating and Marketing Successful Brands. 1st </w:t>
      </w:r>
      <w:proofErr w:type="spellStart"/>
      <w:r>
        <w:t>edn</w:t>
      </w:r>
      <w:proofErr w:type="spellEnd"/>
      <w:r>
        <w:t>. United Kingdom: Routledge. Available at: https://doi.org/10.4324/9780429322556 (Accessed: 6 March 2025).</w:t>
      </w:r>
    </w:p>
    <w:p w14:paraId="0782476E" w14:textId="77777777" w:rsidR="00DB02E2" w:rsidRPr="00417E35" w:rsidRDefault="00DB02E2" w:rsidP="00DB02E2">
      <w:pPr>
        <w:ind w:left="720" w:hanging="720"/>
        <w:rPr>
          <w:rFonts w:cs="Times New Roman"/>
        </w:rPr>
      </w:pPr>
      <w:proofErr w:type="spellStart"/>
      <w:r>
        <w:t>Nadube</w:t>
      </w:r>
      <w:proofErr w:type="spellEnd"/>
      <w:r>
        <w:t xml:space="preserve">, P.M. and Didia, J.U.D. (2024) 'Market targeting and strategic positioning', International Journal of Marketing Research and Management, 8(1), pp. 32-45. </w:t>
      </w:r>
    </w:p>
    <w:p w14:paraId="2BFAEE86" w14:textId="77777777" w:rsidR="00DB02E2" w:rsidRDefault="00DB02E2" w:rsidP="00DB02E2">
      <w:pPr>
        <w:ind w:left="720" w:hanging="720"/>
      </w:pPr>
      <w:r>
        <w:t>Recio-Román, A., Recio-Menéndez, M. and Román-González, M.V. (2024) 'Religion and innovation in Europe: Implications for product life-cycle management', Religions, 10(10), p. 589.</w:t>
      </w:r>
    </w:p>
    <w:p w14:paraId="549D60EC" w14:textId="77777777" w:rsidR="00DB02E2" w:rsidRDefault="00DB02E2" w:rsidP="00DB02E2">
      <w:pPr>
        <w:ind w:left="720" w:hanging="720"/>
      </w:pPr>
      <w:r>
        <w:lastRenderedPageBreak/>
        <w:t>Whittington, R. et al. (2024) Exploring strategy: text and cases. Twelfth Edition. Harlow: Pearson.</w:t>
      </w:r>
    </w:p>
    <w:p w14:paraId="63A5CF8C" w14:textId="77777777" w:rsidR="00DB02E2" w:rsidRDefault="00DB02E2" w:rsidP="00DB02E2">
      <w:pPr>
        <w:ind w:left="720" w:hanging="720"/>
      </w:pPr>
      <w:r>
        <w:t xml:space="preserve">Whittington, R., </w:t>
      </w:r>
      <w:proofErr w:type="spellStart"/>
      <w:r>
        <w:t>Regnér</w:t>
      </w:r>
      <w:proofErr w:type="spellEnd"/>
      <w:r>
        <w:t>, P., Angwin, D., Johnson, G. and Scholes, K. (2024) Exploring strategy: text and cases. Thirteenth Edition. Harlow, England: Pearson.</w:t>
      </w:r>
    </w:p>
    <w:p w14:paraId="6B181076" w14:textId="77777777" w:rsidR="00DB02E2" w:rsidRDefault="00DB02E2" w:rsidP="00DB02E2">
      <w:pPr>
        <w:ind w:left="720" w:hanging="720"/>
      </w:pPr>
      <w:r>
        <w:t xml:space="preserve">Xie, F.T., </w:t>
      </w:r>
      <w:proofErr w:type="spellStart"/>
      <w:r>
        <w:t>Donthu</w:t>
      </w:r>
      <w:proofErr w:type="spellEnd"/>
      <w:r>
        <w:t>, N. and Johnston, W.J. (2024) 'Beyond first or late mover advantages: timed mover advantage', Journal of Business &amp; Industrial Marketing, 36(7), pp. 1163-1175.</w:t>
      </w:r>
    </w:p>
    <w:sectPr w:rsidR="00DB02E2" w:rsidSect="00C935F9">
      <w:footerReference w:type="default" r:id="rId18"/>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5C895B" w14:textId="77777777" w:rsidR="0005132F" w:rsidRDefault="0005132F" w:rsidP="00A44089">
      <w:r>
        <w:separator/>
      </w:r>
    </w:p>
  </w:endnote>
  <w:endnote w:type="continuationSeparator" w:id="0">
    <w:p w14:paraId="60F2D792" w14:textId="77777777" w:rsidR="0005132F" w:rsidRDefault="0005132F" w:rsidP="00A440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4D53C2" w14:textId="77777777" w:rsidR="00AF01F7" w:rsidRDefault="00AF01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140AB6" w14:textId="77777777" w:rsidR="00AF01F7" w:rsidRDefault="00AF01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9ECA91" w14:textId="77777777" w:rsidR="00AF01F7" w:rsidRDefault="00AF01F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9992787"/>
      <w:docPartObj>
        <w:docPartGallery w:val="Page Numbers (Bottom of Page)"/>
        <w:docPartUnique/>
      </w:docPartObj>
    </w:sdtPr>
    <w:sdtEndPr>
      <w:rPr>
        <w:noProof/>
      </w:rPr>
    </w:sdtEndPr>
    <w:sdtContent>
      <w:p w14:paraId="6BB9D05D" w14:textId="75326580" w:rsidR="00AF01F7" w:rsidRDefault="00AF01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A31E36" w14:textId="2D9C9982" w:rsidR="00AB73E8" w:rsidRDefault="00AB73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5D3FFB" w14:textId="77777777" w:rsidR="0005132F" w:rsidRDefault="0005132F" w:rsidP="00A44089">
      <w:r>
        <w:separator/>
      </w:r>
    </w:p>
  </w:footnote>
  <w:footnote w:type="continuationSeparator" w:id="0">
    <w:p w14:paraId="6EDDEB58" w14:textId="77777777" w:rsidR="0005132F" w:rsidRDefault="0005132F" w:rsidP="00A440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93FB4" w14:textId="77777777" w:rsidR="00AF01F7" w:rsidRDefault="00AF01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B78E38" w14:textId="77777777" w:rsidR="00AF01F7" w:rsidRDefault="00AF01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377D46" w14:textId="77777777" w:rsidR="00AF01F7" w:rsidRDefault="00AF01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mc:AlternateContent>
      <mc:Choice Requires="v">
        <w:pict>
          <v:shapetype w14:anchorId="4DCDB9A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67377768" o:spid="_x0000_i1025" type="#_x0000_t75" style="width:169.45pt;height:169.45pt;visibility:visible;mso-wrap-style:square">
            <v:imagedata r:id="rId1" o:title=""/>
          </v:shape>
        </w:pict>
      </mc:Choice>
      <mc:Fallback>
        <w:drawing>
          <wp:inline distT="0" distB="0" distL="0" distR="0" wp14:anchorId="0C4CFCB4" wp14:editId="008745FC">
            <wp:extent cx="2152015" cy="2152015"/>
            <wp:effectExtent l="0" t="0" r="0" b="0"/>
            <wp:docPr id="2067377768" name="Picture 2067377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152015" cy="2152015"/>
                    </a:xfrm>
                    <a:prstGeom prst="rect">
                      <a:avLst/>
                    </a:prstGeom>
                    <a:noFill/>
                    <a:ln>
                      <a:noFill/>
                    </a:ln>
                  </pic:spPr>
                </pic:pic>
              </a:graphicData>
            </a:graphic>
          </wp:inline>
        </w:drawing>
      </mc:Fallback>
    </mc:AlternateContent>
  </w:numPicBullet>
  <w:abstractNum w:abstractNumId="0" w15:restartNumberingAfterBreak="0">
    <w:nsid w:val="01CF13DC"/>
    <w:multiLevelType w:val="hybridMultilevel"/>
    <w:tmpl w:val="6980E5FC"/>
    <w:lvl w:ilvl="0" w:tplc="F8383AD4">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CE4E61"/>
    <w:multiLevelType w:val="multilevel"/>
    <w:tmpl w:val="663A4A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2C1E63"/>
    <w:multiLevelType w:val="hybridMultilevel"/>
    <w:tmpl w:val="0A46836E"/>
    <w:lvl w:ilvl="0" w:tplc="04090015">
      <w:start w:val="1"/>
      <w:numFmt w:val="upperLetter"/>
      <w:lvlText w:val="%1."/>
      <w:lvlJc w:val="left"/>
      <w:pPr>
        <w:ind w:left="360" w:hanging="360"/>
      </w:pPr>
      <w:rPr>
        <w:rFonts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ABE39BF"/>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AEB14C0"/>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10B78C0"/>
    <w:multiLevelType w:val="multilevel"/>
    <w:tmpl w:val="423097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65643F"/>
    <w:multiLevelType w:val="hybridMultilevel"/>
    <w:tmpl w:val="1092302E"/>
    <w:lvl w:ilvl="0" w:tplc="04090019">
      <w:start w:val="1"/>
      <w:numFmt w:val="lowerLetter"/>
      <w:lvlText w:val="%1."/>
      <w:lvlJc w:val="left"/>
      <w:pPr>
        <w:ind w:left="720" w:hanging="360"/>
      </w:pPr>
      <w:rPr>
        <w:rFont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88F6C22"/>
    <w:multiLevelType w:val="hybridMultilevel"/>
    <w:tmpl w:val="3D6CE1E0"/>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1F3C7264"/>
    <w:multiLevelType w:val="hybridMultilevel"/>
    <w:tmpl w:val="79D2DA4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32C330F2"/>
    <w:multiLevelType w:val="hybridMultilevel"/>
    <w:tmpl w:val="D2769760"/>
    <w:lvl w:ilvl="0" w:tplc="E09E9C16">
      <w:start w:val="1"/>
      <w:numFmt w:val="decimal"/>
      <w:lvlText w:val="%1."/>
      <w:lvlJc w:val="left"/>
      <w:pPr>
        <w:ind w:left="360" w:hanging="360"/>
      </w:pPr>
      <w:rPr>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3ACB3418"/>
    <w:multiLevelType w:val="hybridMultilevel"/>
    <w:tmpl w:val="73804E6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DA472C6"/>
    <w:multiLevelType w:val="multilevel"/>
    <w:tmpl w:val="EB501E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001A24"/>
    <w:multiLevelType w:val="hybridMultilevel"/>
    <w:tmpl w:val="FFECCEF8"/>
    <w:lvl w:ilvl="0" w:tplc="F8383AD4">
      <w:start w:val="1"/>
      <w:numFmt w:val="bullet"/>
      <w:lvlText w:val=""/>
      <w:lvlPicBulletId w:val="0"/>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3FED2003"/>
    <w:multiLevelType w:val="multilevel"/>
    <w:tmpl w:val="956824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C86240"/>
    <w:multiLevelType w:val="hybridMultilevel"/>
    <w:tmpl w:val="0234C97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41E23F9F"/>
    <w:multiLevelType w:val="hybridMultilevel"/>
    <w:tmpl w:val="FD122C80"/>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46254D01"/>
    <w:multiLevelType w:val="hybridMultilevel"/>
    <w:tmpl w:val="B5868CE8"/>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4D7D6F62"/>
    <w:multiLevelType w:val="multilevel"/>
    <w:tmpl w:val="ABCC3D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7F3A9B"/>
    <w:multiLevelType w:val="hybridMultilevel"/>
    <w:tmpl w:val="086C860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9" w15:restartNumberingAfterBreak="0">
    <w:nsid w:val="4E4A4019"/>
    <w:multiLevelType w:val="hybridMultilevel"/>
    <w:tmpl w:val="8D3A89B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66E76F4"/>
    <w:multiLevelType w:val="hybridMultilevel"/>
    <w:tmpl w:val="B6AA100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56B827EA"/>
    <w:multiLevelType w:val="multilevel"/>
    <w:tmpl w:val="0F06AD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FC5756"/>
    <w:multiLevelType w:val="hybridMultilevel"/>
    <w:tmpl w:val="7C5A07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3" w15:restartNumberingAfterBreak="0">
    <w:nsid w:val="5FBA1F0C"/>
    <w:multiLevelType w:val="hybridMultilevel"/>
    <w:tmpl w:val="9752965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3F743E4"/>
    <w:multiLevelType w:val="multilevel"/>
    <w:tmpl w:val="A7DC2E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4600DEF"/>
    <w:multiLevelType w:val="hybridMultilevel"/>
    <w:tmpl w:val="99C24060"/>
    <w:lvl w:ilvl="0" w:tplc="F8383AD4">
      <w:start w:val="1"/>
      <w:numFmt w:val="bullet"/>
      <w:lvlText w:val=""/>
      <w:lvlPicBulletId w:val="0"/>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6B282A48"/>
    <w:multiLevelType w:val="hybridMultilevel"/>
    <w:tmpl w:val="7054B70E"/>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6CFE20F8"/>
    <w:multiLevelType w:val="hybridMultilevel"/>
    <w:tmpl w:val="1B340BD6"/>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15:restartNumberingAfterBreak="0">
    <w:nsid w:val="6E4526D2"/>
    <w:multiLevelType w:val="multilevel"/>
    <w:tmpl w:val="EC3C59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0647AAE"/>
    <w:multiLevelType w:val="hybridMultilevel"/>
    <w:tmpl w:val="4A68F71C"/>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713C553F"/>
    <w:multiLevelType w:val="hybridMultilevel"/>
    <w:tmpl w:val="CE6CC38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1" w15:restartNumberingAfterBreak="0">
    <w:nsid w:val="7B7C0AD4"/>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CBB5FD9"/>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5011335">
    <w:abstractNumId w:val="4"/>
  </w:num>
  <w:num w:numId="2" w16cid:durableId="1489593276">
    <w:abstractNumId w:val="31"/>
  </w:num>
  <w:num w:numId="3" w16cid:durableId="164636232">
    <w:abstractNumId w:val="3"/>
  </w:num>
  <w:num w:numId="4" w16cid:durableId="1594784006">
    <w:abstractNumId w:val="32"/>
  </w:num>
  <w:num w:numId="5" w16cid:durableId="848789140">
    <w:abstractNumId w:val="9"/>
  </w:num>
  <w:num w:numId="6" w16cid:durableId="688063682">
    <w:abstractNumId w:val="16"/>
  </w:num>
  <w:num w:numId="7" w16cid:durableId="1958245720">
    <w:abstractNumId w:val="15"/>
  </w:num>
  <w:num w:numId="8" w16cid:durableId="1806385856">
    <w:abstractNumId w:val="0"/>
  </w:num>
  <w:num w:numId="9" w16cid:durableId="2096053185">
    <w:abstractNumId w:val="30"/>
  </w:num>
  <w:num w:numId="10" w16cid:durableId="362368310">
    <w:abstractNumId w:val="19"/>
  </w:num>
  <w:num w:numId="11" w16cid:durableId="1786844587">
    <w:abstractNumId w:val="23"/>
  </w:num>
  <w:num w:numId="12" w16cid:durableId="836308426">
    <w:abstractNumId w:val="10"/>
  </w:num>
  <w:num w:numId="13" w16cid:durableId="1917084906">
    <w:abstractNumId w:val="22"/>
  </w:num>
  <w:num w:numId="14" w16cid:durableId="1251082823">
    <w:abstractNumId w:val="18"/>
  </w:num>
  <w:num w:numId="15" w16cid:durableId="2139838702">
    <w:abstractNumId w:val="6"/>
  </w:num>
  <w:num w:numId="16" w16cid:durableId="905528472">
    <w:abstractNumId w:val="2"/>
  </w:num>
  <w:num w:numId="17" w16cid:durableId="1649900244">
    <w:abstractNumId w:val="14"/>
  </w:num>
  <w:num w:numId="18" w16cid:durableId="1144783145">
    <w:abstractNumId w:val="8"/>
  </w:num>
  <w:num w:numId="19" w16cid:durableId="1142039275">
    <w:abstractNumId w:val="26"/>
  </w:num>
  <w:num w:numId="20" w16cid:durableId="1928348596">
    <w:abstractNumId w:val="27"/>
  </w:num>
  <w:num w:numId="21" w16cid:durableId="361977954">
    <w:abstractNumId w:val="29"/>
  </w:num>
  <w:num w:numId="22" w16cid:durableId="1447041180">
    <w:abstractNumId w:val="7"/>
  </w:num>
  <w:num w:numId="23" w16cid:durableId="1248613034">
    <w:abstractNumId w:val="25"/>
  </w:num>
  <w:num w:numId="24" w16cid:durableId="1603561700">
    <w:abstractNumId w:val="12"/>
  </w:num>
  <w:num w:numId="25" w16cid:durableId="1434394200">
    <w:abstractNumId w:val="20"/>
  </w:num>
  <w:num w:numId="26" w16cid:durableId="1517035767">
    <w:abstractNumId w:val="24"/>
  </w:num>
  <w:num w:numId="27" w16cid:durableId="988094953">
    <w:abstractNumId w:val="21"/>
  </w:num>
  <w:num w:numId="28" w16cid:durableId="148323970">
    <w:abstractNumId w:val="5"/>
  </w:num>
  <w:num w:numId="29" w16cid:durableId="141582510">
    <w:abstractNumId w:val="11"/>
  </w:num>
  <w:num w:numId="30" w16cid:durableId="2097701059">
    <w:abstractNumId w:val="17"/>
  </w:num>
  <w:num w:numId="31" w16cid:durableId="1882088292">
    <w:abstractNumId w:val="28"/>
  </w:num>
  <w:num w:numId="32" w16cid:durableId="1680308028">
    <w:abstractNumId w:val="13"/>
  </w:num>
  <w:num w:numId="33" w16cid:durableId="596410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C0B"/>
    <w:rsid w:val="000226C5"/>
    <w:rsid w:val="000265F9"/>
    <w:rsid w:val="00030061"/>
    <w:rsid w:val="0005132F"/>
    <w:rsid w:val="00052936"/>
    <w:rsid w:val="00055798"/>
    <w:rsid w:val="00073E45"/>
    <w:rsid w:val="000B1E8E"/>
    <w:rsid w:val="000D6484"/>
    <w:rsid w:val="000D6B41"/>
    <w:rsid w:val="000E7372"/>
    <w:rsid w:val="000F177C"/>
    <w:rsid w:val="001133CF"/>
    <w:rsid w:val="00117ECE"/>
    <w:rsid w:val="001415F0"/>
    <w:rsid w:val="00151D81"/>
    <w:rsid w:val="0015213D"/>
    <w:rsid w:val="00154EEB"/>
    <w:rsid w:val="00155637"/>
    <w:rsid w:val="001661DD"/>
    <w:rsid w:val="00183967"/>
    <w:rsid w:val="00192397"/>
    <w:rsid w:val="001A3243"/>
    <w:rsid w:val="001C0C62"/>
    <w:rsid w:val="002426EE"/>
    <w:rsid w:val="00257C28"/>
    <w:rsid w:val="002667A1"/>
    <w:rsid w:val="00276CB7"/>
    <w:rsid w:val="00281F74"/>
    <w:rsid w:val="002929FB"/>
    <w:rsid w:val="002B18BC"/>
    <w:rsid w:val="002B66C8"/>
    <w:rsid w:val="002C1E3C"/>
    <w:rsid w:val="002C21C1"/>
    <w:rsid w:val="002E01F3"/>
    <w:rsid w:val="002E6D8F"/>
    <w:rsid w:val="002F4D9E"/>
    <w:rsid w:val="002F73FA"/>
    <w:rsid w:val="00306A77"/>
    <w:rsid w:val="00314D70"/>
    <w:rsid w:val="003169AD"/>
    <w:rsid w:val="0032007C"/>
    <w:rsid w:val="003428B7"/>
    <w:rsid w:val="00347C58"/>
    <w:rsid w:val="00363A25"/>
    <w:rsid w:val="003725E0"/>
    <w:rsid w:val="003740FA"/>
    <w:rsid w:val="003971BA"/>
    <w:rsid w:val="003A1F71"/>
    <w:rsid w:val="003B2C0B"/>
    <w:rsid w:val="003C132E"/>
    <w:rsid w:val="003D0E43"/>
    <w:rsid w:val="003D51F4"/>
    <w:rsid w:val="003D58D4"/>
    <w:rsid w:val="003F37CA"/>
    <w:rsid w:val="003F3D7B"/>
    <w:rsid w:val="00417B9F"/>
    <w:rsid w:val="00417E35"/>
    <w:rsid w:val="004227A6"/>
    <w:rsid w:val="0045216B"/>
    <w:rsid w:val="00464804"/>
    <w:rsid w:val="00477A16"/>
    <w:rsid w:val="00482CC2"/>
    <w:rsid w:val="00494E38"/>
    <w:rsid w:val="004C402C"/>
    <w:rsid w:val="004E0C92"/>
    <w:rsid w:val="0050056B"/>
    <w:rsid w:val="0050478E"/>
    <w:rsid w:val="0050759F"/>
    <w:rsid w:val="005176BA"/>
    <w:rsid w:val="00527F7F"/>
    <w:rsid w:val="00533EC0"/>
    <w:rsid w:val="00535836"/>
    <w:rsid w:val="00543801"/>
    <w:rsid w:val="00560E47"/>
    <w:rsid w:val="00561413"/>
    <w:rsid w:val="005619C0"/>
    <w:rsid w:val="00563DDA"/>
    <w:rsid w:val="005733DA"/>
    <w:rsid w:val="00594435"/>
    <w:rsid w:val="005B4718"/>
    <w:rsid w:val="005B4CAA"/>
    <w:rsid w:val="005C3616"/>
    <w:rsid w:val="005C79E3"/>
    <w:rsid w:val="005D2F72"/>
    <w:rsid w:val="005E45BD"/>
    <w:rsid w:val="005F191C"/>
    <w:rsid w:val="00623054"/>
    <w:rsid w:val="006344A5"/>
    <w:rsid w:val="00646998"/>
    <w:rsid w:val="006645FE"/>
    <w:rsid w:val="006647CF"/>
    <w:rsid w:val="006828C9"/>
    <w:rsid w:val="006904EF"/>
    <w:rsid w:val="006A0E90"/>
    <w:rsid w:val="006A6E23"/>
    <w:rsid w:val="006B10CC"/>
    <w:rsid w:val="006D242F"/>
    <w:rsid w:val="006D3AFE"/>
    <w:rsid w:val="006E37E8"/>
    <w:rsid w:val="00703375"/>
    <w:rsid w:val="007151BC"/>
    <w:rsid w:val="00726840"/>
    <w:rsid w:val="0073298C"/>
    <w:rsid w:val="00732E6E"/>
    <w:rsid w:val="0073416E"/>
    <w:rsid w:val="007404C1"/>
    <w:rsid w:val="00744F30"/>
    <w:rsid w:val="00752231"/>
    <w:rsid w:val="007535D8"/>
    <w:rsid w:val="0076299D"/>
    <w:rsid w:val="00763763"/>
    <w:rsid w:val="007845BA"/>
    <w:rsid w:val="007D34F0"/>
    <w:rsid w:val="007F070D"/>
    <w:rsid w:val="008212D3"/>
    <w:rsid w:val="00835EFE"/>
    <w:rsid w:val="0084469E"/>
    <w:rsid w:val="008613EF"/>
    <w:rsid w:val="00873207"/>
    <w:rsid w:val="0089760D"/>
    <w:rsid w:val="008C3B45"/>
    <w:rsid w:val="008C72BE"/>
    <w:rsid w:val="008C7A0C"/>
    <w:rsid w:val="008D7AA7"/>
    <w:rsid w:val="008D7FB4"/>
    <w:rsid w:val="00902BD8"/>
    <w:rsid w:val="00912C13"/>
    <w:rsid w:val="00917818"/>
    <w:rsid w:val="00935DCF"/>
    <w:rsid w:val="0095249D"/>
    <w:rsid w:val="0095390A"/>
    <w:rsid w:val="00953F75"/>
    <w:rsid w:val="0096170D"/>
    <w:rsid w:val="00995809"/>
    <w:rsid w:val="009A6018"/>
    <w:rsid w:val="009B6F61"/>
    <w:rsid w:val="009C0683"/>
    <w:rsid w:val="009D655A"/>
    <w:rsid w:val="009E2932"/>
    <w:rsid w:val="009E53D6"/>
    <w:rsid w:val="00A038A9"/>
    <w:rsid w:val="00A166AC"/>
    <w:rsid w:val="00A32736"/>
    <w:rsid w:val="00A33163"/>
    <w:rsid w:val="00A44089"/>
    <w:rsid w:val="00AB0472"/>
    <w:rsid w:val="00AB73E8"/>
    <w:rsid w:val="00AB7721"/>
    <w:rsid w:val="00AD1021"/>
    <w:rsid w:val="00AD35D9"/>
    <w:rsid w:val="00AF01F7"/>
    <w:rsid w:val="00B02B4C"/>
    <w:rsid w:val="00B10134"/>
    <w:rsid w:val="00B24A3B"/>
    <w:rsid w:val="00B46665"/>
    <w:rsid w:val="00B47323"/>
    <w:rsid w:val="00B47B1B"/>
    <w:rsid w:val="00B73CAE"/>
    <w:rsid w:val="00B76F92"/>
    <w:rsid w:val="00B90176"/>
    <w:rsid w:val="00B93588"/>
    <w:rsid w:val="00BA5F4F"/>
    <w:rsid w:val="00BA7D79"/>
    <w:rsid w:val="00BB26E0"/>
    <w:rsid w:val="00BB72E3"/>
    <w:rsid w:val="00BC35C6"/>
    <w:rsid w:val="00BC6F9A"/>
    <w:rsid w:val="00BD0324"/>
    <w:rsid w:val="00BE02E8"/>
    <w:rsid w:val="00BF124D"/>
    <w:rsid w:val="00C128FA"/>
    <w:rsid w:val="00C1744B"/>
    <w:rsid w:val="00C24C05"/>
    <w:rsid w:val="00C264D5"/>
    <w:rsid w:val="00C34140"/>
    <w:rsid w:val="00C46B75"/>
    <w:rsid w:val="00C52707"/>
    <w:rsid w:val="00C60B72"/>
    <w:rsid w:val="00C73E21"/>
    <w:rsid w:val="00C935F9"/>
    <w:rsid w:val="00CA0EF0"/>
    <w:rsid w:val="00CA45EA"/>
    <w:rsid w:val="00CB1228"/>
    <w:rsid w:val="00CC37B4"/>
    <w:rsid w:val="00CC3EF9"/>
    <w:rsid w:val="00CE41B9"/>
    <w:rsid w:val="00CE503B"/>
    <w:rsid w:val="00D01C91"/>
    <w:rsid w:val="00D07020"/>
    <w:rsid w:val="00D13766"/>
    <w:rsid w:val="00D15918"/>
    <w:rsid w:val="00D240A8"/>
    <w:rsid w:val="00D244AB"/>
    <w:rsid w:val="00D33BC5"/>
    <w:rsid w:val="00D4657C"/>
    <w:rsid w:val="00DA56A5"/>
    <w:rsid w:val="00DB02E2"/>
    <w:rsid w:val="00DD0C9F"/>
    <w:rsid w:val="00E02F0F"/>
    <w:rsid w:val="00E04FE7"/>
    <w:rsid w:val="00E10FE2"/>
    <w:rsid w:val="00E1402D"/>
    <w:rsid w:val="00E22948"/>
    <w:rsid w:val="00E313F4"/>
    <w:rsid w:val="00E316EA"/>
    <w:rsid w:val="00E358C2"/>
    <w:rsid w:val="00E55AAF"/>
    <w:rsid w:val="00E71166"/>
    <w:rsid w:val="00E731A3"/>
    <w:rsid w:val="00E877B4"/>
    <w:rsid w:val="00EE4D7C"/>
    <w:rsid w:val="00F05BCC"/>
    <w:rsid w:val="00F24281"/>
    <w:rsid w:val="00F33A51"/>
    <w:rsid w:val="00F350F3"/>
    <w:rsid w:val="00F441DD"/>
    <w:rsid w:val="00F45546"/>
    <w:rsid w:val="00F54008"/>
    <w:rsid w:val="00F550EE"/>
    <w:rsid w:val="00FB265F"/>
    <w:rsid w:val="00FC1787"/>
    <w:rsid w:val="00FD00DA"/>
    <w:rsid w:val="00FE459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C23EC45"/>
  <w15:chartTrackingRefBased/>
  <w15:docId w15:val="{4D561D07-CF04-40E7-951C-B2CBD0B62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7"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647CF"/>
    <w:pPr>
      <w:spacing w:after="0" w:line="360" w:lineRule="auto"/>
      <w:jc w:val="both"/>
    </w:pPr>
    <w:rPr>
      <w:rFonts w:ascii="Times New Roman" w:hAnsi="Times New Roman"/>
      <w:sz w:val="24"/>
      <w:szCs w:val="24"/>
    </w:rPr>
  </w:style>
  <w:style w:type="paragraph" w:styleId="Heading1">
    <w:name w:val="heading 1"/>
    <w:basedOn w:val="Normal"/>
    <w:next w:val="Normal"/>
    <w:link w:val="Heading1Char"/>
    <w:uiPriority w:val="9"/>
    <w:qFormat/>
    <w:rsid w:val="00CC3EF9"/>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F4D9E"/>
    <w:pPr>
      <w:keepNext/>
      <w:keepLines/>
      <w:spacing w:before="4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2F4D9E"/>
    <w:pPr>
      <w:keepNext/>
      <w:keepLines/>
      <w:spacing w:before="40"/>
      <w:outlineLvl w:val="2"/>
    </w:pPr>
    <w:rPr>
      <w:rFonts w:eastAsiaTheme="majorEastAsia" w:cstheme="majorBidi"/>
      <w:b/>
      <w:color w:val="000000" w:themeColor="text1"/>
    </w:rPr>
  </w:style>
  <w:style w:type="paragraph" w:styleId="Heading5">
    <w:name w:val="heading 5"/>
    <w:basedOn w:val="Normal"/>
    <w:next w:val="Normal"/>
    <w:link w:val="Heading5Char"/>
    <w:uiPriority w:val="4"/>
    <w:qFormat/>
    <w:rsid w:val="003B2C0B"/>
    <w:pPr>
      <w:keepNext/>
      <w:keepLines/>
      <w:spacing w:after="240"/>
      <w:outlineLvl w:val="4"/>
    </w:pPr>
    <w:rPr>
      <w:rFonts w:asciiTheme="majorHAnsi" w:eastAsiaTheme="majorEastAsia" w:hAnsiTheme="majorHAnsi" w:cstheme="majorBidi"/>
      <w:b/>
      <w:color w:val="4472C4" w:themeColor="accent1"/>
      <w:sz w:val="72"/>
    </w:rPr>
  </w:style>
  <w:style w:type="paragraph" w:styleId="Heading6">
    <w:name w:val="heading 6"/>
    <w:basedOn w:val="Normal"/>
    <w:next w:val="Normal"/>
    <w:link w:val="Heading6Char"/>
    <w:uiPriority w:val="9"/>
    <w:semiHidden/>
    <w:unhideWhenUsed/>
    <w:qFormat/>
    <w:rsid w:val="006A6E23"/>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4"/>
    <w:rsid w:val="003B2C0B"/>
    <w:rPr>
      <w:rFonts w:asciiTheme="majorHAnsi" w:eastAsiaTheme="majorEastAsia" w:hAnsiTheme="majorHAnsi" w:cstheme="majorBidi"/>
      <w:b/>
      <w:color w:val="4472C4" w:themeColor="accent1"/>
      <w:sz w:val="72"/>
      <w:szCs w:val="24"/>
    </w:rPr>
  </w:style>
  <w:style w:type="table" w:styleId="TableGrid">
    <w:name w:val="Table Grid"/>
    <w:basedOn w:val="TableNormal"/>
    <w:uiPriority w:val="39"/>
    <w:rsid w:val="003B2C0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raphicAnchor">
    <w:name w:val="Graphic Anchor"/>
    <w:basedOn w:val="Normal"/>
    <w:uiPriority w:val="8"/>
    <w:qFormat/>
    <w:rsid w:val="003B2C0B"/>
    <w:rPr>
      <w:noProof/>
      <w:sz w:val="10"/>
    </w:rPr>
  </w:style>
  <w:style w:type="paragraph" w:styleId="ListParagraph">
    <w:name w:val="List Paragraph"/>
    <w:basedOn w:val="Normal"/>
    <w:uiPriority w:val="34"/>
    <w:qFormat/>
    <w:rsid w:val="003B2C0B"/>
    <w:pPr>
      <w:ind w:left="720"/>
      <w:contextualSpacing/>
    </w:pPr>
  </w:style>
  <w:style w:type="table" w:styleId="GridTable4-Accent3">
    <w:name w:val="Grid Table 4 Accent 3"/>
    <w:basedOn w:val="TableNormal"/>
    <w:uiPriority w:val="49"/>
    <w:rsid w:val="0050056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
    <w:name w:val="Grid Table 4"/>
    <w:basedOn w:val="TableNormal"/>
    <w:uiPriority w:val="49"/>
    <w:rsid w:val="0050056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3">
    <w:name w:val="Grid Table 5 Dark Accent 3"/>
    <w:basedOn w:val="TableNormal"/>
    <w:uiPriority w:val="50"/>
    <w:rsid w:val="0050056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Header">
    <w:name w:val="header"/>
    <w:basedOn w:val="Normal"/>
    <w:link w:val="HeaderChar"/>
    <w:uiPriority w:val="99"/>
    <w:unhideWhenUsed/>
    <w:rsid w:val="00A44089"/>
    <w:pPr>
      <w:tabs>
        <w:tab w:val="center" w:pos="4680"/>
        <w:tab w:val="right" w:pos="9360"/>
      </w:tabs>
    </w:pPr>
  </w:style>
  <w:style w:type="character" w:customStyle="1" w:styleId="HeaderChar">
    <w:name w:val="Header Char"/>
    <w:basedOn w:val="DefaultParagraphFont"/>
    <w:link w:val="Header"/>
    <w:uiPriority w:val="99"/>
    <w:rsid w:val="00A44089"/>
    <w:rPr>
      <w:sz w:val="28"/>
      <w:szCs w:val="24"/>
    </w:rPr>
  </w:style>
  <w:style w:type="paragraph" w:styleId="Footer">
    <w:name w:val="footer"/>
    <w:basedOn w:val="Normal"/>
    <w:link w:val="FooterChar"/>
    <w:uiPriority w:val="99"/>
    <w:unhideWhenUsed/>
    <w:rsid w:val="00A44089"/>
    <w:pPr>
      <w:tabs>
        <w:tab w:val="center" w:pos="4680"/>
        <w:tab w:val="right" w:pos="9360"/>
      </w:tabs>
    </w:pPr>
  </w:style>
  <w:style w:type="character" w:customStyle="1" w:styleId="FooterChar">
    <w:name w:val="Footer Char"/>
    <w:basedOn w:val="DefaultParagraphFont"/>
    <w:link w:val="Footer"/>
    <w:uiPriority w:val="99"/>
    <w:rsid w:val="00A44089"/>
    <w:rPr>
      <w:sz w:val="28"/>
      <w:szCs w:val="24"/>
    </w:rPr>
  </w:style>
  <w:style w:type="character" w:styleId="Hyperlink">
    <w:name w:val="Hyperlink"/>
    <w:basedOn w:val="DefaultParagraphFont"/>
    <w:uiPriority w:val="99"/>
    <w:unhideWhenUsed/>
    <w:rsid w:val="00030061"/>
    <w:rPr>
      <w:color w:val="0000FF"/>
      <w:u w:val="single"/>
    </w:rPr>
  </w:style>
  <w:style w:type="paragraph" w:styleId="TOC1">
    <w:name w:val="toc 1"/>
    <w:basedOn w:val="Normal"/>
    <w:next w:val="Normal"/>
    <w:autoRedefine/>
    <w:uiPriority w:val="39"/>
    <w:unhideWhenUsed/>
    <w:rsid w:val="00030061"/>
    <w:pPr>
      <w:spacing w:after="100" w:line="276" w:lineRule="auto"/>
    </w:pPr>
    <w:rPr>
      <w:sz w:val="22"/>
      <w:szCs w:val="22"/>
    </w:rPr>
  </w:style>
  <w:style w:type="paragraph" w:styleId="TOC2">
    <w:name w:val="toc 2"/>
    <w:basedOn w:val="Normal"/>
    <w:next w:val="Normal"/>
    <w:autoRedefine/>
    <w:uiPriority w:val="39"/>
    <w:unhideWhenUsed/>
    <w:rsid w:val="00030061"/>
    <w:pPr>
      <w:spacing w:after="100" w:line="276" w:lineRule="auto"/>
      <w:ind w:left="220"/>
    </w:pPr>
    <w:rPr>
      <w:sz w:val="22"/>
      <w:szCs w:val="22"/>
    </w:rPr>
  </w:style>
  <w:style w:type="character" w:customStyle="1" w:styleId="Heading1Char">
    <w:name w:val="Heading 1 Char"/>
    <w:basedOn w:val="DefaultParagraphFont"/>
    <w:link w:val="Heading1"/>
    <w:uiPriority w:val="9"/>
    <w:rsid w:val="00CC3EF9"/>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030061"/>
    <w:pPr>
      <w:spacing w:before="480" w:line="276" w:lineRule="auto"/>
      <w:outlineLvl w:val="9"/>
    </w:pPr>
    <w:rPr>
      <w:b w:val="0"/>
      <w:bCs/>
      <w:szCs w:val="28"/>
      <w:lang w:eastAsia="ja-JP"/>
    </w:rPr>
  </w:style>
  <w:style w:type="character" w:customStyle="1" w:styleId="Heading2Char">
    <w:name w:val="Heading 2 Char"/>
    <w:basedOn w:val="DefaultParagraphFont"/>
    <w:link w:val="Heading2"/>
    <w:uiPriority w:val="9"/>
    <w:rsid w:val="002F4D9E"/>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2F4D9E"/>
    <w:rPr>
      <w:rFonts w:ascii="Times New Roman" w:eastAsiaTheme="majorEastAsia" w:hAnsi="Times New Roman" w:cstheme="majorBidi"/>
      <w:b/>
      <w:color w:val="000000" w:themeColor="text1"/>
      <w:sz w:val="24"/>
      <w:szCs w:val="24"/>
    </w:rPr>
  </w:style>
  <w:style w:type="character" w:customStyle="1" w:styleId="Heading6Char">
    <w:name w:val="Heading 6 Char"/>
    <w:basedOn w:val="DefaultParagraphFont"/>
    <w:link w:val="Heading6"/>
    <w:uiPriority w:val="9"/>
    <w:semiHidden/>
    <w:rsid w:val="006A6E23"/>
    <w:rPr>
      <w:rFonts w:asciiTheme="majorHAnsi" w:eastAsiaTheme="majorEastAsia" w:hAnsiTheme="majorHAnsi" w:cstheme="majorBidi"/>
      <w:color w:val="1F3763" w:themeColor="accent1" w:themeShade="7F"/>
      <w:sz w:val="28"/>
      <w:szCs w:val="24"/>
    </w:rPr>
  </w:style>
  <w:style w:type="paragraph" w:styleId="TOC3">
    <w:name w:val="toc 3"/>
    <w:basedOn w:val="Normal"/>
    <w:next w:val="Normal"/>
    <w:autoRedefine/>
    <w:uiPriority w:val="39"/>
    <w:unhideWhenUsed/>
    <w:rsid w:val="00BE02E8"/>
    <w:pPr>
      <w:spacing w:after="100"/>
      <w:ind w:left="480"/>
    </w:pPr>
  </w:style>
  <w:style w:type="character" w:styleId="Strong">
    <w:name w:val="Strong"/>
    <w:basedOn w:val="DefaultParagraphFont"/>
    <w:uiPriority w:val="22"/>
    <w:qFormat/>
    <w:rsid w:val="00EE4D7C"/>
    <w:rPr>
      <w:b/>
      <w:bCs/>
    </w:rPr>
  </w:style>
  <w:style w:type="paragraph" w:styleId="NormalWeb">
    <w:name w:val="Normal (Web)"/>
    <w:basedOn w:val="Normal"/>
    <w:uiPriority w:val="99"/>
    <w:semiHidden/>
    <w:unhideWhenUsed/>
    <w:rsid w:val="00EE4D7C"/>
    <w:pPr>
      <w:spacing w:before="100" w:beforeAutospacing="1" w:after="100" w:afterAutospacing="1" w:line="240" w:lineRule="auto"/>
      <w:jc w:val="left"/>
    </w:pPr>
    <w:rPr>
      <w:rFonts w:eastAsia="Times New Roman" w:cs="Times New Roman"/>
      <w:lang w:bidi="bn-IN"/>
    </w:rPr>
  </w:style>
  <w:style w:type="character" w:styleId="UnresolvedMention">
    <w:name w:val="Unresolved Mention"/>
    <w:basedOn w:val="DefaultParagraphFont"/>
    <w:uiPriority w:val="99"/>
    <w:semiHidden/>
    <w:unhideWhenUsed/>
    <w:rsid w:val="00EE4D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539910">
      <w:bodyDiv w:val="1"/>
      <w:marLeft w:val="0"/>
      <w:marRight w:val="0"/>
      <w:marTop w:val="0"/>
      <w:marBottom w:val="0"/>
      <w:divBdr>
        <w:top w:val="none" w:sz="0" w:space="0" w:color="auto"/>
        <w:left w:val="none" w:sz="0" w:space="0" w:color="auto"/>
        <w:bottom w:val="none" w:sz="0" w:space="0" w:color="auto"/>
        <w:right w:val="none" w:sz="0" w:space="0" w:color="auto"/>
      </w:divBdr>
    </w:div>
    <w:div w:id="199899113">
      <w:bodyDiv w:val="1"/>
      <w:marLeft w:val="0"/>
      <w:marRight w:val="0"/>
      <w:marTop w:val="0"/>
      <w:marBottom w:val="0"/>
      <w:divBdr>
        <w:top w:val="none" w:sz="0" w:space="0" w:color="auto"/>
        <w:left w:val="none" w:sz="0" w:space="0" w:color="auto"/>
        <w:bottom w:val="none" w:sz="0" w:space="0" w:color="auto"/>
        <w:right w:val="none" w:sz="0" w:space="0" w:color="auto"/>
      </w:divBdr>
    </w:div>
    <w:div w:id="267392900">
      <w:bodyDiv w:val="1"/>
      <w:marLeft w:val="0"/>
      <w:marRight w:val="0"/>
      <w:marTop w:val="0"/>
      <w:marBottom w:val="0"/>
      <w:divBdr>
        <w:top w:val="none" w:sz="0" w:space="0" w:color="auto"/>
        <w:left w:val="none" w:sz="0" w:space="0" w:color="auto"/>
        <w:bottom w:val="none" w:sz="0" w:space="0" w:color="auto"/>
        <w:right w:val="none" w:sz="0" w:space="0" w:color="auto"/>
      </w:divBdr>
    </w:div>
    <w:div w:id="358118081">
      <w:bodyDiv w:val="1"/>
      <w:marLeft w:val="0"/>
      <w:marRight w:val="0"/>
      <w:marTop w:val="0"/>
      <w:marBottom w:val="0"/>
      <w:divBdr>
        <w:top w:val="none" w:sz="0" w:space="0" w:color="auto"/>
        <w:left w:val="none" w:sz="0" w:space="0" w:color="auto"/>
        <w:bottom w:val="none" w:sz="0" w:space="0" w:color="auto"/>
        <w:right w:val="none" w:sz="0" w:space="0" w:color="auto"/>
      </w:divBdr>
    </w:div>
    <w:div w:id="377248077">
      <w:bodyDiv w:val="1"/>
      <w:marLeft w:val="0"/>
      <w:marRight w:val="0"/>
      <w:marTop w:val="0"/>
      <w:marBottom w:val="0"/>
      <w:divBdr>
        <w:top w:val="none" w:sz="0" w:space="0" w:color="auto"/>
        <w:left w:val="none" w:sz="0" w:space="0" w:color="auto"/>
        <w:bottom w:val="none" w:sz="0" w:space="0" w:color="auto"/>
        <w:right w:val="none" w:sz="0" w:space="0" w:color="auto"/>
      </w:divBdr>
    </w:div>
    <w:div w:id="701825903">
      <w:bodyDiv w:val="1"/>
      <w:marLeft w:val="0"/>
      <w:marRight w:val="0"/>
      <w:marTop w:val="0"/>
      <w:marBottom w:val="0"/>
      <w:divBdr>
        <w:top w:val="none" w:sz="0" w:space="0" w:color="auto"/>
        <w:left w:val="none" w:sz="0" w:space="0" w:color="auto"/>
        <w:bottom w:val="none" w:sz="0" w:space="0" w:color="auto"/>
        <w:right w:val="none" w:sz="0" w:space="0" w:color="auto"/>
      </w:divBdr>
    </w:div>
    <w:div w:id="814488291">
      <w:bodyDiv w:val="1"/>
      <w:marLeft w:val="0"/>
      <w:marRight w:val="0"/>
      <w:marTop w:val="0"/>
      <w:marBottom w:val="0"/>
      <w:divBdr>
        <w:top w:val="none" w:sz="0" w:space="0" w:color="auto"/>
        <w:left w:val="none" w:sz="0" w:space="0" w:color="auto"/>
        <w:bottom w:val="none" w:sz="0" w:space="0" w:color="auto"/>
        <w:right w:val="none" w:sz="0" w:space="0" w:color="auto"/>
      </w:divBdr>
    </w:div>
    <w:div w:id="832332070">
      <w:bodyDiv w:val="1"/>
      <w:marLeft w:val="0"/>
      <w:marRight w:val="0"/>
      <w:marTop w:val="0"/>
      <w:marBottom w:val="0"/>
      <w:divBdr>
        <w:top w:val="none" w:sz="0" w:space="0" w:color="auto"/>
        <w:left w:val="none" w:sz="0" w:space="0" w:color="auto"/>
        <w:bottom w:val="none" w:sz="0" w:space="0" w:color="auto"/>
        <w:right w:val="none" w:sz="0" w:space="0" w:color="auto"/>
      </w:divBdr>
    </w:div>
    <w:div w:id="1022900375">
      <w:bodyDiv w:val="1"/>
      <w:marLeft w:val="0"/>
      <w:marRight w:val="0"/>
      <w:marTop w:val="0"/>
      <w:marBottom w:val="0"/>
      <w:divBdr>
        <w:top w:val="none" w:sz="0" w:space="0" w:color="auto"/>
        <w:left w:val="none" w:sz="0" w:space="0" w:color="auto"/>
        <w:bottom w:val="none" w:sz="0" w:space="0" w:color="auto"/>
        <w:right w:val="none" w:sz="0" w:space="0" w:color="auto"/>
      </w:divBdr>
    </w:div>
    <w:div w:id="1110970672">
      <w:bodyDiv w:val="1"/>
      <w:marLeft w:val="0"/>
      <w:marRight w:val="0"/>
      <w:marTop w:val="0"/>
      <w:marBottom w:val="0"/>
      <w:divBdr>
        <w:top w:val="none" w:sz="0" w:space="0" w:color="auto"/>
        <w:left w:val="none" w:sz="0" w:space="0" w:color="auto"/>
        <w:bottom w:val="none" w:sz="0" w:space="0" w:color="auto"/>
        <w:right w:val="none" w:sz="0" w:space="0" w:color="auto"/>
      </w:divBdr>
    </w:div>
    <w:div w:id="1242371327">
      <w:bodyDiv w:val="1"/>
      <w:marLeft w:val="0"/>
      <w:marRight w:val="0"/>
      <w:marTop w:val="0"/>
      <w:marBottom w:val="0"/>
      <w:divBdr>
        <w:top w:val="none" w:sz="0" w:space="0" w:color="auto"/>
        <w:left w:val="none" w:sz="0" w:space="0" w:color="auto"/>
        <w:bottom w:val="none" w:sz="0" w:space="0" w:color="auto"/>
        <w:right w:val="none" w:sz="0" w:space="0" w:color="auto"/>
      </w:divBdr>
    </w:div>
    <w:div w:id="1272981095">
      <w:bodyDiv w:val="1"/>
      <w:marLeft w:val="0"/>
      <w:marRight w:val="0"/>
      <w:marTop w:val="0"/>
      <w:marBottom w:val="0"/>
      <w:divBdr>
        <w:top w:val="none" w:sz="0" w:space="0" w:color="auto"/>
        <w:left w:val="none" w:sz="0" w:space="0" w:color="auto"/>
        <w:bottom w:val="none" w:sz="0" w:space="0" w:color="auto"/>
        <w:right w:val="none" w:sz="0" w:space="0" w:color="auto"/>
      </w:divBdr>
    </w:div>
    <w:div w:id="1391270026">
      <w:bodyDiv w:val="1"/>
      <w:marLeft w:val="0"/>
      <w:marRight w:val="0"/>
      <w:marTop w:val="0"/>
      <w:marBottom w:val="0"/>
      <w:divBdr>
        <w:top w:val="none" w:sz="0" w:space="0" w:color="auto"/>
        <w:left w:val="none" w:sz="0" w:space="0" w:color="auto"/>
        <w:bottom w:val="none" w:sz="0" w:space="0" w:color="auto"/>
        <w:right w:val="none" w:sz="0" w:space="0" w:color="auto"/>
      </w:divBdr>
    </w:div>
    <w:div w:id="1409765671">
      <w:bodyDiv w:val="1"/>
      <w:marLeft w:val="0"/>
      <w:marRight w:val="0"/>
      <w:marTop w:val="0"/>
      <w:marBottom w:val="0"/>
      <w:divBdr>
        <w:top w:val="none" w:sz="0" w:space="0" w:color="auto"/>
        <w:left w:val="none" w:sz="0" w:space="0" w:color="auto"/>
        <w:bottom w:val="none" w:sz="0" w:space="0" w:color="auto"/>
        <w:right w:val="none" w:sz="0" w:space="0" w:color="auto"/>
      </w:divBdr>
    </w:div>
    <w:div w:id="1536500029">
      <w:bodyDiv w:val="1"/>
      <w:marLeft w:val="0"/>
      <w:marRight w:val="0"/>
      <w:marTop w:val="0"/>
      <w:marBottom w:val="0"/>
      <w:divBdr>
        <w:top w:val="none" w:sz="0" w:space="0" w:color="auto"/>
        <w:left w:val="none" w:sz="0" w:space="0" w:color="auto"/>
        <w:bottom w:val="none" w:sz="0" w:space="0" w:color="auto"/>
        <w:right w:val="none" w:sz="0" w:space="0" w:color="auto"/>
      </w:divBdr>
    </w:div>
    <w:div w:id="1597513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3.xml"/><Relationship Id="rId18"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eader" Target="head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E55DB1-BB2F-4F8B-A7BE-66B0F4D4A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3138</Words>
  <Characters>17893</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Tuhin</dc:creator>
  <cp:keywords/>
  <dc:description/>
  <cp:lastModifiedBy>Joynul Hussain Tuhin</cp:lastModifiedBy>
  <cp:revision>2</cp:revision>
  <dcterms:created xsi:type="dcterms:W3CDTF">2025-03-25T14:15:00Z</dcterms:created>
  <dcterms:modified xsi:type="dcterms:W3CDTF">2025-03-25T14:15:00Z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0d6110877ba5a438fd73fa2379af18548f9ccb019ac00725b8fa5a9692fd26ff</vt:lpwstr>
  </property>
</Properties>
</file>