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b/>
          <w:sz w:val="32"/>
          <w:szCs w:val="32"/>
          <w:u w:val="single"/>
          <w:lang w:val="en-GB"/>
        </w:rPr>
      </w:pPr>
      <w:r>
        <w:rPr>
          <w:b/>
          <w:sz w:val="32"/>
          <w:szCs w:val="32"/>
          <w:u w:val="single"/>
          <w:lang w:val="en-GB"/>
        </w:rPr>
      </w:r>
      <w:bookmarkStart w:id="0" w:name="_GoBack"/>
      <w:bookmarkStart w:id="1" w:name="_GoBack"/>
      <w:bookmarkEnd w:id="1"/>
    </w:p>
    <w:p>
      <w:pPr>
        <w:pStyle w:val="Normal"/>
        <w:jc w:val="center"/>
        <w:rPr>
          <w:b/>
          <w:b/>
          <w:sz w:val="32"/>
          <w:szCs w:val="32"/>
          <w:u w:val="single"/>
          <w:lang w:val="en-GB"/>
        </w:rPr>
      </w:pPr>
      <w:r>
        <w:rPr>
          <w:b/>
          <w:sz w:val="32"/>
          <w:szCs w:val="32"/>
          <w:u w:val="single"/>
          <w:lang w:val="en-GB"/>
        </w:rPr>
      </w:r>
    </w:p>
    <w:p>
      <w:pPr>
        <w:pStyle w:val="Normal"/>
        <w:jc w:val="center"/>
        <w:rPr>
          <w:b/>
          <w:b/>
          <w:sz w:val="32"/>
          <w:szCs w:val="32"/>
          <w:u w:val="single"/>
          <w:lang w:val="en-GB"/>
        </w:rPr>
      </w:pPr>
      <w:r>
        <w:rPr>
          <w:b/>
          <w:sz w:val="32"/>
          <w:szCs w:val="32"/>
          <w:u w:val="single"/>
          <w:lang w:val="en-GB"/>
        </w:rPr>
      </w:r>
    </w:p>
    <w:p>
      <w:pPr>
        <w:pStyle w:val="Normal"/>
        <w:jc w:val="center"/>
        <w:rPr>
          <w:b/>
          <w:b/>
          <w:sz w:val="32"/>
          <w:szCs w:val="32"/>
          <w:u w:val="single"/>
          <w:lang w:val="en-GB"/>
        </w:rPr>
      </w:pPr>
      <w:r>
        <w:rPr>
          <w:b/>
          <w:sz w:val="32"/>
          <w:szCs w:val="32"/>
          <w:u w:val="single"/>
          <w:lang w:val="en-GB"/>
        </w:rPr>
      </w:r>
    </w:p>
    <w:p>
      <w:pPr>
        <w:pStyle w:val="Normal"/>
        <w:jc w:val="center"/>
        <w:rPr>
          <w:b/>
          <w:b/>
          <w:sz w:val="32"/>
          <w:szCs w:val="32"/>
          <w:u w:val="single"/>
          <w:lang w:val="en-GB"/>
        </w:rPr>
      </w:pPr>
      <w:r>
        <w:rPr>
          <w:b/>
          <w:sz w:val="32"/>
          <w:szCs w:val="32"/>
          <w:u w:val="single"/>
          <w:lang w:val="en-GB"/>
        </w:rPr>
      </w:r>
    </w:p>
    <w:p>
      <w:pPr>
        <w:pStyle w:val="Normal"/>
        <w:jc w:val="center"/>
        <w:rPr>
          <w:b/>
          <w:b/>
          <w:sz w:val="32"/>
          <w:szCs w:val="32"/>
          <w:u w:val="single"/>
          <w:lang w:val="en-GB"/>
        </w:rPr>
      </w:pPr>
      <w:r>
        <w:rPr>
          <w:b/>
          <w:sz w:val="32"/>
          <w:szCs w:val="32"/>
          <w:u w:val="single"/>
          <w:lang w:val="en-GB"/>
        </w:rPr>
      </w:r>
    </w:p>
    <w:p>
      <w:pPr>
        <w:pStyle w:val="Normal"/>
        <w:jc w:val="center"/>
        <w:rPr>
          <w:b/>
          <w:b/>
          <w:sz w:val="32"/>
          <w:szCs w:val="32"/>
          <w:u w:val="single"/>
          <w:lang w:val="en-GB"/>
        </w:rPr>
      </w:pPr>
      <w:r>
        <w:rPr>
          <w:b/>
          <w:sz w:val="32"/>
          <w:szCs w:val="32"/>
          <w:u w:val="single"/>
          <w:lang w:val="en-GB"/>
        </w:rPr>
        <w:t>Learning in the Digital Era</w:t>
      </w:r>
    </w:p>
    <w:p>
      <w:pPr>
        <w:pStyle w:val="Normal"/>
        <w:jc w:val="center"/>
        <w:rPr>
          <w:b/>
          <w:b/>
          <w:i/>
          <w:i/>
          <w:lang w:val="en-GB"/>
        </w:rPr>
      </w:pPr>
      <w:r>
        <w:rPr>
          <w:b/>
          <w:i/>
          <w:lang w:val="en-GB"/>
        </w:rPr>
        <w:t xml:space="preserve">Student Name: </w:t>
      </w:r>
      <w:r>
        <w:rPr>
          <w:b/>
          <w:i/>
          <w:lang w:val="en-GB"/>
        </w:rPr>
        <w:t>Stefania Steliana Boaba</w:t>
      </w:r>
    </w:p>
    <w:p>
      <w:pPr>
        <w:pStyle w:val="Normal"/>
        <w:jc w:val="center"/>
        <w:rPr>
          <w:b/>
          <w:b/>
          <w:i/>
          <w:i/>
          <w:lang w:val="en-GB"/>
        </w:rPr>
      </w:pPr>
      <w:r>
        <w:rPr>
          <w:b/>
          <w:i/>
          <w:lang w:val="en-GB"/>
        </w:rPr>
        <w:t xml:space="preserve">Student ID: </w:t>
      </w:r>
      <w:r>
        <w:rPr>
          <w:b/>
          <w:i/>
          <w:lang w:val="en-GB"/>
        </w:rPr>
        <w:t>2245096</w:t>
      </w:r>
    </w:p>
    <w:p>
      <w:pPr>
        <w:pStyle w:val="Normal"/>
        <w:jc w:val="center"/>
        <w:rPr>
          <w:b/>
          <w:b/>
          <w:i/>
          <w:i/>
          <w:lang w:val="en-GB"/>
        </w:rPr>
      </w:pPr>
      <w:r>
        <w:rPr>
          <w:b/>
          <w:i/>
          <w:lang w:val="en-GB"/>
        </w:rPr>
        <w:t xml:space="preserve">Course Name: </w:t>
      </w:r>
      <w:r>
        <w:rPr>
          <w:b/>
          <w:i/>
          <w:lang w:val="en-GB"/>
        </w:rPr>
        <w:t>Learning in the digital era - BMPL4007</w:t>
      </w:r>
    </w:p>
    <w:p>
      <w:pPr>
        <w:pStyle w:val="Normal"/>
        <w:jc w:val="center"/>
        <w:rPr>
          <w:b/>
          <w:b/>
          <w:i/>
          <w:i/>
          <w:lang w:val="en-GB"/>
        </w:rPr>
      </w:pPr>
      <w:r>
        <w:rPr>
          <w:b/>
          <w:i/>
          <w:lang w:val="en-GB"/>
        </w:rPr>
        <w:t>Subject Name</w:t>
      </w:r>
      <w:r>
        <w:rPr>
          <w:b/>
          <w:i/>
          <w:lang w:val="en-GB"/>
        </w:rPr>
        <w:t>: Evidence of learning -  E-portofolio</w:t>
      </w:r>
      <w:r>
        <w:br w:type="page"/>
      </w:r>
    </w:p>
    <w:p>
      <w:pPr>
        <w:pStyle w:val="Normal"/>
        <w:jc w:val="center"/>
        <w:rPr>
          <w:b/>
          <w:b/>
          <w:lang w:val="en-GB"/>
        </w:rPr>
      </w:pPr>
      <w:r>
        <w:rPr>
          <w:b/>
          <w:lang w:val="en-GB"/>
        </w:rPr>
        <w:t xml:space="preserve">Executive summary </w:t>
      </w:r>
    </w:p>
    <w:p>
      <w:pPr>
        <w:pStyle w:val="Normal"/>
        <w:rPr>
          <w:lang w:val="en-GB"/>
        </w:rPr>
      </w:pPr>
      <w:r>
        <w:rPr>
          <w:lang w:val="en-GB"/>
        </w:rPr>
        <w:t>This report has been created as an overall summation of various aspects of learning and the process of learning based on personal experience in higher education. The development of the process of learning has integrated digital tools which have made it very easy for imparting knowledge in educational institutions. The learning organisations are looking forward to the digital revolution as students benefit a lot from the inclusion of digital technology into the learning process. I have provided a presentation which emulates the effectiveness of values, places and beliefs reflected upon different aspects of identity which have been provided in team working practices. Then I have also reflected on the experiences I had during my entry into university. Finally, a personal development plan has been created by me with the help of points from reflection.</w:t>
      </w:r>
      <w:bookmarkStart w:id="2" w:name="_qf3nkzep4k4k"/>
    </w:p>
    <w:sdt>
      <w:sdtPr>
        <w:docPartObj>
          <w:docPartGallery w:val="Table of Contents"/>
          <w:docPartUnique w:val="true"/>
        </w:docPartObj>
      </w:sdtPr>
      <w:sdtContent>
        <w:p>
          <w:pPr>
            <w:pStyle w:val="ContentsHeading"/>
            <w:spacing w:lineRule="auto" w:line="360"/>
            <w:jc w:val="center"/>
            <w:rPr>
              <w:rFonts w:ascii="Times New Roman" w:hAnsi="Times New Roman" w:cs="Times New Roman"/>
              <w:b/>
              <w:b/>
              <w:color w:val="auto"/>
              <w:sz w:val="24"/>
              <w:szCs w:val="24"/>
              <w:lang w:val="en-GB"/>
            </w:rPr>
          </w:pPr>
          <w:r>
            <w:br w:type="page"/>
          </w:r>
          <w:bookmarkEnd w:id="2"/>
          <w:r>
            <w:rPr>
              <w:rFonts w:cs="Times New Roman" w:ascii="Times New Roman" w:hAnsi="Times New Roman"/>
              <w:b/>
              <w:color w:val="auto"/>
              <w:sz w:val="24"/>
              <w:szCs w:val="24"/>
              <w:lang w:val="en-GB"/>
            </w:rPr>
            <w:t>Table of Contents</w:t>
          </w:r>
        </w:p>
        <w:p>
          <w:pPr>
            <w:pStyle w:val="Contents1"/>
            <w:tabs>
              <w:tab w:val="clear" w:pos="720"/>
              <w:tab w:val="right" w:pos="9019" w:leader="dot"/>
            </w:tabs>
            <w:rPr>
              <w:lang w:val="en-GB"/>
            </w:rPr>
          </w:pPr>
          <w:r>
            <w:fldChar w:fldCharType="begin"/>
          </w:r>
          <w:r>
            <w:rPr>
              <w:webHidden/>
              <w:rStyle w:val="IndexLink"/>
              <w:color w:val="auto"/>
              <w:lang w:val="en-GB"/>
            </w:rPr>
            <w:instrText xml:space="preserve"> TOC \z \o "1-3" \u \h</w:instrText>
          </w:r>
          <w:r>
            <w:rPr>
              <w:webHidden/>
              <w:rStyle w:val="IndexLink"/>
              <w:color w:val="auto"/>
              <w:lang w:val="en-GB"/>
            </w:rPr>
            <w:fldChar w:fldCharType="separate"/>
          </w:r>
          <w:hyperlink w:anchor="_Toc139385875">
            <w:r>
              <w:rPr>
                <w:webHidden/>
                <w:rStyle w:val="IndexLink"/>
                <w:color w:val="auto"/>
                <w:lang w:val="en-GB"/>
              </w:rPr>
              <w:t>1. Introduction</w:t>
            </w:r>
            <w:r>
              <w:rPr>
                <w:webHidden/>
              </w:rPr>
              <w:fldChar w:fldCharType="begin"/>
            </w:r>
            <w:r>
              <w:rPr>
                <w:webHidden/>
              </w:rPr>
              <w:instrText xml:space="preserve">PAGEREF _Toc139385875 \h</w:instrText>
            </w:r>
            <w:r>
              <w:rPr>
                <w:webHidden/>
              </w:rPr>
              <w:fldChar w:fldCharType="separate"/>
            </w:r>
            <w:r>
              <w:rPr>
                <w:rStyle w:val="IndexLink"/>
                <w:vanish w:val="false"/>
                <w:lang w:val="en-GB"/>
              </w:rPr>
              <w:tab/>
              <w:t>4</w:t>
            </w:r>
            <w:r>
              <w:rPr>
                <w:webHidden/>
              </w:rPr>
              <w:fldChar w:fldCharType="end"/>
            </w:r>
          </w:hyperlink>
        </w:p>
        <w:p>
          <w:pPr>
            <w:pStyle w:val="Contents1"/>
            <w:tabs>
              <w:tab w:val="clear" w:pos="720"/>
              <w:tab w:val="right" w:pos="9019" w:leader="dot"/>
            </w:tabs>
            <w:rPr>
              <w:lang w:val="en-GB"/>
            </w:rPr>
          </w:pPr>
          <w:hyperlink w:anchor="_Toc139385876">
            <w:r>
              <w:rPr>
                <w:webHidden/>
                <w:rStyle w:val="IndexLink"/>
                <w:color w:val="auto"/>
                <w:lang w:val="en-GB"/>
              </w:rPr>
              <w:t>2. Summary</w:t>
            </w:r>
            <w:r>
              <w:rPr>
                <w:webHidden/>
              </w:rPr>
              <w:fldChar w:fldCharType="begin"/>
            </w:r>
            <w:r>
              <w:rPr>
                <w:webHidden/>
              </w:rPr>
              <w:instrText xml:space="preserve">PAGEREF _Toc139385876 \h</w:instrText>
            </w:r>
            <w:r>
              <w:rPr>
                <w:webHidden/>
              </w:rPr>
              <w:fldChar w:fldCharType="separate"/>
            </w:r>
            <w:r>
              <w:rPr>
                <w:rStyle w:val="IndexLink"/>
                <w:vanish w:val="false"/>
                <w:lang w:val="en-GB"/>
              </w:rPr>
              <w:tab/>
              <w:t>4</w:t>
            </w:r>
            <w:r>
              <w:rPr>
                <w:webHidden/>
              </w:rPr>
              <w:fldChar w:fldCharType="end"/>
            </w:r>
          </w:hyperlink>
        </w:p>
        <w:p>
          <w:pPr>
            <w:pStyle w:val="Contents1"/>
            <w:tabs>
              <w:tab w:val="clear" w:pos="720"/>
              <w:tab w:val="right" w:pos="9019" w:leader="dot"/>
            </w:tabs>
            <w:rPr>
              <w:lang w:val="en-GB"/>
            </w:rPr>
          </w:pPr>
          <w:hyperlink w:anchor="_Toc139385877">
            <w:r>
              <w:rPr>
                <w:webHidden/>
                <w:rStyle w:val="IndexLink"/>
                <w:color w:val="auto"/>
                <w:lang w:val="en-GB"/>
              </w:rPr>
              <w:t>3. Mind Map</w:t>
            </w:r>
            <w:r>
              <w:rPr>
                <w:webHidden/>
              </w:rPr>
              <w:fldChar w:fldCharType="begin"/>
            </w:r>
            <w:r>
              <w:rPr>
                <w:webHidden/>
              </w:rPr>
              <w:instrText xml:space="preserve">PAGEREF _Toc139385877 \h</w:instrText>
            </w:r>
            <w:r>
              <w:rPr>
                <w:webHidden/>
              </w:rPr>
              <w:fldChar w:fldCharType="separate"/>
            </w:r>
            <w:r>
              <w:rPr>
                <w:rStyle w:val="IndexLink"/>
                <w:vanish w:val="false"/>
                <w:lang w:val="en-GB"/>
              </w:rPr>
              <w:tab/>
              <w:t>5</w:t>
            </w:r>
            <w:r>
              <w:rPr>
                <w:webHidden/>
              </w:rPr>
              <w:fldChar w:fldCharType="end"/>
            </w:r>
          </w:hyperlink>
        </w:p>
        <w:p>
          <w:pPr>
            <w:pStyle w:val="Contents1"/>
            <w:tabs>
              <w:tab w:val="clear" w:pos="720"/>
              <w:tab w:val="right" w:pos="9019" w:leader="dot"/>
            </w:tabs>
            <w:rPr>
              <w:lang w:val="en-GB"/>
            </w:rPr>
          </w:pPr>
          <w:hyperlink w:anchor="_Toc139385878">
            <w:r>
              <w:rPr>
                <w:webHidden/>
                <w:rStyle w:val="IndexLink"/>
                <w:color w:val="auto"/>
                <w:lang w:val="en-GB"/>
              </w:rPr>
              <w:t>4. Presentation</w:t>
            </w:r>
            <w:r>
              <w:rPr>
                <w:webHidden/>
              </w:rPr>
              <w:fldChar w:fldCharType="begin"/>
            </w:r>
            <w:r>
              <w:rPr>
                <w:webHidden/>
              </w:rPr>
              <w:instrText xml:space="preserve">PAGEREF _Toc139385878 \h</w:instrText>
            </w:r>
            <w:r>
              <w:rPr>
                <w:webHidden/>
              </w:rPr>
              <w:fldChar w:fldCharType="separate"/>
            </w:r>
            <w:r>
              <w:rPr>
                <w:rStyle w:val="IndexLink"/>
                <w:vanish w:val="false"/>
                <w:lang w:val="en-GB"/>
              </w:rPr>
              <w:tab/>
              <w:t>6</w:t>
            </w:r>
            <w:r>
              <w:rPr>
                <w:webHidden/>
              </w:rPr>
              <w:fldChar w:fldCharType="end"/>
            </w:r>
          </w:hyperlink>
        </w:p>
        <w:p>
          <w:pPr>
            <w:pStyle w:val="Contents1"/>
            <w:tabs>
              <w:tab w:val="clear" w:pos="720"/>
              <w:tab w:val="right" w:pos="9019" w:leader="dot"/>
            </w:tabs>
            <w:rPr>
              <w:lang w:val="en-GB"/>
            </w:rPr>
          </w:pPr>
          <w:hyperlink w:anchor="_Toc139385879">
            <w:r>
              <w:rPr>
                <w:webHidden/>
                <w:rStyle w:val="IndexLink"/>
                <w:color w:val="auto"/>
                <w:lang w:val="en-GB"/>
              </w:rPr>
              <w:t>5. Reflection</w:t>
            </w:r>
            <w:r>
              <w:rPr>
                <w:webHidden/>
              </w:rPr>
              <w:fldChar w:fldCharType="begin"/>
            </w:r>
            <w:r>
              <w:rPr>
                <w:webHidden/>
              </w:rPr>
              <w:instrText xml:space="preserve">PAGEREF _Toc139385879 \h</w:instrText>
            </w:r>
            <w:r>
              <w:rPr>
                <w:webHidden/>
              </w:rPr>
              <w:fldChar w:fldCharType="separate"/>
            </w:r>
            <w:r>
              <w:rPr>
                <w:rStyle w:val="IndexLink"/>
                <w:vanish w:val="false"/>
                <w:lang w:val="en-GB"/>
              </w:rPr>
              <w:tab/>
              <w:t>8</w:t>
            </w:r>
            <w:r>
              <w:rPr>
                <w:webHidden/>
              </w:rPr>
              <w:fldChar w:fldCharType="end"/>
            </w:r>
          </w:hyperlink>
        </w:p>
        <w:p>
          <w:pPr>
            <w:pStyle w:val="Contents1"/>
            <w:tabs>
              <w:tab w:val="clear" w:pos="720"/>
              <w:tab w:val="right" w:pos="9019" w:leader="dot"/>
            </w:tabs>
            <w:rPr>
              <w:lang w:val="en-GB"/>
            </w:rPr>
          </w:pPr>
          <w:hyperlink w:anchor="_Toc139385880">
            <w:r>
              <w:rPr>
                <w:webHidden/>
                <w:rStyle w:val="IndexLink"/>
                <w:color w:val="auto"/>
                <w:lang w:val="en-GB"/>
              </w:rPr>
              <w:t>6. Personal Development Plan</w:t>
            </w:r>
            <w:r>
              <w:rPr>
                <w:webHidden/>
              </w:rPr>
              <w:fldChar w:fldCharType="begin"/>
            </w:r>
            <w:r>
              <w:rPr>
                <w:webHidden/>
              </w:rPr>
              <w:instrText xml:space="preserve">PAGEREF _Toc139385880 \h</w:instrText>
            </w:r>
            <w:r>
              <w:rPr>
                <w:webHidden/>
              </w:rPr>
              <w:fldChar w:fldCharType="separate"/>
            </w:r>
            <w:r>
              <w:rPr>
                <w:rStyle w:val="IndexLink"/>
                <w:vanish w:val="false"/>
                <w:lang w:val="en-GB"/>
              </w:rPr>
              <w:tab/>
              <w:t>10</w:t>
            </w:r>
            <w:r>
              <w:rPr>
                <w:webHidden/>
              </w:rPr>
              <w:fldChar w:fldCharType="end"/>
            </w:r>
          </w:hyperlink>
        </w:p>
        <w:p>
          <w:pPr>
            <w:pStyle w:val="Contents1"/>
            <w:tabs>
              <w:tab w:val="clear" w:pos="720"/>
              <w:tab w:val="right" w:pos="9019" w:leader="dot"/>
            </w:tabs>
            <w:rPr>
              <w:lang w:val="en-GB"/>
            </w:rPr>
          </w:pPr>
          <w:hyperlink w:anchor="_Toc139385881">
            <w:r>
              <w:rPr>
                <w:webHidden/>
                <w:rStyle w:val="IndexLink"/>
                <w:color w:val="auto"/>
                <w:lang w:val="en-GB"/>
              </w:rPr>
              <w:t>7. Conclusion</w:t>
            </w:r>
            <w:r>
              <w:rPr>
                <w:webHidden/>
              </w:rPr>
              <w:fldChar w:fldCharType="begin"/>
            </w:r>
            <w:r>
              <w:rPr>
                <w:webHidden/>
              </w:rPr>
              <w:instrText xml:space="preserve">PAGEREF _Toc139385881 \h</w:instrText>
            </w:r>
            <w:r>
              <w:rPr>
                <w:webHidden/>
              </w:rPr>
              <w:fldChar w:fldCharType="separate"/>
            </w:r>
            <w:r>
              <w:rPr>
                <w:rStyle w:val="IndexLink"/>
                <w:vanish w:val="false"/>
                <w:lang w:val="en-GB"/>
              </w:rPr>
              <w:tab/>
              <w:t>13</w:t>
            </w:r>
            <w:r>
              <w:rPr>
                <w:webHidden/>
              </w:rPr>
              <w:fldChar w:fldCharType="end"/>
            </w:r>
          </w:hyperlink>
        </w:p>
        <w:p>
          <w:pPr>
            <w:pStyle w:val="Contents1"/>
            <w:tabs>
              <w:tab w:val="clear" w:pos="720"/>
              <w:tab w:val="right" w:pos="9019" w:leader="dot"/>
            </w:tabs>
            <w:rPr>
              <w:lang w:val="en-GB"/>
            </w:rPr>
          </w:pPr>
          <w:hyperlink w:anchor="_Toc139385882">
            <w:r>
              <w:rPr>
                <w:webHidden/>
                <w:rStyle w:val="IndexLink"/>
                <w:color w:val="auto"/>
                <w:lang w:val="en-GB"/>
              </w:rPr>
              <w:t>References</w:t>
            </w:r>
            <w:r>
              <w:rPr>
                <w:webHidden/>
              </w:rPr>
              <w:fldChar w:fldCharType="begin"/>
            </w:r>
            <w:r>
              <w:rPr>
                <w:webHidden/>
              </w:rPr>
              <w:instrText xml:space="preserve">PAGEREF _Toc139385882 \h</w:instrText>
            </w:r>
            <w:r>
              <w:rPr>
                <w:webHidden/>
              </w:rPr>
              <w:fldChar w:fldCharType="separate"/>
            </w:r>
            <w:r>
              <w:rPr>
                <w:rStyle w:val="IndexLink"/>
                <w:vanish w:val="false"/>
                <w:lang w:val="en-GB"/>
              </w:rPr>
              <w:tab/>
              <w:t>14</w:t>
            </w:r>
            <w:r>
              <w:rPr>
                <w:webHidden/>
              </w:rPr>
              <w:fldChar w:fldCharType="end"/>
            </w:r>
          </w:hyperlink>
        </w:p>
        <w:p>
          <w:pPr>
            <w:pStyle w:val="Normal"/>
            <w:rPr>
              <w:lang w:val="en-GB"/>
            </w:rPr>
          </w:pPr>
          <w:r>
            <w:rPr>
              <w:lang w:val="en-GB"/>
            </w:rPr>
          </w:r>
          <w:r>
            <w:rPr>
              <w:lang w:val="en-GB"/>
            </w:rPr>
            <w:fldChar w:fldCharType="end"/>
          </w:r>
        </w:p>
      </w:sdtContent>
    </w:sdt>
    <w:p>
      <w:pPr>
        <w:pStyle w:val="Normal"/>
        <w:rPr>
          <w:b/>
          <w:b/>
          <w:lang w:val="en-GB"/>
        </w:rPr>
      </w:pPr>
      <w:r>
        <w:rPr>
          <w:b/>
          <w:lang w:val="en-GB"/>
        </w:rPr>
      </w:r>
      <w:r>
        <w:br w:type="page"/>
      </w:r>
    </w:p>
    <w:p>
      <w:pPr>
        <w:pStyle w:val="Heading1"/>
        <w:rPr>
          <w:lang w:val="en-GB"/>
        </w:rPr>
      </w:pPr>
      <w:bookmarkStart w:id="3" w:name="_Toc139385875"/>
      <w:r>
        <w:rPr>
          <w:lang w:val="en-GB"/>
        </w:rPr>
        <w:t>1. Introduction</w:t>
      </w:r>
      <w:bookmarkEnd w:id="3"/>
    </w:p>
    <w:p>
      <w:pPr>
        <w:pStyle w:val="Normal"/>
        <w:rPr>
          <w:lang w:val="en-GB"/>
        </w:rPr>
      </w:pPr>
      <w:r>
        <w:rPr>
          <w:lang w:val="en-GB"/>
        </w:rPr>
        <w:t>According to Davronovich and Mansurjonovich (2023, p. 149), the process of learning has been changing with the development of society. The implementation of different tools and their customisation to use for learning purposes has always been under constant development. With the development of digital tools the education process has also evolved to include digital tools which help in easily imparting the knowledge from teachers to learners. Digital tools like</w:t>
      </w:r>
      <w:r>
        <w:rPr>
          <w:i/>
          <w:lang w:val="en-GB"/>
        </w:rPr>
        <w:t xml:space="preserve"> lecture videos, and online classes</w:t>
      </w:r>
      <w:r>
        <w:rPr>
          <w:lang w:val="en-GB"/>
        </w:rPr>
        <w:t xml:space="preserve"> have enhanced the quality of teaching as well as the reach of learners to different courses with the help of digital classes. Teachers have become capable of teaching a diverse range of learners from different backgrounds as society is becoming a mixture of different ethnic groups coming together. This report would aim to discuss the various aspects of digital learning and also encapsulate the experience of digital learning.</w:t>
      </w:r>
    </w:p>
    <w:p>
      <w:pPr>
        <w:pStyle w:val="Heading1"/>
        <w:rPr>
          <w:lang w:val="en-GB"/>
        </w:rPr>
      </w:pPr>
      <w:bookmarkStart w:id="4" w:name="_Toc139385876"/>
      <w:bookmarkStart w:id="5" w:name="_g40fj2kdcyvj"/>
      <w:bookmarkEnd w:id="5"/>
      <w:r>
        <w:rPr>
          <w:lang w:val="en-GB"/>
        </w:rPr>
        <w:t>2. Summary</w:t>
      </w:r>
      <w:bookmarkEnd w:id="4"/>
    </w:p>
    <w:p>
      <w:pPr>
        <w:pStyle w:val="Normal"/>
        <w:jc w:val="center"/>
        <w:rPr>
          <w:lang w:val="en-GB"/>
        </w:rPr>
      </w:pPr>
      <w:r>
        <w:rPr/>
        <w:drawing>
          <wp:inline distT="0" distB="0" distL="0" distR="0">
            <wp:extent cx="4829175" cy="295275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rcRect l="7359" t="0" r="1609" b="0"/>
                    <a:stretch>
                      <a:fillRect/>
                    </a:stretch>
                  </pic:blipFill>
                  <pic:spPr bwMode="auto">
                    <a:xfrm>
                      <a:off x="0" y="0"/>
                      <a:ext cx="4829175" cy="2952750"/>
                    </a:xfrm>
                    <a:prstGeom prst="rect">
                      <a:avLst/>
                    </a:prstGeom>
                    <a:ln w="38100">
                      <a:solidFill>
                        <a:srgbClr val="FFFF00"/>
                      </a:solidFill>
                    </a:ln>
                  </pic:spPr>
                </pic:pic>
              </a:graphicData>
            </a:graphic>
          </wp:inline>
        </w:drawing>
      </w:r>
    </w:p>
    <w:p>
      <w:pPr>
        <w:pStyle w:val="Normal"/>
        <w:jc w:val="center"/>
        <w:rPr>
          <w:b/>
          <w:b/>
          <w:lang w:val="en-GB"/>
        </w:rPr>
      </w:pPr>
      <w:r>
        <w:rPr>
          <w:b/>
          <w:lang w:val="en-GB"/>
        </w:rPr>
        <w:t>Figure 1: Preparing for Higher Education</w:t>
      </w:r>
    </w:p>
    <w:p>
      <w:pPr>
        <w:pStyle w:val="Normal"/>
        <w:jc w:val="center"/>
        <w:rPr>
          <w:lang w:val="en-GB"/>
        </w:rPr>
      </w:pPr>
      <w:r>
        <w:rPr>
          <w:lang w:val="en-GB"/>
        </w:rPr>
        <w:t>(Source: Developed by the learner)</w:t>
      </w:r>
    </w:p>
    <w:p>
      <w:pPr>
        <w:pStyle w:val="Normal"/>
        <w:rPr>
          <w:lang w:val="en-GB"/>
        </w:rPr>
      </w:pPr>
      <w:r>
        <w:rPr>
          <w:lang w:val="en-GB"/>
        </w:rPr>
        <w:t xml:space="preserve">Education has been the pillar of modern society and the modern education system has become a necessity which provides a chance for every individual to acquire knowledge and skills (timeshighereducation.com, 2018). These skills or knowledge are the keys to the success of individuals in their respective fields. The education system in the UK has higher education at the third level which provides undergraduate and postgraduate education. Learners can choose their specialisation subjects and then enrol in a third-level university or college. This system has a lot of flexibility for providing learners ample opportunity to choose from so many different courses the course they want to pursue. There are many factors including the personal capacity and preparation of the learner which help determine their performance in their higher education. The learning institutions have their </w:t>
      </w:r>
      <w:r>
        <w:rPr>
          <w:i/>
          <w:lang w:val="en-GB"/>
        </w:rPr>
        <w:t>learning system</w:t>
      </w:r>
      <w:r>
        <w:rPr>
          <w:lang w:val="en-GB"/>
        </w:rPr>
        <w:t xml:space="preserve">, </w:t>
      </w:r>
      <w:r>
        <w:rPr>
          <w:i/>
          <w:lang w:val="en-GB"/>
        </w:rPr>
        <w:t>environment and facilities</w:t>
      </w:r>
      <w:r>
        <w:rPr>
          <w:lang w:val="en-GB"/>
        </w:rPr>
        <w:t xml:space="preserve"> which follow the courses suggested in the education policy of the government (Barrett </w:t>
      </w:r>
      <w:r>
        <w:rPr>
          <w:i/>
          <w:lang w:val="en-GB"/>
        </w:rPr>
        <w:t xml:space="preserve">et al., </w:t>
      </w:r>
      <w:r>
        <w:rPr>
          <w:lang w:val="en-GB"/>
        </w:rPr>
        <w:t xml:space="preserve">2019). These colleges or universities. These facilities are used by the learners to assist their learning and the teachers also use these facilities to teach the learners about different things. There is a certain level of preparation which is required while preparing for higher education. The basic steps which can be detrimental to the process of preparation are preparing academically, acquiring the right habits, exploring potential interests and selecting the university or college which would be appropriate for pursuing the course which has been chosen by the learner. The teachers and the mentors would help develop </w:t>
      </w:r>
      <w:r>
        <w:rPr>
          <w:i/>
          <w:lang w:val="en-GB"/>
        </w:rPr>
        <w:t>academically and personally</w:t>
      </w:r>
      <w:r>
        <w:rPr>
          <w:lang w:val="en-GB"/>
        </w:rPr>
        <w:t xml:space="preserve">, however, a self-learning experience is a very significant factor which influences the higher education of a learner greatly (Martin and Collie, 2019, p. 861). The ability to comprehend different subjects would not be the right detrimental factor in helping decide the potential interest of a person. The interest of a person can be understood as they try to have an in-depth understanding of the opportunities associated with the interest (Schoon and Heckhausen, 2019, p. 137). The type of occupation which would excite the learner would keep them motivated towards learning and the excitement of learning would always remain. </w:t>
      </w:r>
    </w:p>
    <w:p>
      <w:pPr>
        <w:pStyle w:val="Heading1"/>
        <w:rPr>
          <w:lang w:val="en-GB"/>
        </w:rPr>
      </w:pPr>
      <w:bookmarkStart w:id="6" w:name="_Toc139385877"/>
      <w:bookmarkStart w:id="7" w:name="_6mqr3tkdq7mf"/>
      <w:bookmarkEnd w:id="7"/>
      <w:r>
        <w:rPr>
          <w:lang w:val="en-GB"/>
        </w:rPr>
        <w:t>3. Mind Map</w:t>
      </w:r>
      <w:bookmarkEnd w:id="6"/>
    </w:p>
    <w:p>
      <w:pPr>
        <w:pStyle w:val="Normal"/>
        <w:jc w:val="center"/>
        <w:rPr>
          <w:lang w:val="en-GB"/>
        </w:rPr>
      </w:pPr>
      <w:r>
        <w:rPr/>
        <w:drawing>
          <wp:inline distT="0" distB="0" distL="0" distR="0">
            <wp:extent cx="4651375" cy="3807460"/>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3"/>
                    <a:stretch>
                      <a:fillRect/>
                    </a:stretch>
                  </pic:blipFill>
                  <pic:spPr bwMode="auto">
                    <a:xfrm>
                      <a:off x="0" y="0"/>
                      <a:ext cx="4651375" cy="3807460"/>
                    </a:xfrm>
                    <a:prstGeom prst="rect">
                      <a:avLst/>
                    </a:prstGeom>
                    <a:ln w="38100">
                      <a:solidFill>
                        <a:srgbClr val="775E59"/>
                      </a:solidFill>
                    </a:ln>
                  </pic:spPr>
                </pic:pic>
              </a:graphicData>
            </a:graphic>
          </wp:inline>
        </w:drawing>
      </w:r>
    </w:p>
    <w:p>
      <w:pPr>
        <w:pStyle w:val="Normal"/>
        <w:jc w:val="center"/>
        <w:rPr>
          <w:b/>
          <w:b/>
          <w:lang w:val="en-GB"/>
        </w:rPr>
      </w:pPr>
      <w:r>
        <w:rPr>
          <w:b/>
          <w:lang w:val="en-GB"/>
        </w:rPr>
        <w:t>Figure 2: Mind Map of Digital Learning</w:t>
      </w:r>
    </w:p>
    <w:p>
      <w:pPr>
        <w:pStyle w:val="Normal"/>
        <w:jc w:val="center"/>
        <w:rPr>
          <w:lang w:val="en-GB"/>
        </w:rPr>
      </w:pPr>
      <w:r>
        <w:rPr>
          <w:lang w:val="en-GB"/>
        </w:rPr>
        <w:t>(Source: Developed by the learner)</w:t>
      </w:r>
    </w:p>
    <w:p>
      <w:pPr>
        <w:pStyle w:val="Normal"/>
        <w:rPr>
          <w:lang w:val="en-GB"/>
        </w:rPr>
      </w:pPr>
      <w:r>
        <w:rPr>
          <w:lang w:val="en-GB"/>
        </w:rPr>
        <w:t>As per the view of Halili (2019, p. 65), digital learning has become integrated into the system of learning and the learning process has become severally easy with the help of this digital revolution. The implementation of digital tools to overcome learning impediments has given a chance to more individual learners to have an equal chance with others to have the same learning opportunities. The teachers have also become enabled with digital tools which has increased their effective way of imparting knowledge to a classroom full of students. Earlier it was not very independent for the teachers to provide equal attention to the specific needs of the learners, however, with the integration of digital technology in the classroom, there are different types of lectures which are used by the teachers to impart knowledge with digital illustrations of the topics being learned. Digital tools like</w:t>
      </w:r>
      <w:r>
        <w:rPr>
          <w:i/>
          <w:lang w:val="en-GB"/>
        </w:rPr>
        <w:t xml:space="preserve"> e-books</w:t>
      </w:r>
      <w:r>
        <w:rPr>
          <w:lang w:val="en-GB"/>
        </w:rPr>
        <w:t xml:space="preserve"> and </w:t>
      </w:r>
      <w:r>
        <w:rPr>
          <w:i/>
          <w:lang w:val="en-GB"/>
        </w:rPr>
        <w:t>PDFs</w:t>
      </w:r>
      <w:r>
        <w:rPr>
          <w:lang w:val="en-GB"/>
        </w:rPr>
        <w:t xml:space="preserve"> have become critical tools for self-learning (Leshchenko </w:t>
      </w:r>
      <w:r>
        <w:rPr>
          <w:i/>
          <w:lang w:val="en-GB"/>
        </w:rPr>
        <w:t>et al.</w:t>
      </w:r>
      <w:r>
        <w:rPr>
          <w:lang w:val="en-GB"/>
        </w:rPr>
        <w:t>, 2021, p. 149). There is an ease of flow of information with which learners can connect themselves and use the extensive digital library to scourge about the topics they would want to learn. These ideas are increasingly becoming popular and there is a requirement for all individual learners to develop a certain level of expertise in using digital tools. The learners can connect and form a network among themselves, this network would make the passing of information highly efficient (Farrell and Brunton, 2020, p. 2). The courses in higher education are being prepared with digital tools at the centre. The application of digital tools has been increasing and learners are being encouraged to associate themselves with these digital tools so they can effectively increase their scope and efficiency in learning.</w:t>
      </w:r>
    </w:p>
    <w:p>
      <w:pPr>
        <w:pStyle w:val="Heading1"/>
        <w:rPr>
          <w:lang w:val="en-GB"/>
        </w:rPr>
      </w:pPr>
      <w:bookmarkStart w:id="8" w:name="_Toc139385878"/>
      <w:bookmarkStart w:id="9" w:name="_zh4nverrq2wf"/>
      <w:bookmarkEnd w:id="9"/>
      <w:r>
        <w:rPr>
          <w:lang w:val="en-GB"/>
        </w:rPr>
        <w:t>4. Presentation</w:t>
      </w:r>
      <w:bookmarkEnd w:id="8"/>
    </w:p>
    <w:p>
      <w:pPr>
        <w:pStyle w:val="Normal"/>
        <w:rPr>
          <w:b/>
          <w:b/>
          <w:i/>
          <w:i/>
          <w:lang w:val="en-GB"/>
        </w:rPr>
      </w:pPr>
      <w:r>
        <w:rPr>
          <w:b/>
          <w:i/>
          <w:lang w:val="en-GB"/>
        </w:rPr>
        <w:t>4.1. Introduction</w:t>
      </w:r>
    </w:p>
    <w:p>
      <w:pPr>
        <w:pStyle w:val="Normal"/>
        <w:rPr>
          <w:lang w:val="en-GB"/>
        </w:rPr>
      </w:pPr>
      <w:r>
        <w:rPr>
          <w:lang w:val="en-GB"/>
        </w:rPr>
        <w:t xml:space="preserve">As provided by Verhoeven </w:t>
      </w:r>
      <w:r>
        <w:rPr>
          <w:i/>
          <w:lang w:val="en-GB"/>
        </w:rPr>
        <w:t>et al</w:t>
      </w:r>
      <w:r>
        <w:rPr>
          <w:lang w:val="en-GB"/>
        </w:rPr>
        <w:t>., (2019, p. 35), the identity of a person is unique and an amalgam of different ideas and thought processes. The personal identity of an individual is greatly influenced by the culture and environment of a place. These give rise to values and beliefs which a person can have and would play a role in further shaping the identity of the person and also helping them understand their role in a specific position in team tasks.</w:t>
      </w:r>
    </w:p>
    <w:p>
      <w:pPr>
        <w:pStyle w:val="Normal"/>
        <w:rPr>
          <w:b/>
          <w:b/>
          <w:i/>
          <w:i/>
          <w:lang w:val="en-GB"/>
        </w:rPr>
      </w:pPr>
      <w:r>
        <w:rPr>
          <w:b/>
          <w:i/>
          <w:lang w:val="en-GB"/>
        </w:rPr>
        <w:t>4.2. My Identity</w:t>
      </w:r>
    </w:p>
    <w:p>
      <w:pPr>
        <w:pStyle w:val="Normal"/>
        <w:rPr>
          <w:lang w:val="en-GB"/>
        </w:rPr>
      </w:pPr>
      <w:r>
        <w:rPr>
          <w:lang w:val="en-GB"/>
        </w:rPr>
        <w:t xml:space="preserve">The personal identity of an individual is the idea of self which is considered by them as well as accepted by others. The identification of a person by others is done with the help of indications like name, place, culture and others (Soltani </w:t>
      </w:r>
      <w:r>
        <w:rPr>
          <w:i/>
          <w:lang w:val="en-GB"/>
        </w:rPr>
        <w:t>et al.</w:t>
      </w:r>
      <w:r>
        <w:rPr>
          <w:lang w:val="en-GB"/>
        </w:rPr>
        <w:t>, 2021, p. 2). However, shaping the identity of a person is also influenced by their sense of values, beliefs and their sense of place.</w:t>
      </w:r>
    </w:p>
    <w:p>
      <w:pPr>
        <w:pStyle w:val="Normal"/>
        <w:rPr>
          <w:b/>
          <w:b/>
          <w:i/>
          <w:i/>
          <w:lang w:val="en-GB"/>
        </w:rPr>
      </w:pPr>
      <w:r>
        <w:rPr>
          <w:b/>
          <w:i/>
          <w:lang w:val="en-GB"/>
        </w:rPr>
        <w:t>4.2.1. Role of Sense of Values in Shaping the Identity</w:t>
      </w:r>
    </w:p>
    <w:p>
      <w:pPr>
        <w:pStyle w:val="Normal"/>
        <w:rPr>
          <w:lang w:val="en-GB"/>
        </w:rPr>
      </w:pPr>
      <w:r>
        <w:rPr>
          <w:lang w:val="en-GB"/>
        </w:rPr>
        <w:t>The sense of values of a person is the idea which is held by them and acts as a guide to their action in a broader perspective. People identify an action based on their capabilities as well as their sense of values which also helps them discern themselves from others.</w:t>
      </w:r>
    </w:p>
    <w:p>
      <w:pPr>
        <w:pStyle w:val="Normal"/>
        <w:rPr>
          <w:lang w:val="en-GB"/>
        </w:rPr>
      </w:pPr>
      <w:r>
        <w:rPr>
          <w:lang w:val="en-GB"/>
        </w:rPr>
        <w:t>I have a strong sense of values which has influenced me to believe in cultural ethics and the supremacy of hard work. This has been an indicator to me that I have to develop myself as a ‘</w:t>
      </w:r>
      <w:r>
        <w:rPr>
          <w:i/>
          <w:lang w:val="en-GB"/>
        </w:rPr>
        <w:t>hard-working person’</w:t>
      </w:r>
      <w:r>
        <w:rPr>
          <w:lang w:val="en-GB"/>
        </w:rPr>
        <w:t>.</w:t>
      </w:r>
    </w:p>
    <w:p>
      <w:pPr>
        <w:pStyle w:val="Normal"/>
        <w:rPr>
          <w:b/>
          <w:b/>
          <w:i/>
          <w:i/>
          <w:lang w:val="en-GB"/>
        </w:rPr>
      </w:pPr>
      <w:r>
        <w:rPr>
          <w:b/>
          <w:i/>
          <w:lang w:val="en-GB"/>
        </w:rPr>
        <w:t>4.2.2. Sense of Belief in Shaping the Identity</w:t>
      </w:r>
    </w:p>
    <w:p>
      <w:pPr>
        <w:pStyle w:val="Normal"/>
        <w:rPr>
          <w:lang w:val="en-GB"/>
        </w:rPr>
      </w:pPr>
      <w:r>
        <w:rPr>
          <w:lang w:val="en-GB"/>
        </w:rPr>
        <w:t xml:space="preserve">The beliefs of a person are the basis of their values and are originated from their interaction with the elements and others’ beliefs. A person would do everything in their capacity for what they believe all the time (Van der Linden </w:t>
      </w:r>
      <w:r>
        <w:rPr>
          <w:i/>
          <w:lang w:val="en-GB"/>
        </w:rPr>
        <w:t>et al.</w:t>
      </w:r>
      <w:r>
        <w:rPr>
          <w:lang w:val="en-GB"/>
        </w:rPr>
        <w:t xml:space="preserve">, 2019, p. 50). </w:t>
      </w:r>
    </w:p>
    <w:p>
      <w:pPr>
        <w:pStyle w:val="Normal"/>
        <w:rPr>
          <w:lang w:val="en-GB"/>
        </w:rPr>
      </w:pPr>
      <w:r>
        <w:rPr>
          <w:lang w:val="en-GB"/>
        </w:rPr>
        <w:t>I have kept a strong belief that there is a reaction to every action. This has helped me put myself as a person following righteous actions and taking decisions in this sense.</w:t>
      </w:r>
    </w:p>
    <w:p>
      <w:pPr>
        <w:pStyle w:val="Normal"/>
        <w:rPr>
          <w:b/>
          <w:b/>
          <w:i/>
          <w:i/>
          <w:lang w:val="en-GB"/>
        </w:rPr>
      </w:pPr>
      <w:r>
        <w:rPr>
          <w:b/>
          <w:i/>
          <w:lang w:val="en-GB"/>
        </w:rPr>
        <w:t>4.2.3. Sense of Place in Shaping the Identity</w:t>
      </w:r>
    </w:p>
    <w:p>
      <w:pPr>
        <w:pStyle w:val="Normal"/>
        <w:rPr>
          <w:lang w:val="en-GB"/>
        </w:rPr>
      </w:pPr>
      <w:r>
        <w:rPr>
          <w:lang w:val="en-GB"/>
        </w:rPr>
        <w:t>The sense of place is the sense of belonging that every person has. The sense of belonging is the origin of the belief which is followed by a person and consequently their values (Park, 2019). The sense of belonging can also be called a cultural sense which forms the basis of identity for a person both externally and internally.</w:t>
      </w:r>
    </w:p>
    <w:p>
      <w:pPr>
        <w:pStyle w:val="Normal"/>
        <w:rPr>
          <w:lang w:val="en-GB"/>
        </w:rPr>
      </w:pPr>
      <w:r>
        <w:rPr>
          <w:lang w:val="en-GB"/>
        </w:rPr>
        <w:t>I belong to the United Kingdom and hence identify myself as a citizen of this country. I have equal opportunities with all the countrymen which forms the basis of my identity.</w:t>
      </w:r>
    </w:p>
    <w:p>
      <w:pPr>
        <w:pStyle w:val="Normal"/>
        <w:rPr>
          <w:b/>
          <w:b/>
          <w:i/>
          <w:i/>
          <w:lang w:val="en-GB"/>
        </w:rPr>
      </w:pPr>
      <w:r>
        <w:rPr>
          <w:b/>
          <w:i/>
          <w:lang w:val="en-GB"/>
        </w:rPr>
        <w:t>4.2.4. Involvement of values, beliefs and place in developing myself as a team player</w:t>
      </w:r>
    </w:p>
    <w:p>
      <w:pPr>
        <w:pStyle w:val="Normal"/>
        <w:rPr>
          <w:lang w:val="en-GB"/>
        </w:rPr>
      </w:pPr>
      <w:r>
        <w:rPr>
          <w:lang w:val="en-GB"/>
        </w:rPr>
        <w:t>These ideas have been the basis of my identity and I would try to take responsibility in the situation which requires my attendance. This would help me understand the specificity of my tasks in a team. This would improve my participation in the team as well as create opportunities for me to contribute to the team as per my capabilities and potential. I would present myself as a capable and responsible team member as my values push me to hard work and my sense of beliefs would support this as I progress through the work. My identity as a learner would help me investigate the required skills which would additionally create an awareness of self in this role.</w:t>
      </w:r>
    </w:p>
    <w:p>
      <w:pPr>
        <w:pStyle w:val="Normal"/>
        <w:rPr>
          <w:b/>
          <w:b/>
          <w:i/>
          <w:i/>
          <w:lang w:val="en-GB"/>
        </w:rPr>
      </w:pPr>
      <w:r>
        <w:rPr>
          <w:b/>
          <w:i/>
          <w:lang w:val="en-GB"/>
        </w:rPr>
        <w:t>4.3. Conclusion</w:t>
      </w:r>
    </w:p>
    <w:p>
      <w:pPr>
        <w:pStyle w:val="Normal"/>
        <w:rPr>
          <w:lang w:val="en-GB"/>
        </w:rPr>
      </w:pPr>
      <w:r>
        <w:rPr>
          <w:lang w:val="en-GB"/>
        </w:rPr>
        <w:t>My identity is a collection of different ideas which I have accumulated until now as well as the ideas which reflect my aspirations and potential for the future. I have been a hard-working citizen of the UK which should also be maintained by me in the future with my actions. This would be the key to my becoming a core member of a team who understands his responsibilities and helps others to achieve the same.</w:t>
      </w:r>
    </w:p>
    <w:p>
      <w:pPr>
        <w:pStyle w:val="Heading1"/>
        <w:rPr>
          <w:lang w:val="en-GB"/>
        </w:rPr>
      </w:pPr>
      <w:bookmarkStart w:id="10" w:name="_Toc139385879"/>
      <w:bookmarkStart w:id="11" w:name="_o7z1xelqtwt0"/>
      <w:bookmarkEnd w:id="11"/>
      <w:r>
        <w:rPr>
          <w:lang w:val="en-GB"/>
        </w:rPr>
        <w:t>5. Reflection</w:t>
      </w:r>
      <w:bookmarkEnd w:id="10"/>
    </w:p>
    <w:p>
      <w:pPr>
        <w:pStyle w:val="Normal"/>
        <w:rPr>
          <w:lang w:val="en-GB"/>
        </w:rPr>
      </w:pPr>
      <w:r>
        <w:rPr>
          <w:lang w:val="en-GB"/>
        </w:rPr>
        <w:t xml:space="preserve">Reflecting on personal experience is also identified as a way of learning and improving in career or personal life. Experiences are a great way to learn and they provide an assessment of different skills and requirements which could be developed by self-practice. I would reflect on my experience during my first experience at the university from entry to getting my first assignment. I would use </w:t>
      </w:r>
      <w:r>
        <w:rPr>
          <w:i/>
          <w:lang w:val="en-GB"/>
        </w:rPr>
        <w:t>Gibbs’ Reflective Cycle</w:t>
      </w:r>
      <w:r>
        <w:rPr>
          <w:lang w:val="en-GB"/>
        </w:rPr>
        <w:t xml:space="preserve"> for this purpose as it would enhance the process of reflection with a proper assessment of the experience and what it means for me. Finally, this reflection model would help me understand my shortcomings or areas which require further improvement to enrich my future experiences of similar specifications.</w:t>
      </w:r>
    </w:p>
    <w:p>
      <w:pPr>
        <w:pStyle w:val="Normal"/>
        <w:rPr>
          <w:b/>
          <w:b/>
          <w:i/>
          <w:i/>
          <w:lang w:val="en-GB"/>
        </w:rPr>
      </w:pPr>
      <w:r>
        <w:rPr>
          <w:b/>
          <w:i/>
          <w:lang w:val="en-GB"/>
        </w:rPr>
        <w:t>5.1. Description</w:t>
      </w:r>
    </w:p>
    <w:p>
      <w:pPr>
        <w:pStyle w:val="Normal"/>
        <w:rPr>
          <w:lang w:val="en-GB"/>
        </w:rPr>
      </w:pPr>
      <w:r>
        <w:rPr>
          <w:lang w:val="en-GB"/>
        </w:rPr>
        <w:t xml:space="preserve">As per Hossain </w:t>
      </w:r>
      <w:r>
        <w:rPr>
          <w:i/>
          <w:lang w:val="en-GB"/>
        </w:rPr>
        <w:t>et al.</w:t>
      </w:r>
      <w:r>
        <w:rPr>
          <w:lang w:val="en-GB"/>
        </w:rPr>
        <w:t>,</w:t>
      </w:r>
      <w:r>
        <w:rPr>
          <w:i/>
          <w:lang w:val="en-GB"/>
        </w:rPr>
        <w:t xml:space="preserve"> </w:t>
      </w:r>
      <w:r>
        <w:rPr>
          <w:lang w:val="en-GB"/>
        </w:rPr>
        <w:t xml:space="preserve">(2022, p. 708), the vast course of university education is formed based on formative education in the previous years. A person wanting to develop their skills as per the requirement in the professional fields has to go through university studies which have a large extent. I entered university to learn as well as form connections with teachers, mentors and peers which would help me in my university career and also later in my life. The integration of university students with digital and online resources has solved the issue of the availability of resources. I received my online resources as soon as I started learning in the course. The specific sections of the course were provided with access by the teachers as they taught in the class. The end of every learning period would be followed by assignments which would be allocated to the learners to test the concepts learned them and their ability to apply the knowledge. </w:t>
      </w:r>
    </w:p>
    <w:p>
      <w:pPr>
        <w:pStyle w:val="Normal"/>
        <w:rPr>
          <w:b/>
          <w:b/>
          <w:i/>
          <w:i/>
          <w:lang w:val="en-GB"/>
        </w:rPr>
      </w:pPr>
      <w:r>
        <w:rPr>
          <w:b/>
          <w:i/>
          <w:lang w:val="en-GB"/>
        </w:rPr>
        <w:t>5.2. Feelings</w:t>
      </w:r>
    </w:p>
    <w:p>
      <w:pPr>
        <w:pStyle w:val="Normal"/>
        <w:rPr>
          <w:lang w:val="en-GB"/>
        </w:rPr>
      </w:pPr>
      <w:r>
        <w:rPr>
          <w:lang w:val="en-GB"/>
        </w:rPr>
        <w:t>The process of learning has been a challenging process which I enjoyed very much. My admission into the university course had been very important to me as I had always wanted to be a part of a prestigious institution. The prospect of learning with new people was a new as well as exciting experience for me. This was the case as I became a part of the classroom. There I noticed the different people and their skills which had been an opportunity for me to develop my understanding of social culture. The teachers had been very kind to me and they always supported me in my learning endeavour. However, I had faced issues with communicating property with my peers which was solved slowly. I also got a chance to evaluate my learning and showcase my skills while preparing assignments at the end of the learning period. This experience was new and helped me adopt a broader perspective.</w:t>
      </w:r>
    </w:p>
    <w:p>
      <w:pPr>
        <w:pStyle w:val="Normal"/>
        <w:rPr>
          <w:b/>
          <w:b/>
          <w:i/>
          <w:i/>
          <w:lang w:val="en-GB"/>
        </w:rPr>
      </w:pPr>
      <w:r>
        <w:rPr>
          <w:b/>
          <w:i/>
          <w:lang w:val="en-GB"/>
        </w:rPr>
        <w:t>5.3. Evaluation</w:t>
      </w:r>
    </w:p>
    <w:p>
      <w:pPr>
        <w:pStyle w:val="Normal"/>
        <w:rPr>
          <w:lang w:val="en-GB"/>
        </w:rPr>
      </w:pPr>
      <w:r>
        <w:rPr>
          <w:lang w:val="en-GB"/>
        </w:rPr>
        <w:t xml:space="preserve">As suggested by Sergeeva </w:t>
      </w:r>
      <w:r>
        <w:rPr>
          <w:i/>
          <w:lang w:val="en-GB"/>
        </w:rPr>
        <w:t>et al.</w:t>
      </w:r>
      <w:r>
        <w:rPr>
          <w:lang w:val="en-GB"/>
        </w:rPr>
        <w:t>, (2019, p. 5), entering university is a very significant stage for a learner as they try to move towards their goal. The process of building a career and acquiring skills which would be helpful in later stages are developed at the university. I encountered many people who held different perspectives than my own. This had been an exciting and good opportunity for me to better understand people and create an interaction with them. I had been successful in creating proper relationships which later helped me in my assignments when I got it the first time. There had been challenges on this path as well. The major challenge which I faced and that created difficulty in the learning process was my inability to communicate with a large group of people. This inhibited me from sharing my perspective on different issues or topics.</w:t>
      </w:r>
    </w:p>
    <w:p>
      <w:pPr>
        <w:pStyle w:val="Normal"/>
        <w:rPr>
          <w:b/>
          <w:b/>
          <w:i/>
          <w:i/>
          <w:lang w:val="en-GB"/>
        </w:rPr>
      </w:pPr>
      <w:r>
        <w:rPr>
          <w:b/>
          <w:i/>
          <w:lang w:val="en-GB"/>
        </w:rPr>
        <w:t>5.4. Analysis</w:t>
      </w:r>
    </w:p>
    <w:p>
      <w:pPr>
        <w:pStyle w:val="Normal"/>
        <w:rPr>
          <w:lang w:val="en-GB"/>
        </w:rPr>
      </w:pPr>
      <w:r>
        <w:rPr>
          <w:lang w:val="en-GB"/>
        </w:rPr>
        <w:t>The overall experience while I entered the university can be described as good. The various opportunities which were encountered by me had helped me develop my professional career. The development of my skills which would be used in my later career have been greatly assisted in my operation as a university student. A university provides a chance for individual learners to improve themselves for their future careers (Sun, 2019, p. 1019). The network developed in university life helps determine the prospects which would be embarked upon by the organisations. I have developed skills like time management and communication and acquired an understanding of personal goals with the help of this experience.</w:t>
      </w:r>
    </w:p>
    <w:p>
      <w:pPr>
        <w:pStyle w:val="Normal"/>
        <w:rPr>
          <w:b/>
          <w:b/>
          <w:i/>
          <w:i/>
          <w:lang w:val="en-GB"/>
        </w:rPr>
      </w:pPr>
      <w:r>
        <w:rPr>
          <w:b/>
          <w:i/>
          <w:lang w:val="en-GB"/>
        </w:rPr>
        <w:t>5.5. Conclusion</w:t>
      </w:r>
    </w:p>
    <w:p>
      <w:pPr>
        <w:pStyle w:val="Normal"/>
        <w:rPr>
          <w:lang w:val="en-GB"/>
        </w:rPr>
      </w:pPr>
      <w:r>
        <w:rPr>
          <w:lang w:val="en-GB"/>
        </w:rPr>
        <w:t>There are ample opportunities which are encountered by the students as they try to adapt themselves to their university life. I have ascertained that I would develop further in this field and hence there have been several skills which I developed in this process to become more precise and perfect in my endeavour to enhance my skills. This could have been a more fulfilling experience if I could have been able to simplify the process of communication a bit earlier. Different challenges in communication which could have been avoided were imminently faced me in the process of learning.</w:t>
      </w:r>
    </w:p>
    <w:p>
      <w:pPr>
        <w:pStyle w:val="Normal"/>
        <w:rPr>
          <w:lang w:val="en-GB"/>
        </w:rPr>
      </w:pPr>
      <w:r>
        <w:rPr>
          <w:b/>
          <w:i/>
          <w:lang w:val="en-GB"/>
        </w:rPr>
        <w:t>5.6. Action Plan</w:t>
      </w:r>
    </w:p>
    <w:tbl>
      <w:tblPr>
        <w:tblStyle w:val="a"/>
        <w:tblW w:w="9029"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3009"/>
        <w:gridCol w:w="3010"/>
        <w:gridCol w:w="3010"/>
      </w:tblGrid>
      <w:tr>
        <w:trPr/>
        <w:tc>
          <w:tcPr>
            <w:tcW w:w="300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center"/>
              <w:rPr>
                <w:b/>
                <w:b/>
                <w:lang w:val="en-GB"/>
              </w:rPr>
            </w:pPr>
            <w:r>
              <w:rPr>
                <w:rFonts w:eastAsia="Times New Roman" w:cs="Times New Roman"/>
                <w:b/>
                <w:kern w:val="0"/>
                <w:sz w:val="24"/>
                <w:szCs w:val="24"/>
                <w:lang w:val="en-GB" w:eastAsia="en-IN" w:bidi="ar-SA"/>
              </w:rPr>
              <w:t xml:space="preserve">Objectives </w:t>
            </w:r>
          </w:p>
        </w:tc>
        <w:tc>
          <w:tcPr>
            <w:tcW w:w="301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center"/>
              <w:rPr>
                <w:b/>
                <w:b/>
                <w:lang w:val="en-GB"/>
              </w:rPr>
            </w:pPr>
            <w:r>
              <w:rPr>
                <w:rFonts w:eastAsia="Times New Roman" w:cs="Times New Roman"/>
                <w:b/>
                <w:kern w:val="0"/>
                <w:sz w:val="24"/>
                <w:szCs w:val="24"/>
                <w:lang w:val="en-GB" w:eastAsia="en-IN" w:bidi="ar-SA"/>
              </w:rPr>
              <w:t>Challenges faced</w:t>
            </w:r>
          </w:p>
        </w:tc>
        <w:tc>
          <w:tcPr>
            <w:tcW w:w="301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center"/>
              <w:rPr>
                <w:b/>
                <w:b/>
                <w:lang w:val="en-GB"/>
              </w:rPr>
            </w:pPr>
            <w:r>
              <w:rPr>
                <w:rFonts w:eastAsia="Times New Roman" w:cs="Times New Roman"/>
                <w:b/>
                <w:kern w:val="0"/>
                <w:sz w:val="24"/>
                <w:szCs w:val="24"/>
                <w:lang w:val="en-GB" w:eastAsia="en-IN" w:bidi="ar-SA"/>
              </w:rPr>
              <w:t>Strategies to overcome challenges</w:t>
            </w:r>
          </w:p>
        </w:tc>
      </w:tr>
      <w:tr>
        <w:trPr/>
        <w:tc>
          <w:tcPr>
            <w:tcW w:w="300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To learn focusing</w:t>
            </w:r>
          </w:p>
        </w:tc>
        <w:tc>
          <w:tcPr>
            <w:tcW w:w="301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The major challenges which would be faced while trying to increase my focus on relevant work would be regarding my skills to discern tasks according to their importance.</w:t>
            </w:r>
          </w:p>
        </w:tc>
        <w:tc>
          <w:tcPr>
            <w:tcW w:w="301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Overcoming this challenge can be done by slowly integrating habits like meditation and creating a priority table of actions which need attention immediately and actions which do not need attention immediately.</w:t>
            </w:r>
          </w:p>
        </w:tc>
      </w:tr>
      <w:tr>
        <w:trPr/>
        <w:tc>
          <w:tcPr>
            <w:tcW w:w="300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To learn participation</w:t>
            </w:r>
          </w:p>
        </w:tc>
        <w:tc>
          <w:tcPr>
            <w:tcW w:w="301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The communication skills which have not been fully developed would result in my inability to adequately participate in teamwork.</w:t>
            </w:r>
          </w:p>
        </w:tc>
        <w:tc>
          <w:tcPr>
            <w:tcW w:w="301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I would try to mitigate the challenges by initiating conversations on points which I understand with team members.</w:t>
            </w:r>
          </w:p>
        </w:tc>
      </w:tr>
      <w:tr>
        <w:trPr/>
        <w:tc>
          <w:tcPr>
            <w:tcW w:w="3009"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To learn time efficiency</w:t>
            </w:r>
          </w:p>
        </w:tc>
        <w:tc>
          <w:tcPr>
            <w:tcW w:w="301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The non-ability to divide the work into proper segments with the allocation of time would be a challenge which would be encountered in the process.</w:t>
            </w:r>
          </w:p>
        </w:tc>
        <w:tc>
          <w:tcPr>
            <w:tcW w:w="3010"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I would develop the capability to divide work as per the requirement with the help of learning different models and templates of time management.</w:t>
            </w:r>
          </w:p>
        </w:tc>
      </w:tr>
    </w:tbl>
    <w:p>
      <w:pPr>
        <w:pStyle w:val="Normal"/>
        <w:rPr>
          <w:lang w:val="en-GB"/>
        </w:rPr>
      </w:pPr>
      <w:r>
        <w:rPr>
          <w:lang w:val="en-GB"/>
        </w:rPr>
      </w:r>
    </w:p>
    <w:p>
      <w:pPr>
        <w:pStyle w:val="Heading1"/>
        <w:rPr>
          <w:lang w:val="en-GB"/>
        </w:rPr>
      </w:pPr>
      <w:bookmarkStart w:id="12" w:name="_Toc139385880"/>
      <w:bookmarkStart w:id="13" w:name="_7riz34hz9m4c"/>
      <w:bookmarkEnd w:id="13"/>
      <w:r>
        <w:rPr>
          <w:lang w:val="en-GB"/>
        </w:rPr>
        <w:t>6. Personal Development Plan</w:t>
      </w:r>
      <w:bookmarkEnd w:id="12"/>
    </w:p>
    <w:tbl>
      <w:tblPr>
        <w:tblStyle w:val="a0"/>
        <w:tblW w:w="9029"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1504"/>
        <w:gridCol w:w="1505"/>
        <w:gridCol w:w="1505"/>
        <w:gridCol w:w="1505"/>
        <w:gridCol w:w="1504"/>
        <w:gridCol w:w="1505"/>
      </w:tblGrid>
      <w:tr>
        <w:trPr/>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center"/>
              <w:rPr>
                <w:b/>
                <w:b/>
                <w:lang w:val="en-GB"/>
              </w:rPr>
            </w:pPr>
            <w:r>
              <w:rPr>
                <w:rFonts w:eastAsia="Times New Roman" w:cs="Times New Roman"/>
                <w:b/>
                <w:kern w:val="0"/>
                <w:sz w:val="24"/>
                <w:szCs w:val="24"/>
                <w:lang w:val="en-GB" w:eastAsia="en-IN" w:bidi="ar-SA"/>
              </w:rPr>
              <w:t>Objectives</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center"/>
              <w:rPr>
                <w:b/>
                <w:b/>
                <w:lang w:val="en-GB"/>
              </w:rPr>
            </w:pPr>
            <w:r>
              <w:rPr>
                <w:rFonts w:eastAsia="Times New Roman" w:cs="Times New Roman"/>
                <w:b/>
                <w:kern w:val="0"/>
                <w:sz w:val="24"/>
                <w:szCs w:val="24"/>
                <w:lang w:val="en-GB" w:eastAsia="en-IN" w:bidi="ar-SA"/>
              </w:rPr>
              <w:t>Specific</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center"/>
              <w:rPr>
                <w:b/>
                <w:b/>
                <w:lang w:val="en-GB"/>
              </w:rPr>
            </w:pPr>
            <w:r>
              <w:rPr>
                <w:rFonts w:eastAsia="Times New Roman" w:cs="Times New Roman"/>
                <w:b/>
                <w:kern w:val="0"/>
                <w:sz w:val="24"/>
                <w:szCs w:val="24"/>
                <w:lang w:val="en-GB" w:eastAsia="en-IN" w:bidi="ar-SA"/>
              </w:rPr>
              <w:t>Measurable</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center"/>
              <w:rPr>
                <w:b/>
                <w:b/>
                <w:lang w:val="en-GB"/>
              </w:rPr>
            </w:pPr>
            <w:r>
              <w:rPr>
                <w:rFonts w:eastAsia="Times New Roman" w:cs="Times New Roman"/>
                <w:b/>
                <w:kern w:val="0"/>
                <w:sz w:val="24"/>
                <w:szCs w:val="24"/>
                <w:lang w:val="en-GB" w:eastAsia="en-IN" w:bidi="ar-SA"/>
              </w:rPr>
              <w:t>Attainable</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center"/>
              <w:rPr>
                <w:b/>
                <w:b/>
                <w:lang w:val="en-GB"/>
              </w:rPr>
            </w:pPr>
            <w:r>
              <w:rPr>
                <w:rFonts w:eastAsia="Times New Roman" w:cs="Times New Roman"/>
                <w:b/>
                <w:kern w:val="0"/>
                <w:sz w:val="24"/>
                <w:szCs w:val="24"/>
                <w:lang w:val="en-GB" w:eastAsia="en-IN" w:bidi="ar-SA"/>
              </w:rPr>
              <w:t>Reasonable</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center"/>
              <w:rPr>
                <w:b/>
                <w:b/>
                <w:lang w:val="en-GB"/>
              </w:rPr>
            </w:pPr>
            <w:r>
              <w:rPr>
                <w:rFonts w:eastAsia="Times New Roman" w:cs="Times New Roman"/>
                <w:b/>
                <w:kern w:val="0"/>
                <w:sz w:val="24"/>
                <w:szCs w:val="24"/>
                <w:lang w:val="en-GB" w:eastAsia="en-IN" w:bidi="ar-SA"/>
              </w:rPr>
              <w:t>Time bound</w:t>
            </w:r>
          </w:p>
        </w:tc>
      </w:tr>
      <w:tr>
        <w:trPr/>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1. To acquire teamwork skills</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 xml:space="preserve">The team working skills like participation and collaboration are very significant for a learner to cooperate on different assignments with peers (Poort </w:t>
            </w:r>
            <w:r>
              <w:rPr>
                <w:rFonts w:eastAsia="Times New Roman" w:cs="Times New Roman"/>
                <w:i/>
                <w:kern w:val="0"/>
                <w:sz w:val="24"/>
                <w:szCs w:val="24"/>
                <w:lang w:val="en-GB" w:eastAsia="en-IN" w:bidi="ar-SA"/>
              </w:rPr>
              <w:t>et al</w:t>
            </w:r>
            <w:r>
              <w:rPr>
                <w:rFonts w:eastAsia="Times New Roman" w:cs="Times New Roman"/>
                <w:kern w:val="0"/>
                <w:sz w:val="24"/>
                <w:szCs w:val="24"/>
                <w:lang w:val="en-GB" w:eastAsia="en-IN" w:bidi="ar-SA"/>
              </w:rPr>
              <w:t>., 2022, p. 513). I would develop my team working skills so that I can properly participate in team tasks provided to me.</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The learning of the skill would be a slow process and would require a monitoring process to keep check of the complete learning process. Unrestricted communication with others would be a key to developing and ascertaining success in this program.</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The objective would be developed by learning communication skills properly and also by changing my approach to people. Teamwork skills would also be developed with the assistance of friends pointing out the skills which I lack and would be helpful in teamwork.</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Teamwork is a very important skill for me as it provides me with a chance to develop my participation in the team works and hence provide me with a chance to be productive while working with other people. It would also help in my professional career in the future.</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This would require a total time of three to four months.</w:t>
            </w:r>
          </w:p>
        </w:tc>
      </w:tr>
      <w:tr>
        <w:trPr/>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2. To enhance personal management</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 xml:space="preserve">Personal management is an imminent process for a learner. The learning temperament requires the student to be capable of personal management (Duckworth </w:t>
            </w:r>
            <w:r>
              <w:rPr>
                <w:rFonts w:eastAsia="Times New Roman" w:cs="Times New Roman"/>
                <w:i/>
                <w:kern w:val="0"/>
                <w:sz w:val="24"/>
                <w:szCs w:val="24"/>
                <w:lang w:val="en-GB" w:eastAsia="en-IN" w:bidi="ar-SA"/>
              </w:rPr>
              <w:t>et al</w:t>
            </w:r>
            <w:r>
              <w:rPr>
                <w:rFonts w:eastAsia="Times New Roman" w:cs="Times New Roman"/>
                <w:kern w:val="0"/>
                <w:sz w:val="24"/>
                <w:szCs w:val="24"/>
                <w:lang w:val="en-GB" w:eastAsia="en-IN" w:bidi="ar-SA"/>
              </w:rPr>
              <w:t>., 2019, p. 373). I would greatly enhance my chances of learning with the help of personal management.</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The development of personal management would be tracked with the help of a logbook which would contain a list of all the activities and their timeline. This would help in finding out the completion rate as well as the time left in properly learning personal management.</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Personal management would be learned by listening to mentors and watching videos of inspirational personalities. This would enrich my experience and hence guide my personal development process.</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 xml:space="preserve">Personal management would enhance my ability to efficiently work in a team or individually. </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360" w:before="0" w:after="0"/>
              <w:jc w:val="both"/>
              <w:rPr>
                <w:lang w:val="en-GB"/>
              </w:rPr>
            </w:pPr>
            <w:r>
              <w:rPr>
                <w:rFonts w:eastAsia="Times New Roman" w:cs="Times New Roman"/>
                <w:kern w:val="0"/>
                <w:sz w:val="24"/>
                <w:szCs w:val="24"/>
                <w:lang w:val="en-GB" w:eastAsia="en-IN" w:bidi="ar-SA"/>
              </w:rPr>
              <w:t>This would require a total time of two months.</w:t>
            </w:r>
          </w:p>
        </w:tc>
      </w:tr>
      <w:tr>
        <w:trPr/>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3. To further develop a professional temper</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 xml:space="preserve">Professionalism in work is a desirable trait which is developed by people to properly understand the process and requirements of a task (Sinambela </w:t>
            </w:r>
            <w:r>
              <w:rPr>
                <w:rFonts w:eastAsia="Times New Roman" w:cs="Times New Roman"/>
                <w:i/>
                <w:kern w:val="0"/>
                <w:sz w:val="24"/>
                <w:szCs w:val="24"/>
                <w:lang w:val="en-GB" w:eastAsia="en-IN" w:bidi="ar-SA"/>
              </w:rPr>
              <w:t>et al.</w:t>
            </w:r>
            <w:r>
              <w:rPr>
                <w:rFonts w:eastAsia="Times New Roman" w:cs="Times New Roman"/>
                <w:kern w:val="0"/>
                <w:sz w:val="24"/>
                <w:szCs w:val="24"/>
                <w:lang w:val="en-GB" w:eastAsia="en-IN" w:bidi="ar-SA"/>
              </w:rPr>
              <w:t>, 2020, p. 33). I would acquire a professional temper to create perfect work.</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The tasks which are provided to me would be completed on time with all the objectives of the tasks being achieved. This would be detrimental to the development of my professional temper within my work.</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This task would be achieved with the help of my teachers and the assignments provided to them. The perfect completion of the assignments with all the objectives achieved would help me develop professionalism.</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Professionalism would help me become accustomed to achieving success in all the tasks in which I participate.</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360" w:before="0" w:after="0"/>
              <w:jc w:val="both"/>
              <w:rPr>
                <w:lang w:val="en-GB"/>
              </w:rPr>
            </w:pPr>
            <w:r>
              <w:rPr>
                <w:rFonts w:eastAsia="Times New Roman" w:cs="Times New Roman"/>
                <w:kern w:val="0"/>
                <w:sz w:val="24"/>
                <w:szCs w:val="24"/>
                <w:lang w:val="en-GB" w:eastAsia="en-IN" w:bidi="ar-SA"/>
              </w:rPr>
              <w:t>This would require a total time of three months.</w:t>
            </w:r>
          </w:p>
        </w:tc>
      </w:tr>
      <w:tr>
        <w:trPr/>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4. To learn critical thinking skills</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Critical thinking boosts the ability to analyse a situation or a task (Mitsea</w:t>
            </w:r>
            <w:r>
              <w:rPr>
                <w:rFonts w:eastAsia="Times New Roman" w:cs="Times New Roman"/>
                <w:i/>
                <w:kern w:val="0"/>
                <w:sz w:val="24"/>
                <w:szCs w:val="24"/>
                <w:lang w:val="en-GB" w:eastAsia="en-IN" w:bidi="ar-SA"/>
              </w:rPr>
              <w:t xml:space="preserve"> et al</w:t>
            </w:r>
            <w:r>
              <w:rPr>
                <w:rFonts w:eastAsia="Times New Roman" w:cs="Times New Roman"/>
                <w:kern w:val="0"/>
                <w:sz w:val="24"/>
                <w:szCs w:val="24"/>
                <w:lang w:val="en-GB" w:eastAsia="en-IN" w:bidi="ar-SA"/>
              </w:rPr>
              <w:t xml:space="preserve">., 2021). This helps in determining the scope, time and result of different tasks and their effects. </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Critical thinking would be learned with the help of puzzles and real-life problem assessments. The ability to solve puzzles without any hindrance would determine my progress and hence the completion of this objective.</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Solving puzzles of mathematics, logic and ethics would be a perfect source of attaining critical thinking as one of my skills.</w:t>
            </w:r>
          </w:p>
        </w:tc>
        <w:tc>
          <w:tcPr>
            <w:tcW w:w="1504"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pacing w:lineRule="auto" w:line="360" w:before="0" w:after="0"/>
              <w:jc w:val="both"/>
              <w:rPr>
                <w:lang w:val="en-GB"/>
              </w:rPr>
            </w:pPr>
            <w:r>
              <w:rPr>
                <w:rFonts w:eastAsia="Times New Roman" w:cs="Times New Roman"/>
                <w:kern w:val="0"/>
                <w:sz w:val="24"/>
                <w:szCs w:val="24"/>
                <w:lang w:val="en-GB" w:eastAsia="en-IN" w:bidi="ar-SA"/>
              </w:rPr>
              <w:t>Critical thinking would help me develop my problem-solving capacity which in turn would enhance my learning skills.</w:t>
            </w:r>
          </w:p>
        </w:tc>
        <w:tc>
          <w:tcPr>
            <w:tcW w:w="150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spacing w:lineRule="auto" w:line="360" w:before="0" w:after="0"/>
              <w:jc w:val="both"/>
              <w:rPr>
                <w:lang w:val="en-GB"/>
              </w:rPr>
            </w:pPr>
            <w:r>
              <w:rPr>
                <w:rFonts w:eastAsia="Times New Roman" w:cs="Times New Roman"/>
                <w:kern w:val="0"/>
                <w:sz w:val="24"/>
                <w:szCs w:val="24"/>
                <w:lang w:val="en-GB" w:eastAsia="en-IN" w:bidi="ar-SA"/>
              </w:rPr>
              <w:t>This would require a total time of two months.</w:t>
            </w:r>
          </w:p>
        </w:tc>
      </w:tr>
    </w:tbl>
    <w:p>
      <w:pPr>
        <w:pStyle w:val="Normal"/>
        <w:rPr>
          <w:lang w:val="en-GB"/>
        </w:rPr>
      </w:pPr>
      <w:r>
        <w:rPr>
          <w:lang w:val="en-GB"/>
        </w:rPr>
      </w:r>
    </w:p>
    <w:p>
      <w:pPr>
        <w:pStyle w:val="Heading1"/>
        <w:rPr>
          <w:lang w:val="en-GB"/>
        </w:rPr>
      </w:pPr>
      <w:bookmarkStart w:id="14" w:name="_Toc139385881"/>
      <w:bookmarkStart w:id="15" w:name="_yylmu42fqvi9"/>
      <w:bookmarkEnd w:id="15"/>
      <w:r>
        <w:rPr>
          <w:lang w:val="en-GB"/>
        </w:rPr>
        <w:t>7. Conclusion</w:t>
      </w:r>
      <w:bookmarkEnd w:id="14"/>
    </w:p>
    <w:p>
      <w:pPr>
        <w:pStyle w:val="Normal"/>
        <w:rPr>
          <w:lang w:val="en-GB"/>
        </w:rPr>
      </w:pPr>
      <w:r>
        <w:rPr>
          <w:lang w:val="en-GB"/>
        </w:rPr>
        <w:t>Learning is a process of self-development in personal and professional fields. A learner has to prepare for their higher education in their formative year. Higher education is a precursor to the professional career of the learner. Choosing a proper subject and college is a very important process in modern times. The highly diversified range of courses and the extension of the classroom has been possible in recent times with the help of digital technology. Digital learning has become a very important aspect of learning which is still developing. My learning has been very much affected by digital learning and I have reaped the benefits of digital tools which help me in my learning process all the time. This report has discussed all these factors and at the end, there is a personal development plan included which helps me ascertain different skills and abilities to be integrated in future.</w:t>
      </w:r>
    </w:p>
    <w:p>
      <w:pPr>
        <w:pStyle w:val="Normal"/>
        <w:rPr>
          <w:b/>
          <w:b/>
          <w:lang w:val="en-GB"/>
        </w:rPr>
      </w:pPr>
      <w:r>
        <w:rPr>
          <w:b/>
          <w:lang w:val="en-GB"/>
        </w:rPr>
      </w:r>
      <w:r>
        <w:br w:type="page"/>
      </w:r>
    </w:p>
    <w:p>
      <w:pPr>
        <w:pStyle w:val="Heading1"/>
        <w:rPr>
          <w:lang w:val="en-GB"/>
        </w:rPr>
      </w:pPr>
      <w:bookmarkStart w:id="16" w:name="_Toc139385882"/>
      <w:bookmarkStart w:id="17" w:name="_yyd6w4hlsofy"/>
      <w:bookmarkEnd w:id="17"/>
      <w:r>
        <w:rPr>
          <w:lang w:val="en-GB"/>
        </w:rPr>
        <w:t>References</w:t>
      </w:r>
      <w:bookmarkEnd w:id="16"/>
    </w:p>
    <w:p>
      <w:pPr>
        <w:pStyle w:val="Normal"/>
        <w:spacing w:before="240" w:after="240"/>
        <w:rPr>
          <w:lang w:val="en-GB"/>
        </w:rPr>
      </w:pPr>
      <w:r>
        <w:rPr>
          <w:lang w:val="en-GB"/>
        </w:rPr>
        <w:t xml:space="preserve">Barrett, P., Treves, A., Shmis, T. and Ambasz, D., (2019). </w:t>
      </w:r>
      <w:r>
        <w:rPr>
          <w:i/>
          <w:lang w:val="en-GB"/>
        </w:rPr>
        <w:t>The impact of school infrastructure on learning: A synthesis of the evidence</w:t>
      </w:r>
      <w:r>
        <w:rPr>
          <w:lang w:val="en-GB"/>
        </w:rPr>
        <w:t xml:space="preserve">. </w:t>
      </w:r>
      <w:hyperlink r:id="rId4">
        <w:r>
          <w:rPr>
            <w:lang w:val="en-GB"/>
          </w:rPr>
          <w:t>https://books.google.com/books?hl=en&amp;lr=&amp;id=Tf6jDwAAQBAJ&amp;oi=fnd&amp;pg=PP1&amp;dq=facilities+in+universities+for+learning&amp;ots=Wy_U6YsPzR&amp;sig=Ob3ObUN9w5rNxHFCQFULLYjMaDc</w:t>
        </w:r>
      </w:hyperlink>
      <w:r>
        <w:rPr>
          <w:lang w:val="en-GB"/>
        </w:rPr>
        <w:t xml:space="preserve"> </w:t>
      </w:r>
    </w:p>
    <w:p>
      <w:pPr>
        <w:pStyle w:val="Normal"/>
        <w:spacing w:before="240" w:after="240"/>
        <w:rPr>
          <w:lang w:val="en-GB"/>
        </w:rPr>
      </w:pPr>
      <w:r>
        <w:rPr>
          <w:lang w:val="en-GB"/>
        </w:rPr>
        <w:t xml:space="preserve">Davronovich, A.D. and Mansurjonovich, J.M., (2023). IMPORTANT ADVANTAGES OF ORGANIZING THE EDUCATIONAL PROCESS IN A DIGITAL TECHNOLOGY ENVIRONMENT. </w:t>
      </w:r>
      <w:r>
        <w:rPr>
          <w:i/>
          <w:lang w:val="en-GB"/>
        </w:rPr>
        <w:t xml:space="preserve">Galaxy International Interdisciplinary Research Journal, 11(2), </w:t>
      </w:r>
      <w:r>
        <w:rPr>
          <w:lang w:val="en-GB"/>
        </w:rPr>
        <w:t xml:space="preserve">pp.149-154. </w:t>
      </w:r>
      <w:hyperlink r:id="rId5">
        <w:r>
          <w:rPr>
            <w:lang w:val="en-GB"/>
          </w:rPr>
          <w:t>https://giirj.com/index.php/giirj/article/download/4748/4650</w:t>
        </w:r>
      </w:hyperlink>
      <w:r>
        <w:rPr>
          <w:lang w:val="en-GB"/>
        </w:rPr>
        <w:t xml:space="preserve"> </w:t>
      </w:r>
    </w:p>
    <w:p>
      <w:pPr>
        <w:pStyle w:val="Normal"/>
        <w:spacing w:before="240" w:after="240"/>
        <w:rPr>
          <w:lang w:val="en-GB"/>
        </w:rPr>
      </w:pPr>
      <w:r>
        <w:rPr>
          <w:lang w:val="en-GB"/>
        </w:rPr>
        <w:t xml:space="preserve">Duckworth, A.L., Taxer, J.L., Eskreis-Winkler, L., Galla, B.M. and Gross, J.J., (2019). Self-control and academic achievement. </w:t>
      </w:r>
      <w:r>
        <w:rPr>
          <w:i/>
          <w:lang w:val="en-GB"/>
        </w:rPr>
        <w:t>Annual review of psychology, 70,</w:t>
      </w:r>
      <w:r>
        <w:rPr>
          <w:lang w:val="en-GB"/>
        </w:rPr>
        <w:t xml:space="preserve"> pp.373-399. </w:t>
      </w:r>
      <w:hyperlink r:id="rId6">
        <w:r>
          <w:rPr>
            <w:lang w:val="en-GB"/>
          </w:rPr>
          <w:t>https://www.annualreviews.org/doi/full/10.1146/annurev-psych-010418-103230</w:t>
        </w:r>
      </w:hyperlink>
      <w:r>
        <w:rPr>
          <w:lang w:val="en-GB"/>
        </w:rPr>
        <w:t xml:space="preserve"> </w:t>
      </w:r>
    </w:p>
    <w:p>
      <w:pPr>
        <w:pStyle w:val="Normal"/>
        <w:spacing w:before="240" w:after="240"/>
        <w:rPr>
          <w:lang w:val="en-GB"/>
        </w:rPr>
      </w:pPr>
      <w:r>
        <w:rPr>
          <w:lang w:val="en-GB"/>
        </w:rPr>
        <w:t xml:space="preserve">Farrell, O. and Brunton, J., (2020). A balancing act: a window into online student engagement experiences. </w:t>
      </w:r>
      <w:r>
        <w:rPr>
          <w:i/>
          <w:lang w:val="en-GB"/>
        </w:rPr>
        <w:t>International Journal of Educational Technology in Higher Education, 17(1),</w:t>
      </w:r>
      <w:r>
        <w:rPr>
          <w:lang w:val="en-GB"/>
        </w:rPr>
        <w:t xml:space="preserve"> pp.1-19. </w:t>
      </w:r>
      <w:hyperlink r:id="rId7">
        <w:r>
          <w:rPr>
            <w:lang w:val="en-GB"/>
          </w:rPr>
          <w:t>https://educationaltechnologyjournal.springeropen.com/articles/10.1186/s41239-020-00199-x</w:t>
        </w:r>
      </w:hyperlink>
      <w:r>
        <w:rPr>
          <w:lang w:val="en-GB"/>
        </w:rPr>
        <w:t xml:space="preserve"> </w:t>
      </w:r>
    </w:p>
    <w:p>
      <w:pPr>
        <w:pStyle w:val="Normal"/>
        <w:spacing w:before="240" w:after="240"/>
        <w:rPr>
          <w:lang w:val="en-GB"/>
        </w:rPr>
      </w:pPr>
      <w:r>
        <w:rPr>
          <w:lang w:val="en-GB"/>
        </w:rPr>
        <w:t xml:space="preserve">Halili, S.H., (2019). Technological advancements in education 4.0. </w:t>
      </w:r>
      <w:r>
        <w:rPr>
          <w:i/>
          <w:lang w:val="en-GB"/>
        </w:rPr>
        <w:t>The Online Journal of Distance Education and e-Learning, 7(1),</w:t>
      </w:r>
      <w:r>
        <w:rPr>
          <w:lang w:val="en-GB"/>
        </w:rPr>
        <w:t xml:space="preserve"> pp.63-69. </w:t>
      </w:r>
      <w:r>
        <w:fldChar w:fldCharType="begin"/>
      </w:r>
      <w:r>
        <w:rPr>
          <w:lang w:val="en-GB"/>
        </w:rPr>
        <w:instrText xml:space="preserve"> HYPERLINK "https://tojdel.net/journals/tojdel/volumes/tojdel-volume07-i01.pdf" \l "page=70"</w:instrText>
      </w:r>
      <w:r>
        <w:rPr>
          <w:lang w:val="en-GB"/>
        </w:rPr>
        <w:fldChar w:fldCharType="separate"/>
      </w:r>
      <w:r>
        <w:rPr>
          <w:lang w:val="en-GB"/>
        </w:rPr>
        <w:t>https://tojdel.net/journals/tojdel/volumes/tojdel-volume07-i01.pdf#page=70</w:t>
      </w:r>
      <w:r>
        <w:rPr>
          <w:lang w:val="en-GB"/>
        </w:rPr>
        <w:fldChar w:fldCharType="end"/>
      </w:r>
      <w:r>
        <w:rPr>
          <w:lang w:val="en-GB"/>
        </w:rPr>
        <w:t xml:space="preserve"> </w:t>
      </w:r>
    </w:p>
    <w:p>
      <w:pPr>
        <w:pStyle w:val="Normal"/>
        <w:spacing w:before="240" w:after="240"/>
        <w:rPr>
          <w:lang w:val="en-GB"/>
        </w:rPr>
      </w:pPr>
      <w:r>
        <w:rPr>
          <w:lang w:val="en-GB"/>
        </w:rPr>
        <w:t xml:space="preserve">Hossain, S.F.A., Xi, Z., Nurunnabi, M. and Anwar, B., (2022). Sustainable academic performance in higher education: a mixed method approach. </w:t>
      </w:r>
      <w:r>
        <w:rPr>
          <w:i/>
          <w:lang w:val="en-GB"/>
        </w:rPr>
        <w:t>Interactive Learning Environments, 30(4),</w:t>
      </w:r>
      <w:r>
        <w:rPr>
          <w:lang w:val="en-GB"/>
        </w:rPr>
        <w:t xml:space="preserve"> pp.707-720. </w:t>
      </w:r>
      <w:hyperlink r:id="rId8">
        <w:r>
          <w:rPr>
            <w:lang w:val="en-GB"/>
          </w:rPr>
          <w:t>https://www.researchgate.net/profile/Bilal-Anwar-6/publication/336810693_Interactive_Learning_Environments_Sustainable_academic_performance_in_higher_education_a_mixed_method_approach_Sustainable_academic_performance_in_higher_education_a_mixed_method_approach/links/5db3258f4585155e27010c5e/Interactive-Learning-Environments-Sustainable-academic-performance-in-higher-education-a-mixed-method-approach-Sustainable-academic-performance-in-higher-education-a-mixed-method-approach.pdf</w:t>
        </w:r>
      </w:hyperlink>
      <w:r>
        <w:rPr>
          <w:lang w:val="en-GB"/>
        </w:rPr>
        <w:t xml:space="preserve"> </w:t>
      </w:r>
    </w:p>
    <w:p>
      <w:pPr>
        <w:pStyle w:val="Normal"/>
        <w:spacing w:before="240" w:after="240"/>
        <w:rPr>
          <w:lang w:val="en-GB"/>
        </w:rPr>
      </w:pPr>
      <w:r>
        <w:rPr>
          <w:lang w:val="en-GB"/>
        </w:rPr>
        <w:t xml:space="preserve">Leshchenko, M., Lavrysh, Y. and Kononets, N., (2021). Framework for Assessment of the Quality of Digital Learning Resources for Personalized Learning. </w:t>
      </w:r>
      <w:r>
        <w:rPr>
          <w:i/>
          <w:lang w:val="en-GB"/>
        </w:rPr>
        <w:t xml:space="preserve">The New Educational Review, 64, </w:t>
      </w:r>
      <w:r>
        <w:rPr>
          <w:lang w:val="en-GB"/>
        </w:rPr>
        <w:t xml:space="preserve">pp.148-159. </w:t>
      </w:r>
      <w:hyperlink r:id="rId9">
        <w:r>
          <w:rPr>
            <w:lang w:val="en-GB"/>
          </w:rPr>
          <w:t>https://bibliotekanauki.pl/articles/1964269.pdf</w:t>
        </w:r>
      </w:hyperlink>
      <w:r>
        <w:rPr>
          <w:lang w:val="en-GB"/>
        </w:rPr>
        <w:t xml:space="preserve"> </w:t>
      </w:r>
    </w:p>
    <w:p>
      <w:pPr>
        <w:pStyle w:val="Normal"/>
        <w:spacing w:before="240" w:after="240"/>
        <w:rPr>
          <w:lang w:val="en-GB"/>
        </w:rPr>
      </w:pPr>
      <w:r>
        <w:rPr>
          <w:lang w:val="en-GB"/>
        </w:rPr>
        <w:t xml:space="preserve">Martin, A.J. and Collie, R.J., (2019). Teacher–student relationships and students’ engagement in high school: Does the number of negative and positive relationships with teachers matter?. </w:t>
      </w:r>
      <w:r>
        <w:rPr>
          <w:i/>
          <w:lang w:val="en-GB"/>
        </w:rPr>
        <w:t>Journal of Educational Psychology, 111(5),</w:t>
      </w:r>
      <w:r>
        <w:rPr>
          <w:lang w:val="en-GB"/>
        </w:rPr>
        <w:t xml:space="preserve"> p.861. </w:t>
      </w:r>
      <w:hyperlink r:id="rId10">
        <w:r>
          <w:rPr>
            <w:lang w:val="en-GB"/>
          </w:rPr>
          <w:t>https://www.researchgate.net/profile/Andrew-Martin-22/publication/328522380_Teacher-Student_Relationships_and_Students%27_Engagement_in_High_School_Does_the_Number_of_Negative_and_Positive_Relationships_With_Teachers_Matter/links/5c1ab0a4a6fdccfc705ac537/Teacher-Student-Relationships-and-Students-Engagement-in-High-School-Does-the-Number-of-Negative-and-Positive-Relationships-With-Teachers-Matter.pdf</w:t>
        </w:r>
      </w:hyperlink>
      <w:r>
        <w:rPr>
          <w:lang w:val="en-GB"/>
        </w:rPr>
        <w:t xml:space="preserve"> </w:t>
      </w:r>
    </w:p>
    <w:p>
      <w:pPr>
        <w:pStyle w:val="Normal"/>
        <w:spacing w:before="240" w:after="240"/>
        <w:rPr>
          <w:lang w:val="en-GB"/>
        </w:rPr>
      </w:pPr>
      <w:r>
        <w:rPr>
          <w:lang w:val="en-GB"/>
        </w:rPr>
        <w:t xml:space="preserve">Mitsea, E., Drigas, A. and Mantas, P., (2021). Soft Skills &amp; Metacognition as Inclusion Amplifiers in the 21st Century. </w:t>
      </w:r>
      <w:r>
        <w:rPr>
          <w:i/>
          <w:lang w:val="en-GB"/>
        </w:rPr>
        <w:t>International Journal of Online &amp; Biomedical Engineering, 17(4).</w:t>
      </w:r>
      <w:r>
        <w:rPr>
          <w:lang w:val="en-GB"/>
        </w:rPr>
        <w:t xml:space="preserve"> Available at: </w:t>
      </w:r>
      <w:hyperlink r:id="rId11">
        <w:r>
          <w:rPr>
            <w:lang w:val="en-GB"/>
          </w:rPr>
          <w:t>https://www.researchgate.net/profile/Athanasios-Drigas/publication/350670463_Soft_Skills_Metacognition_as_Inclusion_Amplifiers_in_the_21st_Century/links/614b2e14a3df59440ba30e59/Soft-Skills-Metacognition-as-Inclusion-Amplifiers-in-the-21st-Century.pdf</w:t>
        </w:r>
      </w:hyperlink>
      <w:r>
        <w:rPr>
          <w:lang w:val="en-GB"/>
        </w:rPr>
        <w:t xml:space="preserve"> </w:t>
      </w:r>
    </w:p>
    <w:p>
      <w:pPr>
        <w:pStyle w:val="Normal"/>
        <w:spacing w:before="240" w:after="240"/>
        <w:rPr>
          <w:lang w:val="en-GB"/>
        </w:rPr>
      </w:pPr>
      <w:r>
        <w:rPr>
          <w:lang w:val="en-GB"/>
        </w:rPr>
        <w:t xml:space="preserve">Park, J., (2019). </w:t>
      </w:r>
      <w:r>
        <w:rPr>
          <w:i/>
          <w:lang w:val="en-GB"/>
        </w:rPr>
        <w:t>Rethinking the route to success and well-being: cross-cultural impact of extrinsic-intrinsic success beliefs and identity on subjective and psychological well-being between Korea and New Zealand</w:t>
      </w:r>
      <w:r>
        <w:rPr>
          <w:lang w:val="en-GB"/>
        </w:rPr>
        <w:t xml:space="preserve"> (Doctoral dissertation, ResearchSpace@ Auckland). </w:t>
      </w:r>
      <w:hyperlink r:id="rId12">
        <w:r>
          <w:rPr>
            <w:lang w:val="en-GB"/>
          </w:rPr>
          <w:t>https://researchspace.auckland.ac.nz/bitstream/handle/2292/49378/whole.pdf?sequence=2&amp;isAllowed=y</w:t>
        </w:r>
      </w:hyperlink>
      <w:r>
        <w:rPr>
          <w:lang w:val="en-GB"/>
        </w:rPr>
        <w:t xml:space="preserve"> </w:t>
      </w:r>
    </w:p>
    <w:p>
      <w:pPr>
        <w:pStyle w:val="Normal"/>
        <w:spacing w:before="240" w:after="240"/>
        <w:rPr>
          <w:lang w:val="en-GB"/>
        </w:rPr>
      </w:pPr>
      <w:r>
        <w:rPr>
          <w:lang w:val="en-GB"/>
        </w:rPr>
        <w:t xml:space="preserve">Poort, I., Jansen, E. and Hofman, A., (2022). Does the group matter? Effects of trust, cultural diversity, and group formation on engagement in group work in higher education. </w:t>
      </w:r>
      <w:r>
        <w:rPr>
          <w:i/>
          <w:lang w:val="en-GB"/>
        </w:rPr>
        <w:t>Higher Education Research &amp; Development, 41(2)</w:t>
      </w:r>
      <w:r>
        <w:rPr>
          <w:lang w:val="en-GB"/>
        </w:rPr>
        <w:t xml:space="preserve">, pp.511-526. </w:t>
      </w:r>
      <w:hyperlink r:id="rId13">
        <w:r>
          <w:rPr>
            <w:lang w:val="en-GB"/>
          </w:rPr>
          <w:t>https://www.tandfonline.com/doi/pdf/10.1080/07294360.2020.1839024</w:t>
        </w:r>
      </w:hyperlink>
      <w:r>
        <w:rPr>
          <w:lang w:val="en-GB"/>
        </w:rPr>
        <w:t xml:space="preserve"> </w:t>
      </w:r>
    </w:p>
    <w:p>
      <w:pPr>
        <w:pStyle w:val="Normal"/>
        <w:spacing w:before="240" w:after="240"/>
        <w:rPr>
          <w:lang w:val="en-GB"/>
        </w:rPr>
      </w:pPr>
      <w:r>
        <w:rPr>
          <w:lang w:val="en-GB"/>
        </w:rPr>
        <w:t xml:space="preserve">Schoon, I. and Heckhausen, J., (2019). Conceptualizing individual agency in the transition from school to work: A social-ecological developmental perspective. </w:t>
      </w:r>
      <w:r>
        <w:rPr>
          <w:i/>
          <w:lang w:val="en-GB"/>
        </w:rPr>
        <w:t>Adolescent Research Review, 4,</w:t>
      </w:r>
      <w:r>
        <w:rPr>
          <w:lang w:val="en-GB"/>
        </w:rPr>
        <w:t xml:space="preserve"> pp.135-148. </w:t>
      </w:r>
      <w:hyperlink r:id="rId14">
        <w:r>
          <w:rPr>
            <w:lang w:val="en-GB"/>
          </w:rPr>
          <w:t>https://link.springer.com/article/10.1007/s40894-019-00111-3</w:t>
        </w:r>
      </w:hyperlink>
      <w:r>
        <w:rPr>
          <w:lang w:val="en-GB"/>
        </w:rPr>
        <w:t xml:space="preserve"> </w:t>
      </w:r>
    </w:p>
    <w:p>
      <w:pPr>
        <w:pStyle w:val="Normal"/>
        <w:spacing w:before="240" w:after="240"/>
        <w:rPr>
          <w:lang w:val="en-GB"/>
        </w:rPr>
      </w:pPr>
      <w:r>
        <w:rPr>
          <w:lang w:val="en-GB"/>
        </w:rPr>
        <w:t xml:space="preserve">Sergeeva, M.G., Bondarenko, N.G., Shebzuhova, T.A., Solovyov, B.A., Parinov, D.V., Shvedov, L.A. and Ovchinnikov, A.P., (2019). Verification of management-support of professional and educational trajectory of students in the socio-cultural educational environment of the university. </w:t>
      </w:r>
      <w:r>
        <w:rPr>
          <w:i/>
          <w:lang w:val="en-GB"/>
        </w:rPr>
        <w:t>Amazonia investiga, 8(18),</w:t>
      </w:r>
      <w:r>
        <w:rPr>
          <w:lang w:val="en-GB"/>
        </w:rPr>
        <w:t xml:space="preserve"> pp.5-14. </w:t>
      </w:r>
      <w:hyperlink r:id="rId15">
        <w:r>
          <w:rPr>
            <w:lang w:val="en-GB"/>
          </w:rPr>
          <w:t>https://www.amazoniainvestiga.info/index.php/amazonia/article/download/251/226</w:t>
        </w:r>
      </w:hyperlink>
      <w:r>
        <w:rPr>
          <w:lang w:val="en-GB"/>
        </w:rPr>
        <w:t xml:space="preserve"> </w:t>
      </w:r>
    </w:p>
    <w:p>
      <w:pPr>
        <w:pStyle w:val="Normal"/>
        <w:spacing w:before="240" w:after="240"/>
        <w:rPr>
          <w:lang w:val="en-GB"/>
        </w:rPr>
      </w:pPr>
      <w:r>
        <w:rPr>
          <w:lang w:val="en-GB"/>
        </w:rPr>
        <w:t xml:space="preserve">Sinambela, E.A., Mardikaningsih, R., Arifin, S. and Ayu, H.D., (2020). Development of Self Competence and Supervision to Achieve Professionalism. </w:t>
      </w:r>
      <w:r>
        <w:rPr>
          <w:i/>
          <w:lang w:val="en-GB"/>
        </w:rPr>
        <w:t>Journal of Islamic Economics Perspectives, 1(2)</w:t>
      </w:r>
      <w:r>
        <w:rPr>
          <w:lang w:val="en-GB"/>
        </w:rPr>
        <w:t xml:space="preserve">, pp.33-42. </w:t>
      </w:r>
      <w:hyperlink r:id="rId16">
        <w:r>
          <w:rPr>
            <w:lang w:val="en-GB"/>
          </w:rPr>
          <w:t>https://scholar.archive.org/work/kqv7xlvsizekdf2jnaagjatkmy/access/wayback/https://jurnalfebi.iain-jember.ac.id/index.php/JIEP/article/download/13/14</w:t>
        </w:r>
      </w:hyperlink>
      <w:r>
        <w:rPr>
          <w:lang w:val="en-GB"/>
        </w:rPr>
        <w:t xml:space="preserve"> </w:t>
      </w:r>
    </w:p>
    <w:p>
      <w:pPr>
        <w:pStyle w:val="Normal"/>
        <w:spacing w:before="240" w:after="240"/>
        <w:rPr>
          <w:lang w:val="en-GB"/>
        </w:rPr>
      </w:pPr>
      <w:r>
        <w:rPr>
          <w:lang w:val="en-GB"/>
        </w:rPr>
        <w:t xml:space="preserve">Soltani, R., Nguyen, U.T. and An, A., (2021). A survey of self-sovereign identity ecosystem. </w:t>
      </w:r>
      <w:r>
        <w:rPr>
          <w:i/>
          <w:lang w:val="en-GB"/>
        </w:rPr>
        <w:t>Security and Communication Networks, 2021,</w:t>
      </w:r>
      <w:r>
        <w:rPr>
          <w:lang w:val="en-GB"/>
        </w:rPr>
        <w:t xml:space="preserve"> pp.1-26. </w:t>
      </w:r>
      <w:hyperlink r:id="rId17">
        <w:r>
          <w:rPr>
            <w:lang w:val="en-GB"/>
          </w:rPr>
          <w:t>https://www.hindawi.com/journals/scn/2021/8873429/</w:t>
        </w:r>
      </w:hyperlink>
      <w:r>
        <w:rPr>
          <w:lang w:val="en-GB"/>
        </w:rPr>
        <w:t xml:space="preserve"> </w:t>
      </w:r>
    </w:p>
    <w:p>
      <w:pPr>
        <w:pStyle w:val="Normal"/>
        <w:spacing w:before="240" w:after="240"/>
        <w:rPr>
          <w:lang w:val="en-GB"/>
        </w:rPr>
      </w:pPr>
      <w:r>
        <w:rPr>
          <w:lang w:val="en-GB"/>
        </w:rPr>
        <w:t xml:space="preserve">Sun, Y., (2019). An analysis on the factors affecting second language acquisition and its implications for teaching and learning. </w:t>
      </w:r>
      <w:r>
        <w:rPr>
          <w:i/>
          <w:lang w:val="en-GB"/>
        </w:rPr>
        <w:t xml:space="preserve">Journal of Language Teaching and Research, 10(5), </w:t>
      </w:r>
      <w:r>
        <w:rPr>
          <w:lang w:val="en-GB"/>
        </w:rPr>
        <w:t xml:space="preserve">pp.1018-1022. </w:t>
      </w:r>
      <w:r>
        <w:fldChar w:fldCharType="begin"/>
      </w:r>
      <w:r>
        <w:rPr>
          <w:lang w:val="en-GB"/>
        </w:rPr>
        <w:instrText xml:space="preserve"> HYPERLINK "http://www.academypublication.com/issues2/jltr/vol10/05/jltr1005.pdf" \l "page=126"</w:instrText>
      </w:r>
      <w:r>
        <w:rPr>
          <w:lang w:val="en-GB"/>
        </w:rPr>
        <w:fldChar w:fldCharType="separate"/>
      </w:r>
      <w:r>
        <w:rPr>
          <w:lang w:val="en-GB"/>
        </w:rPr>
        <w:t>http://www.academypublication.com/issues2/jltr/vol10/05/jltr1005.pdf#page=126</w:t>
      </w:r>
      <w:r>
        <w:rPr>
          <w:lang w:val="en-GB"/>
        </w:rPr>
        <w:fldChar w:fldCharType="end"/>
      </w:r>
      <w:r>
        <w:rPr>
          <w:lang w:val="en-GB"/>
        </w:rPr>
        <w:t xml:space="preserve"> </w:t>
      </w:r>
    </w:p>
    <w:p>
      <w:pPr>
        <w:pStyle w:val="Normal"/>
        <w:spacing w:before="240" w:after="240"/>
        <w:rPr>
          <w:lang w:val="en-GB"/>
        </w:rPr>
      </w:pPr>
      <w:r>
        <w:rPr>
          <w:lang w:val="en-GB"/>
        </w:rPr>
        <w:t xml:space="preserve">timeshighereducation.com, (2018). </w:t>
      </w:r>
      <w:r>
        <w:rPr>
          <w:i/>
          <w:lang w:val="en-GB"/>
        </w:rPr>
        <w:t>Universities must innovate to adapt and succeed, Times Higher Education (THE).</w:t>
      </w:r>
      <w:r>
        <w:rPr>
          <w:lang w:val="en-GB"/>
        </w:rPr>
        <w:t xml:space="preserve"> Available at: </w:t>
      </w:r>
      <w:hyperlink r:id="rId18">
        <w:r>
          <w:rPr>
            <w:lang w:val="en-GB"/>
          </w:rPr>
          <w:t>https://www.timeshighereducation.com/hub/pa-consulting/p/universities-must-innovate-adapt-and-succeed</w:t>
        </w:r>
      </w:hyperlink>
      <w:r>
        <w:rPr>
          <w:lang w:val="en-GB"/>
        </w:rPr>
        <w:t xml:space="preserve"> (Accessed: 04 July 2023). </w:t>
      </w:r>
    </w:p>
    <w:p>
      <w:pPr>
        <w:pStyle w:val="Normal"/>
        <w:spacing w:before="240" w:after="240"/>
        <w:rPr>
          <w:lang w:val="en-GB"/>
        </w:rPr>
      </w:pPr>
      <w:r>
        <w:rPr>
          <w:lang w:val="en-GB"/>
        </w:rPr>
        <w:t xml:space="preserve">Van der Linden, S., Leiserowitz, A. and Maibach, E., (2019). The gateway belief model: A large-scale replication. </w:t>
      </w:r>
      <w:r>
        <w:rPr>
          <w:i/>
          <w:lang w:val="en-GB"/>
        </w:rPr>
        <w:t>Journal of Environmental Psychology, 62,</w:t>
      </w:r>
      <w:r>
        <w:rPr>
          <w:lang w:val="en-GB"/>
        </w:rPr>
        <w:t xml:space="preserve"> pp.49-58. </w:t>
      </w:r>
      <w:hyperlink r:id="rId19">
        <w:r>
          <w:rPr>
            <w:lang w:val="en-GB"/>
          </w:rPr>
          <w:t>https://www.repository.cam.ac.uk/bitstream/1810/289506/1/GBM_accepted.pdf</w:t>
        </w:r>
      </w:hyperlink>
      <w:r>
        <w:rPr>
          <w:lang w:val="en-GB"/>
        </w:rPr>
        <w:t xml:space="preserve"> </w:t>
      </w:r>
    </w:p>
    <w:p>
      <w:pPr>
        <w:pStyle w:val="Normal"/>
        <w:spacing w:before="240" w:after="240"/>
        <w:rPr>
          <w:lang w:val="en-GB"/>
        </w:rPr>
      </w:pPr>
      <w:r>
        <w:rPr>
          <w:lang w:val="en-GB"/>
        </w:rPr>
        <w:t xml:space="preserve">Verhoeven, M., Poorthuis, A.M. and Volman, M., (2019). The role of school in adolescents’ identity development. A literature review. </w:t>
      </w:r>
      <w:r>
        <w:rPr>
          <w:i/>
          <w:lang w:val="en-GB"/>
        </w:rPr>
        <w:t>Educational Psychology Review, 31,</w:t>
      </w:r>
      <w:r>
        <w:rPr>
          <w:lang w:val="en-GB"/>
        </w:rPr>
        <w:t xml:space="preserve"> pp.35-63. </w:t>
      </w:r>
      <w:hyperlink r:id="rId20">
        <w:r>
          <w:rPr>
            <w:lang w:val="en-GB"/>
          </w:rPr>
          <w:t>https://link.springer.com/article/10.1007/s10648-018-9457-3</w:t>
        </w:r>
      </w:hyperlink>
      <w:r>
        <w:rPr>
          <w:lang w:val="en-GB"/>
        </w:rPr>
        <w:t xml:space="preserve"> </w:t>
      </w:r>
    </w:p>
    <w:sectPr>
      <w:footerReference w:type="default" r:id="rId21"/>
      <w:type w:val="nextPage"/>
      <w:pgSz w:w="11906" w:h="16838"/>
      <w:pgMar w:left="1440" w:right="1440" w:gutter="0" w:header="0" w:top="1440" w:footer="720" w:bottom="144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swiss"/>
    <w:pitch w:val="variable"/>
  </w:font>
  <w:font w:name="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fldChar w:fldCharType="begin"/>
    </w:r>
    <w:r>
      <w:rPr/>
      <w:instrText xml:space="preserve"> PAGE </w:instrText>
    </w:r>
    <w:r>
      <w:rPr/>
      <w:fldChar w:fldCharType="separate"/>
    </w:r>
    <w:r>
      <w:rPr/>
      <w:t>17</w:t>
    </w:r>
    <w:r>
      <w:rPr/>
      <w:fldChar w:fldCharType="end"/>
    </w:r>
  </w:p>
</w:ft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en-IN" w:eastAsia="en-IN"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360" w:before="0" w:after="0"/>
      <w:jc w:val="both"/>
    </w:pPr>
    <w:rPr>
      <w:rFonts w:ascii="Times New Roman" w:hAnsi="Times New Roman" w:eastAsia="Times New Roman" w:cs="Times New Roman"/>
      <w:color w:val="auto"/>
      <w:kern w:val="0"/>
      <w:sz w:val="24"/>
      <w:szCs w:val="24"/>
      <w:lang w:val="en-IN" w:eastAsia="en-IN" w:bidi="ar-SA"/>
    </w:rPr>
  </w:style>
  <w:style w:type="paragraph" w:styleId="Heading1">
    <w:name w:val="Heading 1"/>
    <w:basedOn w:val="Normal"/>
    <w:next w:val="Normal"/>
    <w:qFormat/>
    <w:pPr>
      <w:keepNext w:val="true"/>
      <w:keepLines/>
      <w:outlineLvl w:val="0"/>
    </w:pPr>
    <w:rPr>
      <w:b/>
    </w:rPr>
  </w:style>
  <w:style w:type="paragraph" w:styleId="Heading2">
    <w:name w:val="Heading 2"/>
    <w:basedOn w:val="Normal"/>
    <w:next w:val="Normal"/>
    <w:qFormat/>
    <w:pPr>
      <w:keepNext w:val="true"/>
      <w:keepLines/>
      <w:spacing w:before="360" w:after="120"/>
      <w:outlineLvl w:val="1"/>
    </w:pPr>
    <w:rPr>
      <w:sz w:val="32"/>
      <w:szCs w:val="32"/>
    </w:rPr>
  </w:style>
  <w:style w:type="paragraph" w:styleId="Heading3">
    <w:name w:val="Heading 3"/>
    <w:basedOn w:val="Normal"/>
    <w:next w:val="Normal"/>
    <w:qFormat/>
    <w:pPr>
      <w:keepNext w:val="true"/>
      <w:keepLines/>
      <w:spacing w:before="320" w:after="80"/>
      <w:outlineLvl w:val="2"/>
    </w:pPr>
    <w:rPr>
      <w:color w:val="434343"/>
      <w:sz w:val="28"/>
      <w:szCs w:val="28"/>
    </w:rPr>
  </w:style>
  <w:style w:type="paragraph" w:styleId="Heading4">
    <w:name w:val="Heading 4"/>
    <w:basedOn w:val="Normal"/>
    <w:next w:val="Normal"/>
    <w:qFormat/>
    <w:pPr>
      <w:keepNext w:val="true"/>
      <w:keepLines/>
      <w:spacing w:before="280" w:after="80"/>
      <w:outlineLvl w:val="3"/>
    </w:pPr>
    <w:rPr>
      <w:color w:val="666666"/>
    </w:rPr>
  </w:style>
  <w:style w:type="paragraph" w:styleId="Heading5">
    <w:name w:val="Heading 5"/>
    <w:basedOn w:val="Normal"/>
    <w:next w:val="Normal"/>
    <w:qFormat/>
    <w:pPr>
      <w:keepNext w:val="true"/>
      <w:keepLines/>
      <w:spacing w:before="240" w:after="80"/>
      <w:outlineLvl w:val="4"/>
    </w:pPr>
    <w:rPr>
      <w:color w:val="666666"/>
      <w:sz w:val="22"/>
      <w:szCs w:val="22"/>
    </w:rPr>
  </w:style>
  <w:style w:type="paragraph" w:styleId="Heading6">
    <w:name w:val="Heading 6"/>
    <w:basedOn w:val="Normal"/>
    <w:next w:val="Normal"/>
    <w:qFormat/>
    <w:pPr>
      <w:keepNext w:val="true"/>
      <w:keepLines/>
      <w:spacing w:before="240" w:after="80"/>
      <w:outlineLvl w:val="5"/>
    </w:pPr>
    <w:rPr>
      <w:i/>
      <w:color w:val="666666"/>
      <w:sz w:val="22"/>
      <w:szCs w:val="22"/>
    </w:rPr>
  </w:style>
  <w:style w:type="character" w:styleId="DefaultParagraphFont" w:default="1">
    <w:name w:val="Default Paragraph Font"/>
    <w:uiPriority w:val="1"/>
    <w:semiHidden/>
    <w:unhideWhenUsed/>
    <w:qFormat/>
    <w:rPr/>
  </w:style>
  <w:style w:type="character" w:styleId="CommentTextChar" w:customStyle="1">
    <w:name w:val="Comment Text Char"/>
    <w:basedOn w:val="DefaultParagraphFont"/>
    <w:link w:val="Annotationtext"/>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BalloonTextChar" w:customStyle="1">
    <w:name w:val="Balloon Text Char"/>
    <w:basedOn w:val="DefaultParagraphFont"/>
    <w:link w:val="BalloonText"/>
    <w:uiPriority w:val="99"/>
    <w:semiHidden/>
    <w:qFormat/>
    <w:rsid w:val="008f4a1a"/>
    <w:rPr>
      <w:rFonts w:ascii="Segoe UI" w:hAnsi="Segoe UI" w:cs="Segoe UI"/>
      <w:sz w:val="18"/>
      <w:szCs w:val="18"/>
    </w:rPr>
  </w:style>
  <w:style w:type="character" w:styleId="InternetLink">
    <w:name w:val="Hyperlink"/>
    <w:basedOn w:val="DefaultParagraphFont"/>
    <w:uiPriority w:val="99"/>
    <w:unhideWhenUsed/>
    <w:rsid w:val="008f4a1a"/>
    <w:rPr>
      <w:color w:val="0000FF" w:themeColor="hyperlink"/>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Title">
    <w:name w:val="Title"/>
    <w:basedOn w:val="Normal"/>
    <w:next w:val="Normal"/>
    <w:qFormat/>
    <w:pPr>
      <w:keepNext w:val="true"/>
      <w:keepLines/>
      <w:spacing w:before="0" w:after="60"/>
    </w:pPr>
    <w:rPr>
      <w:sz w:val="52"/>
      <w:szCs w:val="52"/>
    </w:rPr>
  </w:style>
  <w:style w:type="paragraph" w:styleId="Subtitle">
    <w:name w:val="Subtitle"/>
    <w:basedOn w:val="Normal"/>
    <w:next w:val="Normal"/>
    <w:qFormat/>
    <w:pPr>
      <w:keepNext w:val="true"/>
      <w:keepLines/>
      <w:spacing w:before="0" w:after="320"/>
    </w:pPr>
    <w:rPr>
      <w:rFonts w:ascii="Arial" w:hAnsi="Arial" w:eastAsia="Arial" w:cs="Arial"/>
      <w:color w:val="666666"/>
      <w:sz w:val="30"/>
      <w:szCs w:val="30"/>
    </w:rPr>
  </w:style>
  <w:style w:type="paragraph" w:styleId="Annotationtext">
    <w:name w:val="annotation text"/>
    <w:basedOn w:val="Normal"/>
    <w:link w:val="CommentTextChar"/>
    <w:uiPriority w:val="99"/>
    <w:semiHidden/>
    <w:unhideWhenUsed/>
    <w:qFormat/>
    <w:pPr>
      <w:spacing w:lineRule="auto" w:line="240"/>
    </w:pPr>
    <w:rPr>
      <w:sz w:val="20"/>
      <w:szCs w:val="20"/>
    </w:rPr>
  </w:style>
  <w:style w:type="paragraph" w:styleId="BalloonText">
    <w:name w:val="Balloon Text"/>
    <w:basedOn w:val="Normal"/>
    <w:link w:val="BalloonTextChar"/>
    <w:uiPriority w:val="99"/>
    <w:semiHidden/>
    <w:unhideWhenUsed/>
    <w:qFormat/>
    <w:rsid w:val="008f4a1a"/>
    <w:pPr>
      <w:spacing w:lineRule="auto" w:line="240"/>
    </w:pPr>
    <w:rPr>
      <w:rFonts w:ascii="Segoe UI" w:hAnsi="Segoe UI" w:cs="Segoe UI"/>
      <w:sz w:val="18"/>
      <w:szCs w:val="18"/>
    </w:rPr>
  </w:style>
  <w:style w:type="paragraph" w:styleId="IndexHeading">
    <w:name w:val="Index Heading"/>
    <w:basedOn w:val="Heading"/>
    <w:pPr/>
    <w:rPr/>
  </w:style>
  <w:style w:type="paragraph" w:styleId="ContentsHeading">
    <w:name w:val="TOC Heading"/>
    <w:basedOn w:val="Heading1"/>
    <w:next w:val="Normal"/>
    <w:uiPriority w:val="39"/>
    <w:unhideWhenUsed/>
    <w:qFormat/>
    <w:rsid w:val="008f4a1a"/>
    <w:pPr>
      <w:spacing w:lineRule="auto" w:line="259" w:before="240" w:after="0"/>
      <w:jc w:val="left"/>
      <w:outlineLvl w:val="9"/>
    </w:pPr>
    <w:rPr>
      <w:rFonts w:ascii="Calibri" w:hAnsi="Calibri" w:eastAsia="" w:cs="" w:asciiTheme="majorHAnsi" w:cstheme="majorBidi" w:eastAsiaTheme="majorEastAsia" w:hAnsiTheme="majorHAnsi"/>
      <w:b w:val="false"/>
      <w:color w:val="365F91" w:themeColor="accent1" w:themeShade="bf"/>
      <w:sz w:val="32"/>
      <w:szCs w:val="32"/>
      <w:lang w:val="en-US" w:eastAsia="en-US"/>
    </w:rPr>
  </w:style>
  <w:style w:type="paragraph" w:styleId="Contents1">
    <w:name w:val="TOC 1"/>
    <w:basedOn w:val="Normal"/>
    <w:next w:val="Normal"/>
    <w:autoRedefine/>
    <w:uiPriority w:val="39"/>
    <w:unhideWhenUsed/>
    <w:rsid w:val="008f4a1a"/>
    <w:pPr>
      <w:spacing w:before="0" w:after="100"/>
    </w:pPr>
    <w:rPr/>
  </w:style>
  <w:style w:type="paragraph" w:styleId="HeaderandFooter">
    <w:name w:val="Header and Footer"/>
    <w:basedOn w:val="Normal"/>
    <w:qFormat/>
    <w:pPr/>
    <w:rPr/>
  </w:style>
  <w:style w:type="paragraph" w:styleId="Footer">
    <w:name w:val="Footer"/>
    <w:basedOn w:val="HeaderandFooter"/>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s://books.google.com/books?hl=en&amp;lr=&amp;id=Tf6jDwAAQBAJ&amp;oi=fnd&amp;pg=PP1&amp;dq=facilities+in+universities+for+learning&amp;ots=Wy_U6YsPzR&amp;sig=Ob3ObUN9w5rNxHFCQFULLYjMaDc" TargetMode="External"/><Relationship Id="rId5" Type="http://schemas.openxmlformats.org/officeDocument/2006/relationships/hyperlink" Target="https://giirj.com/index.php/giirj/article/download/4748/4650" TargetMode="External"/><Relationship Id="rId6" Type="http://schemas.openxmlformats.org/officeDocument/2006/relationships/hyperlink" Target="https://www.annualreviews.org/doi/full/10.1146/annurev-psych-010418-103230" TargetMode="External"/><Relationship Id="rId7" Type="http://schemas.openxmlformats.org/officeDocument/2006/relationships/hyperlink" Target="https://educationaltechnologyjournal.springeropen.com/articles/10.1186/s41239-020-00199-x" TargetMode="External"/><Relationship Id="rId8" Type="http://schemas.openxmlformats.org/officeDocument/2006/relationships/hyperlink" Target="https://www.researchgate.net/profile/Bilal-Anwar-6/publication/336810693_Interactive_Learning_Environments_Sustainable_academic_performance_in_higher_education_a_mixed_method_approach_Sustainable_academic_performance_in_higher_education_a_mixed_method_approach/links/5db3258f4585155e27010c5e/Interactive-Learning-Environments-Sustainable-academic-performance-in-higher-education-a-mixed-method-approach-Sustainable-academic-performance-in-higher-education-a-mixed-method-approach.pdf" TargetMode="External"/><Relationship Id="rId9" Type="http://schemas.openxmlformats.org/officeDocument/2006/relationships/hyperlink" Target="https://bibliotekanauki.pl/articles/1964269.pdf" TargetMode="External"/><Relationship Id="rId10" Type="http://schemas.openxmlformats.org/officeDocument/2006/relationships/hyperlink" Target="https://www.researchgate.net/profile/Andrew-Martin-22/publication/328522380_Teacher-Student_Relationships_and_Students&apos;_Engagement_in_High_School_Does_the_Number_of_Negative_and_Positive_Relationships_With_Teachers_Matter/links/5c1ab0a4a6fdccfc705ac537/Teacher-Student-Relationships-and-Students-Engagement-in-High-School-Does-the-Number-of-Negative-and-Positive-Relationships-With-Teachers-Matter.pdf" TargetMode="External"/><Relationship Id="rId11" Type="http://schemas.openxmlformats.org/officeDocument/2006/relationships/hyperlink" Target="https://www.researchgate.net/profile/Athanasios-Drigas/publication/350670463_Soft_Skills_Metacognition_as_Inclusion_Amplifiers_in_the_21st_Century/links/614b2e14a3df59440ba30e59/Soft-Skills-Metacognition-as-Inclusion-Amplifiers-in-the-21st-Century.pdf" TargetMode="External"/><Relationship Id="rId12" Type="http://schemas.openxmlformats.org/officeDocument/2006/relationships/hyperlink" Target="https://researchspace.auckland.ac.nz/bitstream/handle/2292/49378/whole.pdf?sequence=2&amp;isAllowed=y" TargetMode="External"/><Relationship Id="rId13" Type="http://schemas.openxmlformats.org/officeDocument/2006/relationships/hyperlink" Target="https://www.tandfonline.com/doi/pdf/10.1080/07294360.2020.1839024" TargetMode="External"/><Relationship Id="rId14" Type="http://schemas.openxmlformats.org/officeDocument/2006/relationships/hyperlink" Target="https://link.springer.com/article/10.1007/s40894-019-00111-3" TargetMode="External"/><Relationship Id="rId15" Type="http://schemas.openxmlformats.org/officeDocument/2006/relationships/hyperlink" Target="https://www.amazoniainvestiga.info/index.php/amazonia/article/download/251/226" TargetMode="External"/><Relationship Id="rId16" Type="http://schemas.openxmlformats.org/officeDocument/2006/relationships/hyperlink" Target="https://scholar.archive.org/work/kqv7xlvsizekdf2jnaagjatkmy/access/wayback/https://jurnalfebi.iain-jember.ac.id/index.php/JIEP/article/download/13/14" TargetMode="External"/><Relationship Id="rId17" Type="http://schemas.openxmlformats.org/officeDocument/2006/relationships/hyperlink" Target="https://www.hindawi.com/journals/scn/2021/8873429/" TargetMode="External"/><Relationship Id="rId18" Type="http://schemas.openxmlformats.org/officeDocument/2006/relationships/hyperlink" Target="https://www.timeshighereducation.com/hub/pa-consulting/p/universities-must-innovate-adapt-and-succeed" TargetMode="External"/><Relationship Id="rId19" Type="http://schemas.openxmlformats.org/officeDocument/2006/relationships/hyperlink" Target="https://www.repository.cam.ac.uk/bitstream/1810/289506/1/GBM_accepted.pdf" TargetMode="External"/><Relationship Id="rId20" Type="http://schemas.openxmlformats.org/officeDocument/2006/relationships/hyperlink" Target="https://link.springer.com/article/10.1007/s10648-018-9457-3" TargetMode="Externa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CCC28-6867-451A-80E5-FF41E7CB1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Application>LibreOffice/7.4.1.2$Windows_X86_64 LibreOffice_project/3c58a8f3a960df8bc8fd77b461821e42c061c5f0</Application>
  <AppVersion>15.0000</AppVersion>
  <Pages>17</Pages>
  <Words>3887</Words>
  <Characters>22918</Characters>
  <CharactersWithSpaces>26708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2023-07-04T12:27:00Z</dcterms:created>
  <dc:creator/>
  <dc:description/>
  <dc:language>en-GB</dc:language>
  <cp:lastModifiedBy/>
  <dcterms:modified xsi:type="dcterms:W3CDTF">2023-07-07T15:29:08Z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