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olor w:val="156082" w:themeColor="accent1"/>
          <w:sz w:val="24"/>
          <w:lang w:val="en-US" w:eastAsia="en-US"/>
        </w:rPr>
        <w:id w:val="-1094777792"/>
        <w:docPartObj>
          <w:docPartGallery w:val="Cover Pages"/>
          <w:docPartUnique/>
        </w:docPartObj>
      </w:sdtPr>
      <w:sdtEndPr>
        <w:rPr>
          <w:rFonts w:cs="Times New Roman"/>
          <w:color w:val="auto"/>
          <w:szCs w:val="24"/>
        </w:rPr>
      </w:sdtEndPr>
      <w:sdtContent>
        <w:p w14:paraId="05647A00" w14:textId="7CA25296" w:rsidR="002D2F9D" w:rsidRDefault="002D2F9D">
          <w:pPr>
            <w:pStyle w:val="NoSpacing"/>
            <w:spacing w:before="1540" w:after="240"/>
            <w:jc w:val="center"/>
            <w:rPr>
              <w:color w:val="156082" w:themeColor="accent1"/>
            </w:rPr>
          </w:pPr>
          <w:r>
            <w:rPr>
              <w:noProof/>
              <w:color w:val="156082" w:themeColor="accent1"/>
            </w:rPr>
            <w:drawing>
              <wp:inline distT="0" distB="0" distL="0" distR="0" wp14:anchorId="684FCD52" wp14:editId="5884BCD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FE27D1E" w14:textId="77777777" w:rsidR="00A463BF" w:rsidRPr="00012E07" w:rsidRDefault="00F82E1B">
          <w:pPr>
            <w:pStyle w:val="NoSpacing"/>
            <w:jc w:val="center"/>
            <w:rPr>
              <w:rFonts w:ascii="Algerian" w:hAnsi="Algerian"/>
              <w:color w:val="80340D" w:themeColor="accent2" w:themeShade="80"/>
              <w:sz w:val="36"/>
              <w:szCs w:val="36"/>
            </w:rPr>
          </w:pPr>
          <w:r w:rsidRPr="00012E07">
            <w:rPr>
              <w:rFonts w:ascii="Algerian" w:hAnsi="Algerian"/>
              <w:color w:val="80340D" w:themeColor="accent2" w:themeShade="80"/>
              <w:sz w:val="36"/>
              <w:szCs w:val="36"/>
            </w:rPr>
            <w:t>Foreign Languages and Cultural Awareness (BMIH5003)</w:t>
          </w:r>
        </w:p>
        <w:p w14:paraId="40BCD112" w14:textId="317ACD86" w:rsidR="002D2F9D" w:rsidRPr="00012E07" w:rsidRDefault="00000000">
          <w:pPr>
            <w:pStyle w:val="NoSpacing"/>
            <w:jc w:val="center"/>
            <w:rPr>
              <w:rFonts w:ascii="Algerian" w:hAnsi="Algerian"/>
              <w:color w:val="80340D" w:themeColor="accent2" w:themeShade="80"/>
              <w:sz w:val="44"/>
              <w:szCs w:val="44"/>
            </w:rPr>
          </w:pPr>
          <w:sdt>
            <w:sdtPr>
              <w:rPr>
                <w:rFonts w:ascii="Algerian" w:hAnsi="Algerian" w:cs="Times New Roman"/>
                <w:color w:val="80340D" w:themeColor="accent2" w:themeShade="80"/>
                <w:sz w:val="36"/>
                <w:szCs w:val="36"/>
              </w:rPr>
              <w:alias w:val="Subtitle"/>
              <w:tag w:val=""/>
              <w:id w:val="328029620"/>
              <w:placeholder>
                <w:docPart w:val="2C47601E5884462CBF0E89CDF993F632"/>
              </w:placeholder>
              <w:dataBinding w:prefixMappings="xmlns:ns0='http://purl.org/dc/elements/1.1/' xmlns:ns1='http://schemas.openxmlformats.org/package/2006/metadata/core-properties' " w:xpath="/ns1:coreProperties[1]/ns0:subject[1]" w:storeItemID="{6C3C8BC8-F283-45AE-878A-BAB7291924A1}"/>
              <w:text/>
            </w:sdtPr>
            <w:sdtContent>
              <w:r w:rsidR="00F82E1B" w:rsidRPr="00012E07">
                <w:rPr>
                  <w:rFonts w:ascii="Algerian" w:hAnsi="Algerian" w:cs="Times New Roman"/>
                  <w:color w:val="80340D" w:themeColor="accent2" w:themeShade="80"/>
                  <w:sz w:val="36"/>
                  <w:szCs w:val="36"/>
                </w:rPr>
                <w:t xml:space="preserve">Portfolio </w:t>
              </w:r>
              <w:r w:rsidR="00113E94">
                <w:rPr>
                  <w:rFonts w:ascii="Algerian" w:hAnsi="Algerian" w:cs="Times New Roman"/>
                  <w:color w:val="80340D" w:themeColor="accent2" w:themeShade="80"/>
                  <w:sz w:val="36"/>
                  <w:szCs w:val="36"/>
                </w:rPr>
                <w:t>four</w:t>
              </w:r>
              <w:r w:rsidR="00F82E1B" w:rsidRPr="00012E07">
                <w:rPr>
                  <w:rFonts w:ascii="Algerian" w:hAnsi="Algerian" w:cs="Times New Roman"/>
                  <w:color w:val="80340D" w:themeColor="accent2" w:themeShade="80"/>
                  <w:sz w:val="36"/>
                  <w:szCs w:val="36"/>
                </w:rPr>
                <w:t xml:space="preserve"> components</w:t>
              </w:r>
            </w:sdtContent>
          </w:sdt>
        </w:p>
        <w:p w14:paraId="26AD7AE1" w14:textId="2DC0B228" w:rsidR="002D2F9D" w:rsidRPr="00012E07" w:rsidRDefault="002D2F9D">
          <w:pPr>
            <w:pStyle w:val="NoSpacing"/>
            <w:spacing w:before="480"/>
            <w:jc w:val="center"/>
            <w:rPr>
              <w:color w:val="80340D" w:themeColor="accent2" w:themeShade="80"/>
            </w:rPr>
          </w:pPr>
          <w:r w:rsidRPr="00012E07">
            <w:rPr>
              <w:noProof/>
              <w:color w:val="80340D" w:themeColor="accent2" w:themeShade="80"/>
            </w:rPr>
            <w:drawing>
              <wp:inline distT="0" distB="0" distL="0" distR="0" wp14:anchorId="5A03CA02" wp14:editId="0730154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1CAC8D" w14:textId="547F85F7" w:rsidR="002D2F9D" w:rsidRDefault="0067127A">
          <w:pPr>
            <w:spacing w:line="278" w:lineRule="auto"/>
            <w:rPr>
              <w:rFonts w:cs="Times New Roman"/>
              <w:szCs w:val="24"/>
            </w:rPr>
          </w:pPr>
          <w:r>
            <w:rPr>
              <w:noProof/>
              <w:color w:val="156082" w:themeColor="accent1"/>
            </w:rPr>
            <mc:AlternateContent>
              <mc:Choice Requires="wps">
                <w:drawing>
                  <wp:anchor distT="0" distB="0" distL="114300" distR="114300" simplePos="0" relativeHeight="251659264" behindDoc="0" locked="0" layoutInCell="1" allowOverlap="1" wp14:anchorId="774DA68C" wp14:editId="29021FF9">
                    <wp:simplePos x="0" y="0"/>
                    <wp:positionH relativeFrom="margin">
                      <wp:align>left</wp:align>
                    </wp:positionH>
                    <wp:positionV relativeFrom="page">
                      <wp:posOffset>8324850</wp:posOffset>
                    </wp:positionV>
                    <wp:extent cx="9144000" cy="958215"/>
                    <wp:effectExtent l="0" t="0" r="0" b="13335"/>
                    <wp:wrapNone/>
                    <wp:docPr id="142" name="Text Box 44"/>
                    <wp:cNvGraphicFramePr/>
                    <a:graphic xmlns:a="http://schemas.openxmlformats.org/drawingml/2006/main">
                      <a:graphicData uri="http://schemas.microsoft.com/office/word/2010/wordprocessingShape">
                        <wps:wsp>
                          <wps:cNvSpPr txBox="1"/>
                          <wps:spPr>
                            <a:xfrm>
                              <a:off x="0" y="0"/>
                              <a:ext cx="9144000" cy="958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olor w:val="80340D" w:themeColor="accent2" w:themeShade="80"/>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AA1588F" w14:textId="698A1483" w:rsidR="002D2F9D" w:rsidRPr="00012E07" w:rsidRDefault="0060236A">
                                    <w:pPr>
                                      <w:pStyle w:val="NoSpacing"/>
                                      <w:spacing w:after="40"/>
                                      <w:jc w:val="center"/>
                                      <w:rPr>
                                        <w:rFonts w:ascii="Algerian" w:hAnsi="Algerian"/>
                                        <w:caps/>
                                        <w:color w:val="80340D" w:themeColor="accent2" w:themeShade="80"/>
                                        <w:sz w:val="28"/>
                                        <w:szCs w:val="28"/>
                                      </w:rPr>
                                    </w:pPr>
                                    <w:r w:rsidRPr="00012E07">
                                      <w:rPr>
                                        <w:rFonts w:ascii="Algerian" w:hAnsi="Algerian"/>
                                        <w:color w:val="80340D" w:themeColor="accent2" w:themeShade="80"/>
                                        <w:sz w:val="28"/>
                                        <w:szCs w:val="28"/>
                                      </w:rPr>
                                      <w:t xml:space="preserve">Giulia </w:t>
                                    </w:r>
                                    <w:proofErr w:type="spellStart"/>
                                    <w:r w:rsidRPr="00012E07">
                                      <w:rPr>
                                        <w:rFonts w:ascii="Algerian" w:hAnsi="Algerian"/>
                                        <w:color w:val="80340D" w:themeColor="accent2" w:themeShade="80"/>
                                        <w:sz w:val="28"/>
                                        <w:szCs w:val="28"/>
                                      </w:rPr>
                                      <w:t>Chifari</w:t>
                                    </w:r>
                                    <w:proofErr w:type="spellEnd"/>
                                  </w:p>
                                </w:sdtContent>
                              </w:sdt>
                              <w:p w14:paraId="1ACF6794" w14:textId="6B718D75" w:rsidR="002D2F9D" w:rsidRPr="00012E07" w:rsidRDefault="00000000">
                                <w:pPr>
                                  <w:pStyle w:val="NoSpacing"/>
                                  <w:jc w:val="center"/>
                                  <w:rPr>
                                    <w:rFonts w:ascii="Algerian" w:hAnsi="Algerian"/>
                                    <w:color w:val="80340D" w:themeColor="accent2" w:themeShade="80"/>
                                    <w:sz w:val="28"/>
                                    <w:szCs w:val="28"/>
                                  </w:rPr>
                                </w:pPr>
                                <w:sdt>
                                  <w:sdtPr>
                                    <w:rPr>
                                      <w:rFonts w:ascii="Algerian" w:hAnsi="Algerian"/>
                                      <w:caps/>
                                      <w:color w:val="80340D" w:themeColor="accent2" w:themeShade="8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D3C7C" w:rsidRPr="00012E07">
                                      <w:rPr>
                                        <w:rFonts w:ascii="Algerian" w:hAnsi="Algerian"/>
                                        <w:caps/>
                                        <w:color w:val="80340D" w:themeColor="accent2" w:themeShade="80"/>
                                        <w:sz w:val="28"/>
                                        <w:szCs w:val="28"/>
                                      </w:rPr>
                                      <w:t>Azeb Atsebha (2234854)</w:t>
                                    </w:r>
                                  </w:sdtContent>
                                </w:sdt>
                              </w:p>
                              <w:p w14:paraId="21C55589" w14:textId="2C3F47FD" w:rsidR="002D2F9D" w:rsidRPr="007673DE" w:rsidRDefault="00000000">
                                <w:pPr>
                                  <w:pStyle w:val="NoSpacing"/>
                                  <w:jc w:val="center"/>
                                  <w:rPr>
                                    <w:rFonts w:ascii="Algerian" w:hAnsi="Algerian"/>
                                    <w:color w:val="002060"/>
                                    <w:sz w:val="28"/>
                                    <w:szCs w:val="28"/>
                                  </w:rPr>
                                </w:pPr>
                                <w:sdt>
                                  <w:sdtPr>
                                    <w:rPr>
                                      <w:rFonts w:ascii="Algerian" w:hAnsi="Algerian"/>
                                      <w:color w:val="80340D" w:themeColor="accent2" w:themeShade="8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61356D">
                                      <w:rPr>
                                        <w:rFonts w:ascii="Algerian" w:hAnsi="Algerian"/>
                                        <w:color w:val="80340D" w:themeColor="accent2" w:themeShade="80"/>
                                        <w:sz w:val="28"/>
                                        <w:szCs w:val="28"/>
                                      </w:rPr>
                                      <w:t>17</w:t>
                                    </w:r>
                                    <w:r w:rsidR="00CD6E15" w:rsidRPr="00012E07">
                                      <w:rPr>
                                        <w:rFonts w:ascii="Algerian" w:hAnsi="Algerian"/>
                                        <w:color w:val="80340D" w:themeColor="accent2" w:themeShade="80"/>
                                        <w:sz w:val="28"/>
                                        <w:szCs w:val="28"/>
                                      </w:rPr>
                                      <w:t>/05/2024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4DA68C" id="_x0000_t202" coordsize="21600,21600" o:spt="202" path="m,l,21600r21600,l21600,xe">
                    <v:stroke joinstyle="miter"/>
                    <v:path gradientshapeok="t" o:connecttype="rect"/>
                  </v:shapetype>
                  <v:shape id="Text Box 44" o:spid="_x0000_s1026" type="#_x0000_t202" style="position:absolute;margin-left:0;margin-top:655.5pt;width:10in;height:75.4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joTXwIAAC0FAAAOAAAAZHJzL2Uyb0RvYy54bWysVE1v2zAMvQ/YfxB0X+1kTdEGcYosRYcB&#10;QVu0HXpWZCkxJosapcTOfv0o2U6KbpcOu8i0+Pj1SGp23daG7RX6CmzBR2c5Z8pKKCu7Kfj359tP&#10;l5z5IGwpDFhV8IPy/Hr+8cOscVM1hi2YUiEjJ9ZPG1fwbQhummVeblUt/Bk4ZUmpAWsR6Bc3WYmi&#10;Ie+1ycZ5fpE1gKVDkMp7ur3plHye/GutZLjX2qvATMEpt5BOTOc6ntl8JqYbFG5byT4N8Q9Z1KKy&#10;FPTo6kYEwXZY/eGqriSCBx3OJNQZaF1JlWqgakb5m2qetsKpVAuR492RJv//3Mq7/ZN7QBbaL9BS&#10;AyMhjfNTT5exnlZjHb+UKSM9UXg40qbawCRdXo3Oz/OcVJJ0V5PL8WgS3WQna4c+fFVQsygUHKkt&#10;iS2xX/nQQQdIDGbhtjImtcZY1hT84vMkTwZHDTk3NmJVanLv5pR5ksLBqIgx9lFpVpWpgHiRxkst&#10;DbK9oMEQUiobUu3JL6EjSlMS7zHs8aes3mPc1TFEBhuOxnVlAVP1b9Iufwwp6w5PnL+qO4qhXbd9&#10;R9dQHqjRCN0OeCdvK+rGSvjwIJCGnhpIixzu6dAGiHXoJc62gL/+dh/xNIuk5ayhJSq4/7kTqDgz&#10;3yxNady4QcBBWA+C3dVLIPpH9EQ4mUQywGAGUSPUL7TfixiFVMJKilXw9SAuQ7fK9D5ItVgkEO2V&#10;E2Fln5yMrmM34mw9ty8CXT+AgUb3Dob1EtM3c9hho6WFxS6ArtKQRkI7FnuiaSfTmPfvR1z61/8J&#10;dXrl5r8BAAD//wMAUEsDBBQABgAIAAAAIQAb4qTd3wAAAAsBAAAPAAAAZHJzL2Rvd25yZXYueG1s&#10;TI9LT8MwEITvSPwHa5G4Uce0RBDiVIgKISQOtDzOTrIkUeN1FDuP8uvZnOA2u7Oa/SbdzrYVI/a+&#10;caRBrSIQSIUrG6o0fLw/Xd2C8MFQaVpHqOGEHrbZ+VlqktJNtMfxECrBIeQTo6EOoUuk9EWN1viV&#10;65DY+3a9NYHHvpJlbyYOt628jqJYWtMQf6hNh481FsfDYDW8/eSf8evXcJp2L7txj8fn4Uattb68&#10;mB/uQQScw98xLPiMDhkz5W6g0otWAxcJvF0rxWrxN5uIVb6oWN2BzFL5v0P2CwAA//8DAFBLAQIt&#10;ABQABgAIAAAAIQC2gziS/gAAAOEBAAATAAAAAAAAAAAAAAAAAAAAAABbQ29udGVudF9UeXBlc10u&#10;eG1sUEsBAi0AFAAGAAgAAAAhADj9If/WAAAAlAEAAAsAAAAAAAAAAAAAAAAALwEAAF9yZWxzLy5y&#10;ZWxzUEsBAi0AFAAGAAgAAAAhALbiOhNfAgAALQUAAA4AAAAAAAAAAAAAAAAALgIAAGRycy9lMm9E&#10;b2MueG1sUEsBAi0AFAAGAAgAAAAhABvipN3fAAAACwEAAA8AAAAAAAAAAAAAAAAAuQQAAGRycy9k&#10;b3ducmV2LnhtbFBLBQYAAAAABAAEAPMAAADFBQAAAAA=&#10;" filled="f" stroked="f" strokeweight=".5pt">
                    <v:textbox inset="0,0,0,0">
                      <w:txbxContent>
                        <w:sdt>
                          <w:sdtPr>
                            <w:rPr>
                              <w:rFonts w:ascii="Algerian" w:hAnsi="Algerian"/>
                              <w:color w:val="80340D" w:themeColor="accent2" w:themeShade="80"/>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AA1588F" w14:textId="698A1483" w:rsidR="002D2F9D" w:rsidRPr="00012E07" w:rsidRDefault="0060236A">
                              <w:pPr>
                                <w:pStyle w:val="NoSpacing"/>
                                <w:spacing w:after="40"/>
                                <w:jc w:val="center"/>
                                <w:rPr>
                                  <w:rFonts w:ascii="Algerian" w:hAnsi="Algerian"/>
                                  <w:caps/>
                                  <w:color w:val="80340D" w:themeColor="accent2" w:themeShade="80"/>
                                  <w:sz w:val="28"/>
                                  <w:szCs w:val="28"/>
                                </w:rPr>
                              </w:pPr>
                              <w:r w:rsidRPr="00012E07">
                                <w:rPr>
                                  <w:rFonts w:ascii="Algerian" w:hAnsi="Algerian"/>
                                  <w:color w:val="80340D" w:themeColor="accent2" w:themeShade="80"/>
                                  <w:sz w:val="28"/>
                                  <w:szCs w:val="28"/>
                                </w:rPr>
                                <w:t xml:space="preserve">Giulia </w:t>
                              </w:r>
                              <w:proofErr w:type="spellStart"/>
                              <w:r w:rsidRPr="00012E07">
                                <w:rPr>
                                  <w:rFonts w:ascii="Algerian" w:hAnsi="Algerian"/>
                                  <w:color w:val="80340D" w:themeColor="accent2" w:themeShade="80"/>
                                  <w:sz w:val="28"/>
                                  <w:szCs w:val="28"/>
                                </w:rPr>
                                <w:t>Chifari</w:t>
                              </w:r>
                              <w:proofErr w:type="spellEnd"/>
                            </w:p>
                          </w:sdtContent>
                        </w:sdt>
                        <w:p w14:paraId="1ACF6794" w14:textId="6B718D75" w:rsidR="002D2F9D" w:rsidRPr="00012E07" w:rsidRDefault="00000000">
                          <w:pPr>
                            <w:pStyle w:val="NoSpacing"/>
                            <w:jc w:val="center"/>
                            <w:rPr>
                              <w:rFonts w:ascii="Algerian" w:hAnsi="Algerian"/>
                              <w:color w:val="80340D" w:themeColor="accent2" w:themeShade="80"/>
                              <w:sz w:val="28"/>
                              <w:szCs w:val="28"/>
                            </w:rPr>
                          </w:pPr>
                          <w:sdt>
                            <w:sdtPr>
                              <w:rPr>
                                <w:rFonts w:ascii="Algerian" w:hAnsi="Algerian"/>
                                <w:caps/>
                                <w:color w:val="80340D" w:themeColor="accent2" w:themeShade="8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D3C7C" w:rsidRPr="00012E07">
                                <w:rPr>
                                  <w:rFonts w:ascii="Algerian" w:hAnsi="Algerian"/>
                                  <w:caps/>
                                  <w:color w:val="80340D" w:themeColor="accent2" w:themeShade="80"/>
                                  <w:sz w:val="28"/>
                                  <w:szCs w:val="28"/>
                                </w:rPr>
                                <w:t>Azeb Atsebha (2234854)</w:t>
                              </w:r>
                            </w:sdtContent>
                          </w:sdt>
                        </w:p>
                        <w:p w14:paraId="21C55589" w14:textId="2C3F47FD" w:rsidR="002D2F9D" w:rsidRPr="007673DE" w:rsidRDefault="00000000">
                          <w:pPr>
                            <w:pStyle w:val="NoSpacing"/>
                            <w:jc w:val="center"/>
                            <w:rPr>
                              <w:rFonts w:ascii="Algerian" w:hAnsi="Algerian"/>
                              <w:color w:val="002060"/>
                              <w:sz w:val="28"/>
                              <w:szCs w:val="28"/>
                            </w:rPr>
                          </w:pPr>
                          <w:sdt>
                            <w:sdtPr>
                              <w:rPr>
                                <w:rFonts w:ascii="Algerian" w:hAnsi="Algerian"/>
                                <w:color w:val="80340D" w:themeColor="accent2" w:themeShade="8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61356D">
                                <w:rPr>
                                  <w:rFonts w:ascii="Algerian" w:hAnsi="Algerian"/>
                                  <w:color w:val="80340D" w:themeColor="accent2" w:themeShade="80"/>
                                  <w:sz w:val="28"/>
                                  <w:szCs w:val="28"/>
                                </w:rPr>
                                <w:t>17</w:t>
                              </w:r>
                              <w:r w:rsidR="00CD6E15" w:rsidRPr="00012E07">
                                <w:rPr>
                                  <w:rFonts w:ascii="Algerian" w:hAnsi="Algerian"/>
                                  <w:color w:val="80340D" w:themeColor="accent2" w:themeShade="80"/>
                                  <w:sz w:val="28"/>
                                  <w:szCs w:val="28"/>
                                </w:rPr>
                                <w:t>/05/2024</w:t>
                              </w:r>
                            </w:sdtContent>
                          </w:sdt>
                        </w:p>
                      </w:txbxContent>
                    </v:textbox>
                    <w10:wrap anchorx="margin" anchory="page"/>
                  </v:shape>
                </w:pict>
              </mc:Fallback>
            </mc:AlternateContent>
          </w:r>
          <w:r w:rsidR="002D2F9D">
            <w:rPr>
              <w:rFonts w:cs="Times New Roman"/>
              <w:szCs w:val="24"/>
            </w:rPr>
            <w:br w:type="page"/>
          </w:r>
        </w:p>
      </w:sdtContent>
    </w:sdt>
    <w:p w14:paraId="0E7B782E" w14:textId="77777777" w:rsidR="006408FD" w:rsidRPr="00702D7D" w:rsidRDefault="006408FD" w:rsidP="00702D7D">
      <w:pPr>
        <w:pStyle w:val="NormalWeb"/>
        <w:spacing w:line="360" w:lineRule="auto"/>
      </w:pPr>
      <w:r w:rsidRPr="00702D7D">
        <w:rPr>
          <w:rStyle w:val="Strong"/>
          <w:rFonts w:eastAsiaTheme="majorEastAsia"/>
        </w:rPr>
        <w:lastRenderedPageBreak/>
        <w:t>Enhancing Cultural Competence and Communication in Hospitality</w:t>
      </w:r>
    </w:p>
    <w:p w14:paraId="31BE452B" w14:textId="77777777" w:rsidR="006408FD" w:rsidRPr="00702D7D" w:rsidRDefault="006408FD" w:rsidP="00702D7D">
      <w:pPr>
        <w:pStyle w:val="NormalWeb"/>
        <w:spacing w:line="360" w:lineRule="auto"/>
      </w:pPr>
      <w:r w:rsidRPr="00702D7D">
        <w:rPr>
          <w:rStyle w:val="Strong"/>
          <w:rFonts w:eastAsiaTheme="majorEastAsia"/>
        </w:rPr>
        <w:t>Component 1: Professional Reflection</w:t>
      </w:r>
    </w:p>
    <w:p w14:paraId="6B704EE5" w14:textId="564691B1" w:rsidR="006408FD" w:rsidRPr="00702D7D" w:rsidRDefault="00BF53BB" w:rsidP="00702D7D">
      <w:pPr>
        <w:pStyle w:val="NormalWeb"/>
        <w:spacing w:line="360" w:lineRule="auto"/>
      </w:pPr>
      <w:r>
        <w:t xml:space="preserve">My culture clash during one of my first breakfast services at the Morgan Hotel Swansea was a humbling experience. It </w:t>
      </w:r>
      <w:r w:rsidR="008B4CAE">
        <w:t>brought to light the challenges that language barriers and solid local accents can pose in the hospitality industry. This incident occurred during my placement at Morgan Hotel, a foreign place. The guest, who spoke with a strong Welsh accent, asked for what I thought was a "rabbit." However, I was used to hearing plenty of mention of meat in Ethiopian dishes, of which I was familiar and thought nothing. The guest ordered "rarebit," a traditional Welsh dish with toast smothered with a savoury cheese sauce. The linguistic confusion revealed a gap in my cultural and culinary knowledge and led to me serving the wrong dish to a vegetarian guest. This episode underscored the profound impact of linguistic subtleties on service quality and guest satisfaction. In his theory of linguistic relativity of 1956, Whorf postulates that language determines our perception of the world, so in this scenario, there is a mistake in service (Ali, 2023, p. 10). This incident has spurred me to develop a keen understanding of local dialects and culinary terminology, not just for my professional growth but also out of empathy towards the guest to ensure their experience is always exceptional. It's a journey of personal growth and learning that I'm inspired to share with you.</w:t>
      </w:r>
    </w:p>
    <w:p w14:paraId="4E8FA3F2" w14:textId="79394B4D" w:rsidR="006408FD" w:rsidRPr="00702D7D" w:rsidRDefault="006408FD" w:rsidP="00702D7D">
      <w:pPr>
        <w:pStyle w:val="NormalWeb"/>
        <w:spacing w:line="360" w:lineRule="auto"/>
      </w:pPr>
      <w:r w:rsidRPr="00702D7D">
        <w:t xml:space="preserve">The incident I experienced </w:t>
      </w:r>
      <w:r w:rsidR="005E083E">
        <w:t>is</w:t>
      </w:r>
      <w:r w:rsidR="003F738C">
        <w:t xml:space="preserve"> a stark reminder of the potential consequences of cultural misunderstandings in the hospitality industry. These misunderstandings can arise when people from different backgrounds interact without a shared understanding of each other's contexts and the linguistic cues that come with that (Christiansen et al., 2020). In my case, it was a mixture of not knowing the Welsh accent and local dishes, along with the assumption from my cultural background that meat is common in many dishes. This situation confused the guests and could potentially deteriorate the guest experience, compromising hotel service quality (</w:t>
      </w:r>
      <w:proofErr w:type="spellStart"/>
      <w:r w:rsidR="003F738C">
        <w:t>Jhaiyanuntana</w:t>
      </w:r>
      <w:proofErr w:type="spellEnd"/>
      <w:r w:rsidR="003F738C">
        <w:t xml:space="preserve"> &amp; </w:t>
      </w:r>
      <w:proofErr w:type="spellStart"/>
      <w:r w:rsidR="003F738C">
        <w:t>Nomnian</w:t>
      </w:r>
      <w:proofErr w:type="spellEnd"/>
      <w:r w:rsidR="003F738C">
        <w:t>, 2020</w:t>
      </w:r>
      <w:r w:rsidR="005E083E">
        <w:t>,</w:t>
      </w:r>
      <w:r w:rsidR="003F738C">
        <w:t xml:space="preserve"> p. 206). This incident exemplifies Hall's theory of high-context versus low-context cultures, where misunderstandings can flourish when a high-context communication style, in this case relying heavily on implicit cues, familiar in Welsh culture, meets a low-context style which is more explicit, common in Ethiopian culture (Broeder, 2021). Such an intercultural communication barrier led to a service mishap and underscored the need for profound cultural </w:t>
      </w:r>
      <w:r w:rsidR="003F738C">
        <w:lastRenderedPageBreak/>
        <w:t xml:space="preserve">competence in </w:t>
      </w:r>
      <w:r w:rsidR="005E083E">
        <w:t>globalised</w:t>
      </w:r>
      <w:r w:rsidR="003F738C">
        <w:t xml:space="preserve"> service settings like hospitality. It is not just a skill but a necessity for ensuring the highest service quality and guest satisfaction.</w:t>
      </w:r>
      <w:r w:rsidR="0073637D">
        <w:t xml:space="preserve"> The urgency of this need is what I want to convey to you.</w:t>
      </w:r>
    </w:p>
    <w:p w14:paraId="77916562" w14:textId="7BDDE25B" w:rsidR="006408FD" w:rsidRPr="00702D7D" w:rsidRDefault="006408FD" w:rsidP="00702D7D">
      <w:pPr>
        <w:pStyle w:val="NormalWeb"/>
        <w:spacing w:line="360" w:lineRule="auto"/>
      </w:pPr>
      <w:r w:rsidRPr="00702D7D">
        <w:t>After reflecting on the incident, I </w:t>
      </w:r>
      <w:r w:rsidR="00466F2F">
        <w:t>realised</w:t>
      </w:r>
      <w:r w:rsidRPr="00702D7D">
        <w:t xml:space="preserve"> that improving skills to avoid these misunderstandings needs to be developed quickly. Abramson and Moran (2018) suggest that linguistic proficiency, including vocabulary breadth and accent comprehension, forms the cornerstone of effective intercultural interaction. Engaging in targeted accent recognition and linguistic training could bridge the cultural gap, enabling me to interpret better and fulfil guest requests accurately. According to Hoff (2020</w:t>
      </w:r>
      <w:r w:rsidR="00685820">
        <w:t>, p</w:t>
      </w:r>
      <w:r w:rsidR="008820C5">
        <w:t>.</w:t>
      </w:r>
      <w:r w:rsidRPr="00702D7D">
        <w:t>57), this aligns with Byram's model of intercultural communicative competence, which advocates for developing skills like linguistic competence as essential for navigating culturally diverse environments effectively.</w:t>
      </w:r>
    </w:p>
    <w:p w14:paraId="1FEB6514" w14:textId="77777777" w:rsidR="006408FD" w:rsidRPr="00702D7D" w:rsidRDefault="006408FD" w:rsidP="00702D7D">
      <w:pPr>
        <w:pStyle w:val="NormalWeb"/>
        <w:spacing w:line="360" w:lineRule="auto"/>
      </w:pPr>
      <w:r w:rsidRPr="00702D7D">
        <w:t>Another vital skill to develop is active listening and adopting the habit of confirming orders with guests. Active listening practice will enable me to distinguish accents and local dialects, which will help me identify clients' orders more accurately (Doyle &amp; Kelliher, 2023). By practising order confirmation, I can also apply the transactional communication model, where feedback is vital in preventing misunderstandings (Li et al., 2021). This approach ensures clarity and enhances guest satisfaction by making each interaction more interactive and attentive.</w:t>
      </w:r>
    </w:p>
    <w:p w14:paraId="24916923" w14:textId="77777777" w:rsidR="006408FD" w:rsidRPr="00702D7D" w:rsidRDefault="006408FD" w:rsidP="00702D7D">
      <w:pPr>
        <w:pStyle w:val="NormalWeb"/>
        <w:spacing w:line="360" w:lineRule="auto"/>
      </w:pPr>
      <w:r w:rsidRPr="00702D7D">
        <w:rPr>
          <w:rStyle w:val="Strong"/>
          <w:rFonts w:eastAsiaTheme="majorEastAsia"/>
        </w:rPr>
        <w:t>Component 2: Staff Training Plan for Morgan Hotel Swansea</w:t>
      </w:r>
    </w:p>
    <w:p w14:paraId="797B3861" w14:textId="08CA02BC" w:rsidR="006408FD" w:rsidRPr="00702D7D" w:rsidRDefault="006408FD" w:rsidP="00702D7D">
      <w:pPr>
        <w:pStyle w:val="NormalWeb"/>
        <w:spacing w:line="360" w:lineRule="auto"/>
      </w:pPr>
      <w:r w:rsidRPr="00702D7D">
        <w:t xml:space="preserve">Objective: Develop the skills and knowledge of the staff at Morgan Hotel Swansea to manage and prevent cultural </w:t>
      </w:r>
      <w:r w:rsidR="00047D58">
        <w:t>misunderstandings, ensuring an exceptional guest experience</w:t>
      </w:r>
      <w:r w:rsidRPr="00702D7D">
        <w:t xml:space="preserve"> and excellence in service. </w:t>
      </w:r>
    </w:p>
    <w:p w14:paraId="072EEB2F" w14:textId="77777777" w:rsidR="006408FD" w:rsidRPr="00702D7D" w:rsidRDefault="006408FD" w:rsidP="00702D7D">
      <w:pPr>
        <w:pStyle w:val="NormalWeb"/>
        <w:spacing w:line="360" w:lineRule="auto"/>
      </w:pPr>
      <w:r w:rsidRPr="00702D7D">
        <w:rPr>
          <w:rStyle w:val="Emphasis"/>
          <w:rFonts w:eastAsiaTheme="majorEastAsia"/>
        </w:rPr>
        <w:t>Implementation Strategy</w:t>
      </w:r>
    </w:p>
    <w:p w14:paraId="2E012CFD" w14:textId="77777777" w:rsidR="006408FD" w:rsidRPr="00702D7D" w:rsidRDefault="006408FD" w:rsidP="00702D7D">
      <w:pPr>
        <w:pStyle w:val="NormalWeb"/>
        <w:spacing w:line="360" w:lineRule="auto"/>
      </w:pPr>
      <w:r w:rsidRPr="00702D7D">
        <w:rPr>
          <w:rStyle w:val="Emphasis"/>
          <w:rFonts w:eastAsiaTheme="majorEastAsia"/>
          <w:b/>
          <w:bCs/>
        </w:rPr>
        <w:t>Initial Comprehensive Workshop</w:t>
      </w:r>
    </w:p>
    <w:p w14:paraId="7E27A140" w14:textId="77777777" w:rsidR="006408FD" w:rsidRPr="00702D7D" w:rsidRDefault="006408FD" w:rsidP="00702D7D">
      <w:pPr>
        <w:pStyle w:val="NormalWeb"/>
        <w:spacing w:line="360" w:lineRule="auto"/>
      </w:pPr>
      <w:r w:rsidRPr="00702D7D">
        <w:t xml:space="preserve">The training program will commence with a full-staff workshop designed to elevate cultural sensitivity and refine communication skills within the hospitality setting (Christiansen et al., 2020, p. 8). By dissecting the "Welsh rarebit" misunderstanding, this session aims to illuminate </w:t>
      </w:r>
      <w:r w:rsidRPr="00702D7D">
        <w:lastRenderedPageBreak/>
        <w:t>how minor linguistic misinterpretations can escalate into significant service failures. Applying the principles of effective communication by Adler and Elmhorst (2006), the workshop uses role-play exercises to identify skills and adapt to diverse linguistic cues proactively. This approach will help avoid repeating such incidents and build staff who can manage and appreciate cultural diversity.</w:t>
      </w:r>
    </w:p>
    <w:p w14:paraId="51620F0F" w14:textId="77777777" w:rsidR="006408FD" w:rsidRPr="00702D7D" w:rsidRDefault="006408FD" w:rsidP="00702D7D">
      <w:pPr>
        <w:pStyle w:val="NormalWeb"/>
        <w:spacing w:line="360" w:lineRule="auto"/>
      </w:pPr>
      <w:r w:rsidRPr="00702D7D">
        <w:rPr>
          <w:rStyle w:val="Emphasis"/>
          <w:rFonts w:eastAsiaTheme="majorEastAsia"/>
          <w:b/>
          <w:bCs/>
        </w:rPr>
        <w:t>Interactive Language and Accent Workshops</w:t>
      </w:r>
    </w:p>
    <w:p w14:paraId="39E88133" w14:textId="77777777" w:rsidR="006408FD" w:rsidRPr="00702D7D" w:rsidRDefault="006408FD" w:rsidP="00702D7D">
      <w:pPr>
        <w:pStyle w:val="NormalWeb"/>
        <w:spacing w:line="360" w:lineRule="auto"/>
      </w:pPr>
      <w:r w:rsidRPr="00702D7D">
        <w:t xml:space="preserve">This will be done bi-monthly through awareness and understanding workshops to understand better Britain's various accents, particularly the Welsh accent. The program also involves listening exercises conducted with the recordings of native speakers to develop phonetic familiarity and comprehension of the accent, which goes in line with the </w:t>
      </w:r>
      <w:proofErr w:type="spellStart"/>
      <w:r w:rsidRPr="00702D7D">
        <w:t>Gumperz</w:t>
      </w:r>
      <w:proofErr w:type="spellEnd"/>
      <w:r w:rsidRPr="00702D7D">
        <w:t xml:space="preserve"> theory of linguistic relativity, which posits that the language structure determines the worldview and perception of the speaker (Pae, 2020, p. 38). These workshops will involve transcription exercises and integrate feedback sessions to reinforce learning and adjust linguistic perceptions, ensuring staff can accurately interpret guest communications. </w:t>
      </w:r>
    </w:p>
    <w:p w14:paraId="27B157B2" w14:textId="77777777" w:rsidR="006408FD" w:rsidRPr="00702D7D" w:rsidRDefault="006408FD" w:rsidP="00702D7D">
      <w:pPr>
        <w:pStyle w:val="NormalWeb"/>
        <w:spacing w:line="360" w:lineRule="auto"/>
      </w:pPr>
      <w:r w:rsidRPr="00702D7D">
        <w:rPr>
          <w:rStyle w:val="Emphasis"/>
          <w:rFonts w:eastAsiaTheme="majorEastAsia"/>
          <w:b/>
          <w:bCs/>
        </w:rPr>
        <w:t>Cultural Awareness Sessions</w:t>
      </w:r>
    </w:p>
    <w:p w14:paraId="597E1D28" w14:textId="77777777" w:rsidR="006408FD" w:rsidRPr="00702D7D" w:rsidRDefault="006408FD" w:rsidP="00702D7D">
      <w:pPr>
        <w:pStyle w:val="NormalWeb"/>
        <w:spacing w:line="360" w:lineRule="auto"/>
      </w:pPr>
      <w:r w:rsidRPr="00702D7D">
        <w:t>These will be done quarterly, and they will major in Welsh culture. The sessions will focus mainly on culinary terminology and customer expectations (Womack et al., 2020). They will be done in a classroom and multimedia format, using the most famous Welsh dishes served at the hotel with the dishes' ingredients and how they are pronounced.</w:t>
      </w:r>
    </w:p>
    <w:p w14:paraId="56316B09" w14:textId="77777777" w:rsidR="006408FD" w:rsidRPr="00702D7D" w:rsidRDefault="006408FD" w:rsidP="00702D7D">
      <w:pPr>
        <w:pStyle w:val="NormalWeb"/>
        <w:spacing w:line="360" w:lineRule="auto"/>
      </w:pPr>
      <w:r w:rsidRPr="00702D7D">
        <w:rPr>
          <w:rStyle w:val="Emphasis"/>
          <w:rFonts w:eastAsiaTheme="majorEastAsia"/>
          <w:b/>
          <w:bCs/>
        </w:rPr>
        <w:t>Role-playing and active listening simulations</w:t>
      </w:r>
    </w:p>
    <w:p w14:paraId="40E41A80" w14:textId="4D0F562C" w:rsidR="006408FD" w:rsidRPr="00702D7D" w:rsidRDefault="006408FD" w:rsidP="00702D7D">
      <w:pPr>
        <w:pStyle w:val="NormalWeb"/>
        <w:spacing w:line="360" w:lineRule="auto"/>
      </w:pPr>
      <w:r w:rsidRPr="00702D7D">
        <w:t>Once a month, role-playing cases will simulate complex guest interactions. Each of these will be audio recorded, and then we will review them together, providing suggestions for improving listening, such as asking clarifying questions to ensure comprehension (</w:t>
      </w:r>
      <w:proofErr w:type="spellStart"/>
      <w:r w:rsidRPr="00702D7D">
        <w:t>Jhaiyanuntana</w:t>
      </w:r>
      <w:proofErr w:type="spellEnd"/>
      <w:r w:rsidRPr="00702D7D">
        <w:t xml:space="preserve"> &amp; </w:t>
      </w:r>
      <w:proofErr w:type="spellStart"/>
      <w:r w:rsidRPr="00702D7D">
        <w:t>Nomnian</w:t>
      </w:r>
      <w:proofErr w:type="spellEnd"/>
      <w:r w:rsidRPr="00702D7D">
        <w:t xml:space="preserve">, 2020, p. 233). These simulations are audio-recorded to facilitate reflective learning, as advocated by Schön's reflective practice theory, which </w:t>
      </w:r>
      <w:r w:rsidR="003F738C">
        <w:t>emphasises</w:t>
      </w:r>
      <w:r w:rsidRPr="00702D7D">
        <w:t xml:space="preserve"> learning from direct experiences (Hunt, 2021, p. 34). During reviews, we discuss and critique the interactions, </w:t>
      </w:r>
      <w:r w:rsidRPr="00702D7D">
        <w:lastRenderedPageBreak/>
        <w:t>focusing on strategies such as the deployment of clarifying questions to enhance understanding and prevent potential miscommunications. </w:t>
      </w:r>
    </w:p>
    <w:p w14:paraId="09D97F5D" w14:textId="77777777" w:rsidR="006408FD" w:rsidRPr="00702D7D" w:rsidRDefault="006408FD" w:rsidP="00702D7D">
      <w:pPr>
        <w:pStyle w:val="NormalWeb"/>
        <w:spacing w:line="360" w:lineRule="auto"/>
      </w:pPr>
      <w:r w:rsidRPr="00702D7D">
        <w:rPr>
          <w:rStyle w:val="Emphasis"/>
          <w:rFonts w:eastAsiaTheme="majorEastAsia"/>
          <w:b/>
          <w:bCs/>
        </w:rPr>
        <w:t>On-the-Job Training</w:t>
      </w:r>
    </w:p>
    <w:p w14:paraId="77F7C49C" w14:textId="77777777" w:rsidR="006408FD" w:rsidRPr="00702D7D" w:rsidRDefault="006408FD" w:rsidP="00702D7D">
      <w:pPr>
        <w:pStyle w:val="NormalWeb"/>
        <w:spacing w:line="360" w:lineRule="auto"/>
      </w:pPr>
      <w:r w:rsidRPr="00702D7D">
        <w:t>There will be frequent on-the-job training sessions, where the newly learned skills become part of regular daily routines. Senior staff or trainers will put together improvised role-playing challenges during actual service times to see how the staff handles real-time stress and fundamental guest interactions.</w:t>
      </w:r>
    </w:p>
    <w:p w14:paraId="773E8CDB" w14:textId="77777777" w:rsidR="006408FD" w:rsidRPr="00702D7D" w:rsidRDefault="006408FD" w:rsidP="00702D7D">
      <w:pPr>
        <w:pStyle w:val="NormalWeb"/>
        <w:spacing w:line="360" w:lineRule="auto"/>
      </w:pPr>
      <w:r w:rsidRPr="00702D7D">
        <w:rPr>
          <w:rStyle w:val="Emphasis"/>
          <w:rFonts w:eastAsiaTheme="majorEastAsia"/>
          <w:b/>
          <w:bCs/>
        </w:rPr>
        <w:t>Continuous Improvement of Language</w:t>
      </w:r>
    </w:p>
    <w:p w14:paraId="35AE94E3" w14:textId="77777777" w:rsidR="006408FD" w:rsidRPr="00702D7D" w:rsidRDefault="006408FD" w:rsidP="00702D7D">
      <w:pPr>
        <w:pStyle w:val="NormalWeb"/>
        <w:spacing w:line="360" w:lineRule="auto"/>
      </w:pPr>
      <w:r w:rsidRPr="00702D7D">
        <w:t>Employees will be encouraged to take occasional online language refresher courses. The courses will focus on vocabulary enrichment, accent recognition, and helpful phraseology they can use daily at the hotel. Progress will be measured through reviews at the time of testing.</w:t>
      </w:r>
    </w:p>
    <w:p w14:paraId="05928E87" w14:textId="77777777" w:rsidR="006408FD" w:rsidRPr="00702D7D" w:rsidRDefault="006408FD" w:rsidP="00702D7D">
      <w:pPr>
        <w:pStyle w:val="NormalWeb"/>
        <w:spacing w:line="360" w:lineRule="auto"/>
      </w:pPr>
      <w:r w:rsidRPr="00702D7D">
        <w:t>Monitoring and Evaluation</w:t>
      </w:r>
    </w:p>
    <w:p w14:paraId="62727E26" w14:textId="6A0D64D0" w:rsidR="006408FD" w:rsidRPr="00702D7D" w:rsidRDefault="006408FD" w:rsidP="00702D7D">
      <w:pPr>
        <w:pStyle w:val="NormalWeb"/>
        <w:spacing w:line="360" w:lineRule="auto"/>
      </w:pPr>
      <w:r w:rsidRPr="00702D7D">
        <w:t>We will employ a multifaceted approach to monitor and evaluate the effectiveness of our training program at Morgan Hotel Swansea. Surveys on communication and cultural sensitivity will be administered post-visit to get firsthand feedback on the effectiveness of the training from the customers themselves (</w:t>
      </w:r>
      <w:proofErr w:type="spellStart"/>
      <w:r w:rsidRPr="00702D7D">
        <w:t>Bigne</w:t>
      </w:r>
      <w:proofErr w:type="spellEnd"/>
      <w:r w:rsidRPr="00702D7D">
        <w:t xml:space="preserve"> et al.</w:t>
      </w:r>
      <w:r w:rsidR="001952AF">
        <w:t>,</w:t>
      </w:r>
      <w:r w:rsidRPr="00702D7D">
        <w:t xml:space="preserve"> 2024</w:t>
      </w:r>
      <w:r w:rsidR="001952AF">
        <w:t>, p.</w:t>
      </w:r>
      <w:r w:rsidRPr="00702D7D">
        <w:t xml:space="preserve">3). Staff performance will be reviewed occasionally to assess </w:t>
      </w:r>
      <w:r w:rsidR="001952AF">
        <w:t>language and cultural awareness improvement</w:t>
      </w:r>
      <w:r w:rsidRPr="00702D7D">
        <w:t>. As Hofstede et al. (2010) explain, such reviews will point out the staff members who need additional support and whose excellently done work can be used for peer training. Additionally, the incident reports will help keep track of the frequency and nature of misunderstandings or complaints resulting from communication. A quarterly meeting with the training team and the hotel management will reassess all collected data and feedback to sharpen the training program (</w:t>
      </w:r>
      <w:proofErr w:type="spellStart"/>
      <w:r w:rsidRPr="00702D7D">
        <w:t>Deresky</w:t>
      </w:r>
      <w:proofErr w:type="spellEnd"/>
      <w:r w:rsidRPr="00702D7D">
        <w:t>, 2017). </w:t>
      </w:r>
    </w:p>
    <w:p w14:paraId="5D5E5EFB" w14:textId="77777777" w:rsidR="006408FD" w:rsidRPr="00702D7D" w:rsidRDefault="006408FD" w:rsidP="00702D7D">
      <w:pPr>
        <w:pStyle w:val="NormalWeb"/>
        <w:spacing w:line="360" w:lineRule="auto"/>
      </w:pPr>
      <w:r w:rsidRPr="00702D7D">
        <w:rPr>
          <w:rStyle w:val="Strong"/>
          <w:rFonts w:eastAsiaTheme="majorEastAsia"/>
        </w:rPr>
        <w:t>Component 3 - Student Self-Reflection </w:t>
      </w:r>
    </w:p>
    <w:p w14:paraId="086EA199" w14:textId="690596CF" w:rsidR="006408FD" w:rsidRPr="00702D7D" w:rsidRDefault="006408FD" w:rsidP="00702D7D">
      <w:pPr>
        <w:pStyle w:val="NormalWeb"/>
        <w:spacing w:line="360" w:lineRule="auto"/>
      </w:pPr>
      <w:r w:rsidRPr="00702D7D">
        <w:t xml:space="preserve">I will use Gibbs' Reflective Cycle to reflect on the importance of cultural awareness in the hospitality industry, as explained by </w:t>
      </w:r>
      <w:proofErr w:type="spellStart"/>
      <w:r w:rsidRPr="00702D7D">
        <w:t>Adeani</w:t>
      </w:r>
      <w:proofErr w:type="spellEnd"/>
      <w:r w:rsidRPr="00702D7D">
        <w:t xml:space="preserve"> et al. (2020</w:t>
      </w:r>
      <w:r w:rsidR="008D7A7B">
        <w:t xml:space="preserve">, </w:t>
      </w:r>
      <w:r w:rsidR="005E083E">
        <w:t>p.</w:t>
      </w:r>
      <w:r w:rsidRPr="00702D7D">
        <w:t xml:space="preserve"> 2). The model works on the specifics </w:t>
      </w:r>
      <w:r w:rsidRPr="00702D7D">
        <w:lastRenderedPageBreak/>
        <w:t xml:space="preserve">of experiences and allows me to </w:t>
      </w:r>
      <w:r w:rsidR="003F738C">
        <w:t>analyse</w:t>
      </w:r>
      <w:r w:rsidRPr="00702D7D">
        <w:t xml:space="preserve"> my learning process through the description, feelings, evaluation, analysis, conclusion, and action plan.</w:t>
      </w:r>
    </w:p>
    <w:p w14:paraId="173A18F7" w14:textId="71239F43" w:rsidR="006408FD" w:rsidRPr="00702D7D" w:rsidRDefault="006408FD" w:rsidP="00702D7D">
      <w:pPr>
        <w:pStyle w:val="NormalWeb"/>
        <w:spacing w:line="360" w:lineRule="auto"/>
      </w:pPr>
      <w:r w:rsidRPr="00702D7D">
        <w:rPr>
          <w:rStyle w:val="Strong"/>
          <w:rFonts w:eastAsiaTheme="majorEastAsia"/>
        </w:rPr>
        <w:t>Description:</w:t>
      </w:r>
      <w:r w:rsidRPr="00702D7D">
        <w:t xml:space="preserve"> My wish to perform my duty well and sufficiently was my major issue when I initially stepped into Morgan Hotel Swansea. As a native of Ethiopia, I never took into serious consideration the fact that I was not well-versed in the Welsh culture and language. However, the incident early in my attachment changed my perspective dramatically. This reflective process, guided by Gibbs' Reflective Cycle, allows me to </w:t>
      </w:r>
      <w:r w:rsidR="007E5B1D">
        <w:t>scrutinise</w:t>
      </w:r>
      <w:r w:rsidRPr="00702D7D">
        <w:t xml:space="preserve"> the implications of cultural awareness in my professional development. Through this reflective analysis, I </w:t>
      </w:r>
      <w:r w:rsidR="007E5B1D">
        <w:t>realise</w:t>
      </w:r>
      <w:r w:rsidRPr="00702D7D">
        <w:t xml:space="preserve"> the necessity of integrating comprehensive cultural competence as a cornerstone of effective hospitality management, as posited by Hofstede (1984), who </w:t>
      </w:r>
      <w:r w:rsidR="007E5B1D">
        <w:t>emphasises</w:t>
      </w:r>
      <w:r w:rsidRPr="00702D7D">
        <w:t xml:space="preserve"> the influence of cultural dimensions on workplace dynamics.</w:t>
      </w:r>
    </w:p>
    <w:p w14:paraId="2ADC7FEB" w14:textId="29C6F11D" w:rsidR="006408FD" w:rsidRPr="00702D7D" w:rsidRDefault="006408FD" w:rsidP="00702D7D">
      <w:pPr>
        <w:pStyle w:val="NormalWeb"/>
        <w:spacing w:line="360" w:lineRule="auto"/>
      </w:pPr>
      <w:r w:rsidRPr="007E5B1D">
        <w:rPr>
          <w:b/>
          <w:bCs/>
        </w:rPr>
        <w:t>Feelings</w:t>
      </w:r>
      <w:r w:rsidRPr="00702D7D">
        <w:t xml:space="preserve">: I was embarrassed by the incident and, for a minute, </w:t>
      </w:r>
      <w:r w:rsidR="007E5B1D">
        <w:t>demoralised</w:t>
      </w:r>
      <w:r w:rsidRPr="00702D7D">
        <w:t xml:space="preserve"> (Zlatko &amp; Maciej, 2020). My role was to understand the guests and serve them right, and I had failed at this moment. In this experience, I learned how vital understanding and knowing somebody's culture is to communication and effective service delivery in the hospitality industry, according to Johnson (2019</w:t>
      </w:r>
      <w:r w:rsidR="0055586D">
        <w:t xml:space="preserve">, </w:t>
      </w:r>
      <w:r w:rsidR="002C1147">
        <w:t xml:space="preserve">p. </w:t>
      </w:r>
      <w:r w:rsidRPr="00702D7D">
        <w:t>5).</w:t>
      </w:r>
    </w:p>
    <w:p w14:paraId="68241915" w14:textId="6B864662" w:rsidR="006408FD" w:rsidRPr="00702D7D" w:rsidRDefault="006408FD" w:rsidP="00702D7D">
      <w:pPr>
        <w:pStyle w:val="NormalWeb"/>
        <w:spacing w:line="360" w:lineRule="auto"/>
      </w:pPr>
      <w:r w:rsidRPr="00702D7D">
        <w:rPr>
          <w:rStyle w:val="Strong"/>
          <w:rFonts w:eastAsiaTheme="majorEastAsia"/>
        </w:rPr>
        <w:t>Reflection:</w:t>
      </w:r>
      <w:r w:rsidRPr="00702D7D">
        <w:t> Reflecting on the situation, I </w:t>
      </w:r>
      <w:r w:rsidR="007E5B1D">
        <w:t>realised</w:t>
      </w:r>
      <w:r w:rsidRPr="00702D7D">
        <w:t xml:space="preserve"> that misinterpretation was far beyond the shortcomings of a foreign language and was a sign of cultural integration deficiency on my part. The situation underscored Geert Hofstede's cultural dimensions theory, particularly the dimension of 'Individualism vs. Collectivism.' My background </w:t>
      </w:r>
      <w:r w:rsidR="00796A8F">
        <w:t xml:space="preserve">is </w:t>
      </w:r>
      <w:r w:rsidRPr="00702D7D">
        <w:t xml:space="preserve">from a collectivist society (Ethiopia), where community and shared understanding are </w:t>
      </w:r>
      <w:r w:rsidR="007919A4">
        <w:t>emphasised</w:t>
      </w:r>
      <w:r w:rsidRPr="00702D7D">
        <w:t>, clashed with the individualistic communication style prevalent in the U.K. (Jackson, 2020</w:t>
      </w:r>
      <w:r w:rsidR="00796A8F">
        <w:t>, p.</w:t>
      </w:r>
      <w:r w:rsidRPr="00702D7D">
        <w:t xml:space="preserve"> 6). This reflection reveals that in a setting as culturally layered as a hotel, every interaction is imbued with cultural nuances that can profoundly influence guest satisfaction. </w:t>
      </w:r>
    </w:p>
    <w:p w14:paraId="4BE33C1B" w14:textId="30C928DE" w:rsidR="006408FD" w:rsidRPr="00702D7D" w:rsidRDefault="006408FD" w:rsidP="00702D7D">
      <w:pPr>
        <w:pStyle w:val="NormalWeb"/>
        <w:spacing w:line="360" w:lineRule="auto"/>
      </w:pPr>
      <w:r w:rsidRPr="007919A4">
        <w:rPr>
          <w:b/>
          <w:bCs/>
        </w:rPr>
        <w:t>Analysis</w:t>
      </w:r>
      <w:r w:rsidRPr="00702D7D">
        <w:t xml:space="preserve">: I have </w:t>
      </w:r>
      <w:r w:rsidR="007919A4">
        <w:t>realised</w:t>
      </w:r>
      <w:r w:rsidRPr="00702D7D">
        <w:t xml:space="preserve"> that cultural awareness in hospitality extends beyond the languages and embodies an appreciation of cultural expressions, dietary predilections, and service expectations (Doyle &amp; Kelliher, 2023). The gap in my knowledge has affected the service delivery and my confidence in interacting with guests. Research by Doyle and Kelliher (2023</w:t>
      </w:r>
      <w:r w:rsidR="008C07AB">
        <w:t>, p.</w:t>
      </w:r>
      <w:r w:rsidRPr="00702D7D">
        <w:t xml:space="preserve">4) has </w:t>
      </w:r>
      <w:r w:rsidRPr="00702D7D">
        <w:lastRenderedPageBreak/>
        <w:t>revealed that cultural misunderstandings can adversely affect guest satisfaction and the reputation of a hospitality business.</w:t>
      </w:r>
    </w:p>
    <w:p w14:paraId="6785ACDA" w14:textId="77777777" w:rsidR="006408FD" w:rsidRPr="00702D7D" w:rsidRDefault="006408FD" w:rsidP="00702D7D">
      <w:pPr>
        <w:pStyle w:val="NormalWeb"/>
        <w:spacing w:line="360" w:lineRule="auto"/>
      </w:pPr>
      <w:r w:rsidRPr="00702D7D">
        <w:rPr>
          <w:rStyle w:val="Strong"/>
          <w:rFonts w:eastAsiaTheme="majorEastAsia"/>
        </w:rPr>
        <w:t>Conclusion:</w:t>
      </w:r>
      <w:r w:rsidRPr="00702D7D">
        <w:t> Considerable cultural education and language training are continuously required in the hospitality business. Operational competence is insufficient; cultural competence has an added dimension (Christiansen et al., 2020). Such understanding has redefined how I see my responsibilities, necessitating proactive learning and involvement with cultural education programs.</w:t>
      </w:r>
    </w:p>
    <w:p w14:paraId="0E450742" w14:textId="77777777" w:rsidR="006408FD" w:rsidRPr="00702D7D" w:rsidRDefault="006408FD" w:rsidP="00702D7D">
      <w:pPr>
        <w:pStyle w:val="NormalWeb"/>
        <w:spacing w:line="360" w:lineRule="auto"/>
      </w:pPr>
      <w:r w:rsidRPr="00702D7D">
        <w:rPr>
          <w:rStyle w:val="Strong"/>
          <w:rFonts w:eastAsiaTheme="majorEastAsia"/>
        </w:rPr>
        <w:t>Action Plan:</w:t>
      </w:r>
      <w:r w:rsidRPr="00702D7D">
        <w:t xml:space="preserve"> As a result, I must now include regular participation in cultural sensitivity training sessions offered at the hotel on my agenda. In addition, I will take it upon myself to learn more about local culture and language subtleties by interacting much more with my colleagues and guests. Further, as </w:t>
      </w:r>
      <w:proofErr w:type="spellStart"/>
      <w:r w:rsidRPr="00702D7D">
        <w:t>Deresky</w:t>
      </w:r>
      <w:proofErr w:type="spellEnd"/>
      <w:r w:rsidRPr="00702D7D">
        <w:t xml:space="preserve"> (2017) stated, subscriptions to online resources and participation in community events will continuously enhance my cultural fluency.</w:t>
      </w:r>
    </w:p>
    <w:p w14:paraId="09341D36" w14:textId="7D3B4D70" w:rsidR="006408FD" w:rsidRDefault="006408FD" w:rsidP="00702D7D">
      <w:pPr>
        <w:pStyle w:val="NormalWeb"/>
        <w:spacing w:line="360" w:lineRule="auto"/>
      </w:pPr>
      <w:r w:rsidRPr="00702D7D">
        <w:t xml:space="preserve">In conclusion, reflection on this experience underlines how vital awareness of cultures is within hospitality. To outshine this global industry, guests must feel understood and valued. This cultural competence journey is more than avoiding misunderstandings; it involves enriching the guest experience, </w:t>
      </w:r>
      <w:r w:rsidR="00B056FA">
        <w:t>realising</w:t>
      </w:r>
      <w:r w:rsidRPr="00702D7D">
        <w:t xml:space="preserve"> positive interactions, and building a reputation for excellence and inclusivity.</w:t>
      </w:r>
    </w:p>
    <w:p w14:paraId="50929054" w14:textId="77777777" w:rsidR="00F3479B" w:rsidRDefault="00F3479B" w:rsidP="00702D7D">
      <w:pPr>
        <w:pStyle w:val="NormalWeb"/>
        <w:spacing w:line="360" w:lineRule="auto"/>
      </w:pPr>
    </w:p>
    <w:p w14:paraId="2063FFDB" w14:textId="77777777" w:rsidR="00F3479B" w:rsidRDefault="00F3479B" w:rsidP="00702D7D">
      <w:pPr>
        <w:pStyle w:val="NormalWeb"/>
        <w:spacing w:line="360" w:lineRule="auto"/>
      </w:pPr>
    </w:p>
    <w:p w14:paraId="406923F1" w14:textId="77777777" w:rsidR="00F3479B" w:rsidRDefault="00F3479B" w:rsidP="00702D7D">
      <w:pPr>
        <w:pStyle w:val="NormalWeb"/>
        <w:spacing w:line="360" w:lineRule="auto"/>
      </w:pPr>
    </w:p>
    <w:p w14:paraId="0C3B634D" w14:textId="77777777" w:rsidR="00F3479B" w:rsidRDefault="00F3479B" w:rsidP="00702D7D">
      <w:pPr>
        <w:pStyle w:val="NormalWeb"/>
        <w:spacing w:line="360" w:lineRule="auto"/>
      </w:pPr>
    </w:p>
    <w:p w14:paraId="5B9AF27C" w14:textId="77777777" w:rsidR="00F3479B" w:rsidRDefault="00F3479B" w:rsidP="00702D7D">
      <w:pPr>
        <w:pStyle w:val="NormalWeb"/>
        <w:spacing w:line="360" w:lineRule="auto"/>
      </w:pPr>
    </w:p>
    <w:p w14:paraId="7E5F9838" w14:textId="77777777" w:rsidR="00F3479B" w:rsidRDefault="00F3479B" w:rsidP="00702D7D">
      <w:pPr>
        <w:pStyle w:val="NormalWeb"/>
        <w:spacing w:line="360" w:lineRule="auto"/>
      </w:pPr>
    </w:p>
    <w:p w14:paraId="5521E04B" w14:textId="77777777" w:rsidR="00F3479B" w:rsidRDefault="00F3479B" w:rsidP="00702D7D">
      <w:pPr>
        <w:pStyle w:val="NormalWeb"/>
        <w:spacing w:line="360" w:lineRule="auto"/>
      </w:pPr>
    </w:p>
    <w:p w14:paraId="000DFA59" w14:textId="77777777" w:rsidR="00F3479B" w:rsidRDefault="00F3479B" w:rsidP="00702D7D">
      <w:pPr>
        <w:pStyle w:val="NormalWeb"/>
        <w:spacing w:line="360" w:lineRule="auto"/>
      </w:pPr>
    </w:p>
    <w:p w14:paraId="35B8AC65" w14:textId="77777777" w:rsidR="00F3479B" w:rsidRDefault="00F3479B" w:rsidP="00702D7D">
      <w:pPr>
        <w:pStyle w:val="NormalWeb"/>
        <w:spacing w:line="360" w:lineRule="auto"/>
      </w:pPr>
    </w:p>
    <w:p w14:paraId="75BA1F0C" w14:textId="77777777" w:rsidR="00F3479B" w:rsidRPr="00702D7D" w:rsidRDefault="00F3479B" w:rsidP="00702D7D">
      <w:pPr>
        <w:pStyle w:val="NormalWeb"/>
        <w:spacing w:line="360" w:lineRule="auto"/>
      </w:pPr>
    </w:p>
    <w:p w14:paraId="2F5156DE" w14:textId="77777777" w:rsidR="006408FD" w:rsidRPr="00702D7D" w:rsidRDefault="006408FD" w:rsidP="00702D7D">
      <w:pPr>
        <w:pStyle w:val="NormalWeb"/>
        <w:spacing w:line="360" w:lineRule="auto"/>
      </w:pPr>
      <w:r w:rsidRPr="00702D7D">
        <w:rPr>
          <w:rStyle w:val="Strong"/>
          <w:rFonts w:eastAsiaTheme="majorEastAsia"/>
        </w:rPr>
        <w:t>Reference List</w:t>
      </w:r>
    </w:p>
    <w:p w14:paraId="5E7E499B" w14:textId="77777777" w:rsidR="006408FD" w:rsidRPr="00702D7D" w:rsidRDefault="006408FD" w:rsidP="00702D7D">
      <w:pPr>
        <w:pStyle w:val="NormalWeb"/>
        <w:spacing w:line="360" w:lineRule="auto"/>
      </w:pPr>
      <w:r w:rsidRPr="00702D7D">
        <w:t>Abramson, N.R. &amp; Moran, R.T. (2018). '</w:t>
      </w:r>
      <w:r w:rsidRPr="00702D7D">
        <w:rPr>
          <w:rStyle w:val="Emphasis"/>
          <w:rFonts w:eastAsiaTheme="majorEastAsia"/>
        </w:rPr>
        <w:t>Managing Cultural Differences: Global Leadership for the 21st Century</w:t>
      </w:r>
      <w:r w:rsidRPr="00702D7D">
        <w:t>', 10th ed. Amazon.com. Abingdon: Routledge. Available at: </w:t>
      </w:r>
      <w:hyperlink r:id="rId9" w:tgtFrame="_blank" w:history="1">
        <w:r w:rsidRPr="00702D7D">
          <w:rPr>
            <w:rStyle w:val="Hyperlink"/>
            <w:rFonts w:eastAsiaTheme="majorEastAsia"/>
          </w:rPr>
          <w:t>https://www.amazon.com/Managing-Cultural-Differences-Leadership-Century/dp/1138223689</w:t>
        </w:r>
      </w:hyperlink>
      <w:r w:rsidRPr="00702D7D">
        <w:t> (Accessed 29 April 2024).</w:t>
      </w:r>
    </w:p>
    <w:p w14:paraId="2DDA99AC" w14:textId="77777777" w:rsidR="006408FD" w:rsidRPr="00702D7D" w:rsidRDefault="006408FD" w:rsidP="00702D7D">
      <w:pPr>
        <w:pStyle w:val="NormalWeb"/>
        <w:spacing w:line="360" w:lineRule="auto"/>
      </w:pPr>
      <w:proofErr w:type="spellStart"/>
      <w:r w:rsidRPr="00702D7D">
        <w:t>Adeani</w:t>
      </w:r>
      <w:proofErr w:type="spellEnd"/>
      <w:r w:rsidRPr="00702D7D">
        <w:t xml:space="preserve">, I.S., </w:t>
      </w:r>
      <w:proofErr w:type="spellStart"/>
      <w:r w:rsidRPr="00702D7D">
        <w:t>Febriani</w:t>
      </w:r>
      <w:proofErr w:type="spellEnd"/>
      <w:r w:rsidRPr="00702D7D">
        <w:t xml:space="preserve">, R.B. and </w:t>
      </w:r>
      <w:proofErr w:type="spellStart"/>
      <w:r w:rsidRPr="00702D7D">
        <w:t>Syafryadin</w:t>
      </w:r>
      <w:proofErr w:type="spellEnd"/>
      <w:r w:rsidRPr="00702D7D">
        <w:t>, S. (2020). 'Using Gibbs' Reflective Cycle in Making Reflections of Literary Analysis,' </w:t>
      </w:r>
      <w:r w:rsidRPr="00702D7D">
        <w:rPr>
          <w:rStyle w:val="Emphasis"/>
          <w:rFonts w:eastAsiaTheme="majorEastAsia"/>
        </w:rPr>
        <w:t>Indonesian EFL Journal</w:t>
      </w:r>
      <w:r w:rsidRPr="00702D7D">
        <w:t>, 6(2). </w:t>
      </w:r>
      <w:hyperlink r:id="rId10" w:tgtFrame="_blank" w:history="1">
        <w:r w:rsidRPr="00702D7D">
          <w:rPr>
            <w:rStyle w:val="Hyperlink"/>
            <w:rFonts w:eastAsiaTheme="majorEastAsia"/>
          </w:rPr>
          <w:t>http://dx.doi.org/10.25134/ieflj.v6i2.3382</w:t>
        </w:r>
      </w:hyperlink>
      <w:r w:rsidRPr="00702D7D">
        <w:t>. </w:t>
      </w:r>
    </w:p>
    <w:p w14:paraId="36463792" w14:textId="1B52FE6A" w:rsidR="006408FD" w:rsidRPr="00702D7D" w:rsidRDefault="006408FD" w:rsidP="00702D7D">
      <w:pPr>
        <w:pStyle w:val="NormalWeb"/>
        <w:spacing w:line="360" w:lineRule="auto"/>
      </w:pPr>
      <w:r w:rsidRPr="00702D7D">
        <w:t>Adler, R &amp; Elmhorst, JM (2006). </w:t>
      </w:r>
      <w:r w:rsidRPr="00702D7D">
        <w:rPr>
          <w:rStyle w:val="Emphasis"/>
          <w:rFonts w:eastAsiaTheme="majorEastAsia"/>
        </w:rPr>
        <w:t>Communicating at Work: Principles and Practices for Business and the Professions</w:t>
      </w:r>
      <w:r w:rsidRPr="00702D7D">
        <w:t>, </w:t>
      </w:r>
      <w:r w:rsidRPr="00702D7D">
        <w:rPr>
          <w:rStyle w:val="Emphasis"/>
          <w:rFonts w:eastAsiaTheme="majorEastAsia"/>
        </w:rPr>
        <w:t>Amazon</w:t>
      </w:r>
      <w:r w:rsidRPr="00702D7D">
        <w:t xml:space="preserve">, 9th edition, McGraw-Hill Professional, Boston, MA, viewed 14 May 2024, </w:t>
      </w:r>
      <w:r w:rsidR="009573AC">
        <w:t xml:space="preserve"> A</w:t>
      </w:r>
      <w:r w:rsidR="003A7A65">
        <w:t xml:space="preserve">vailable at: </w:t>
      </w:r>
      <w:hyperlink r:id="rId11" w:history="1">
        <w:r w:rsidR="003A7A65" w:rsidRPr="0044772A">
          <w:rPr>
            <w:rStyle w:val="Hyperlink"/>
          </w:rPr>
          <w:t>https://www.amazon.com.au/Communicating-Work-Principles-Practices-Professions/dp/0073511889</w:t>
        </w:r>
      </w:hyperlink>
      <w:r w:rsidRPr="00702D7D">
        <w:t>.</w:t>
      </w:r>
      <w:r w:rsidR="003A7A65">
        <w:t xml:space="preserve"> (Accessed 29</w:t>
      </w:r>
      <w:r w:rsidR="0086652D">
        <w:t xml:space="preserve"> April 2024).</w:t>
      </w:r>
    </w:p>
    <w:p w14:paraId="3ECEBEF2" w14:textId="77777777" w:rsidR="006408FD" w:rsidRPr="00702D7D" w:rsidRDefault="006408FD" w:rsidP="00702D7D">
      <w:pPr>
        <w:pStyle w:val="NormalWeb"/>
        <w:spacing w:line="360" w:lineRule="auto"/>
      </w:pPr>
      <w:r w:rsidRPr="00702D7D">
        <w:t>Ali, DA (2023). 'The Power of Language: Exploring How Language Shapes Our Understanding of the World', </w:t>
      </w:r>
      <w:r w:rsidRPr="00702D7D">
        <w:rPr>
          <w:rStyle w:val="Emphasis"/>
          <w:rFonts w:eastAsiaTheme="majorEastAsia"/>
        </w:rPr>
        <w:t>Policy Research Journal</w:t>
      </w:r>
      <w:r w:rsidRPr="00702D7D">
        <w:t>, vol. 1, no. 01, pp. 9–14.</w:t>
      </w:r>
    </w:p>
    <w:p w14:paraId="1C801AC4" w14:textId="77777777" w:rsidR="006408FD" w:rsidRPr="00702D7D" w:rsidRDefault="006408FD" w:rsidP="00702D7D">
      <w:pPr>
        <w:pStyle w:val="NormalWeb"/>
        <w:spacing w:line="360" w:lineRule="auto"/>
      </w:pPr>
      <w:proofErr w:type="spellStart"/>
      <w:r w:rsidRPr="00702D7D">
        <w:t>Bigne</w:t>
      </w:r>
      <w:proofErr w:type="spellEnd"/>
      <w:r w:rsidRPr="00702D7D">
        <w:t>, E., Ruiz, C. and Curras-Perez, R. (2024). 'How consumers process online, review types in familiar versus unfamiliar destinations. A self-reported and neuroscientific study', </w:t>
      </w:r>
      <w:r w:rsidRPr="00702D7D">
        <w:rPr>
          <w:rStyle w:val="Emphasis"/>
          <w:rFonts w:eastAsiaTheme="majorEastAsia"/>
        </w:rPr>
        <w:t>Technological Forecasting and Social Change</w:t>
      </w:r>
      <w:r w:rsidRPr="00702D7D">
        <w:t>, [online] 199, p.123067. </w:t>
      </w:r>
      <w:hyperlink r:id="rId12" w:tgtFrame="_blank" w:history="1">
        <w:r w:rsidRPr="00702D7D">
          <w:rPr>
            <w:rStyle w:val="Hyperlink"/>
            <w:rFonts w:eastAsiaTheme="majorEastAsia"/>
          </w:rPr>
          <w:t>https://doi.org/10.1016/j.techfore.2023.123067</w:t>
        </w:r>
      </w:hyperlink>
      <w:r w:rsidRPr="00702D7D">
        <w:t>. </w:t>
      </w:r>
    </w:p>
    <w:p w14:paraId="798F844D" w14:textId="77777777" w:rsidR="006408FD" w:rsidRPr="00702D7D" w:rsidRDefault="006408FD" w:rsidP="00702D7D">
      <w:pPr>
        <w:pStyle w:val="NormalWeb"/>
        <w:spacing w:line="360" w:lineRule="auto"/>
      </w:pPr>
      <w:r w:rsidRPr="00702D7D">
        <w:t>Broeder, P. (2021). 'Informed Communication in High Context and Low Context Cultures,' </w:t>
      </w:r>
      <w:r w:rsidRPr="00702D7D">
        <w:rPr>
          <w:rStyle w:val="Emphasis"/>
          <w:rFonts w:eastAsiaTheme="majorEastAsia"/>
        </w:rPr>
        <w:t>Interdisciplinary studies in social sciences – unmasking truths while nurturing new possibilities</w:t>
      </w:r>
      <w:r w:rsidRPr="00702D7D">
        <w:t>, vol. 3, no. Issue 1.</w:t>
      </w:r>
    </w:p>
    <w:p w14:paraId="11D37988" w14:textId="77777777" w:rsidR="006408FD" w:rsidRPr="00702D7D" w:rsidRDefault="006408FD" w:rsidP="00702D7D">
      <w:pPr>
        <w:pStyle w:val="NormalWeb"/>
        <w:spacing w:line="360" w:lineRule="auto"/>
      </w:pPr>
      <w:r w:rsidRPr="00702D7D">
        <w:lastRenderedPageBreak/>
        <w:t xml:space="preserve">Christiansen, B., Branch, J.D. and </w:t>
      </w:r>
      <w:proofErr w:type="spellStart"/>
      <w:r w:rsidRPr="00702D7D">
        <w:t>Karmowska</w:t>
      </w:r>
      <w:proofErr w:type="spellEnd"/>
      <w:r w:rsidRPr="00702D7D">
        <w:t>, J. (2020). '</w:t>
      </w:r>
      <w:r w:rsidRPr="00702D7D">
        <w:rPr>
          <w:rStyle w:val="Emphasis"/>
          <w:rFonts w:eastAsiaTheme="majorEastAsia"/>
        </w:rPr>
        <w:t>Cultural Factors and Performance in 21st Century Businesses</w:t>
      </w:r>
      <w:r w:rsidRPr="00702D7D">
        <w:t>.' www.igi-global.com. IGI Global. Available at: </w:t>
      </w:r>
      <w:hyperlink r:id="rId13" w:tgtFrame="_blank" w:history="1">
        <w:r w:rsidRPr="00702D7D">
          <w:rPr>
            <w:rStyle w:val="Hyperlink"/>
            <w:rFonts w:eastAsiaTheme="majorEastAsia"/>
          </w:rPr>
          <w:t>https://www.igi-global.com/book/cultural-factors-performance-21st-century/244227</w:t>
        </w:r>
      </w:hyperlink>
      <w:r w:rsidRPr="00702D7D">
        <w:t> (Accessed 29 April 2024).</w:t>
      </w:r>
    </w:p>
    <w:p w14:paraId="78EA1E1C" w14:textId="77777777" w:rsidR="006408FD" w:rsidRPr="00702D7D" w:rsidRDefault="006408FD" w:rsidP="00702D7D">
      <w:pPr>
        <w:pStyle w:val="NormalWeb"/>
        <w:spacing w:line="360" w:lineRule="auto"/>
      </w:pPr>
      <w:proofErr w:type="spellStart"/>
      <w:r w:rsidRPr="00702D7D">
        <w:t>Deresky</w:t>
      </w:r>
      <w:proofErr w:type="spellEnd"/>
      <w:r w:rsidRPr="00702D7D">
        <w:t>, H. (2017). '</w:t>
      </w:r>
      <w:r w:rsidRPr="00702D7D">
        <w:rPr>
          <w:rStyle w:val="Emphasis"/>
          <w:rFonts w:eastAsiaTheme="majorEastAsia"/>
        </w:rPr>
        <w:t>International Management: Managing Across Borders and Cultures, Text and Cases, Global Edition</w:t>
      </w:r>
      <w:r w:rsidRPr="00702D7D">
        <w:t>,' 9th ed. Google Books. Pearson Education Limited. Available at: </w:t>
      </w:r>
      <w:hyperlink r:id="rId14" w:tgtFrame="_blank" w:history="1">
        <w:r w:rsidRPr="00702D7D">
          <w:rPr>
            <w:rStyle w:val="Hyperlink"/>
            <w:rFonts w:eastAsiaTheme="majorEastAsia"/>
          </w:rPr>
          <w:t>https://books.google.com/books/about/International_Management.html?id=rbuAjwEACAAJ</w:t>
        </w:r>
      </w:hyperlink>
      <w:r w:rsidRPr="00702D7D">
        <w:t> (Accessed 29 April 2024).</w:t>
      </w:r>
    </w:p>
    <w:p w14:paraId="489211DB" w14:textId="77777777" w:rsidR="006408FD" w:rsidRPr="00702D7D" w:rsidRDefault="006408FD" w:rsidP="00702D7D">
      <w:pPr>
        <w:pStyle w:val="NormalWeb"/>
        <w:spacing w:line="360" w:lineRule="auto"/>
      </w:pPr>
      <w:r w:rsidRPr="00702D7D">
        <w:t>Doyle, J. and Kelliher, F. (2023). 'Bringing the past to life: Co-creating tourism experiences in historic house tourist attractions,' </w:t>
      </w:r>
      <w:r w:rsidRPr="00702D7D">
        <w:rPr>
          <w:rStyle w:val="Emphasis"/>
          <w:rFonts w:eastAsiaTheme="majorEastAsia"/>
        </w:rPr>
        <w:t>Tourism Management</w:t>
      </w:r>
      <w:r w:rsidRPr="00702D7D">
        <w:t>, 94, p.104656. </w:t>
      </w:r>
      <w:hyperlink r:id="rId15" w:tgtFrame="_blank" w:history="1">
        <w:r w:rsidRPr="00702D7D">
          <w:rPr>
            <w:rStyle w:val="Hyperlink"/>
            <w:rFonts w:eastAsiaTheme="majorEastAsia"/>
          </w:rPr>
          <w:t>https://doi.org/10.1016/j.tourman.2022.104656</w:t>
        </w:r>
      </w:hyperlink>
      <w:r w:rsidRPr="00702D7D">
        <w:t>. </w:t>
      </w:r>
    </w:p>
    <w:p w14:paraId="26C3D7CD" w14:textId="77777777" w:rsidR="006408FD" w:rsidRPr="00702D7D" w:rsidRDefault="006408FD" w:rsidP="00702D7D">
      <w:pPr>
        <w:pStyle w:val="NormalWeb"/>
        <w:spacing w:line="360" w:lineRule="auto"/>
      </w:pPr>
      <w:r w:rsidRPr="00702D7D">
        <w:t>Hoff, HE (2020). 'The Evolution of Intercultural Communicative Competence: Conceptualisations, Critiques and Consequences for 21st Century Classroom Practice', </w:t>
      </w:r>
      <w:r w:rsidRPr="00702D7D">
        <w:rPr>
          <w:rStyle w:val="Emphasis"/>
          <w:rFonts w:eastAsiaTheme="majorEastAsia"/>
        </w:rPr>
        <w:t>Intercultural Communication Education</w:t>
      </w:r>
      <w:r w:rsidRPr="00702D7D">
        <w:t>, vol. 3, no. 2, pp. 55–74.</w:t>
      </w:r>
    </w:p>
    <w:p w14:paraId="423A93C3" w14:textId="77777777" w:rsidR="006408FD" w:rsidRPr="00702D7D" w:rsidRDefault="006408FD" w:rsidP="00702D7D">
      <w:pPr>
        <w:pStyle w:val="NormalWeb"/>
        <w:spacing w:line="360" w:lineRule="auto"/>
      </w:pPr>
      <w:r w:rsidRPr="00702D7D">
        <w:t xml:space="preserve">Hofstede, G., Minkov, </w:t>
      </w:r>
      <w:proofErr w:type="gramStart"/>
      <w:r w:rsidRPr="00702D7D">
        <w:t>M.</w:t>
      </w:r>
      <w:proofErr w:type="gramEnd"/>
      <w:r w:rsidRPr="00702D7D">
        <w:t xml:space="preserve"> and Hofstede, G.J. (2010). '</w:t>
      </w:r>
      <w:r w:rsidRPr="00702D7D">
        <w:rPr>
          <w:rStyle w:val="Emphasis"/>
          <w:rFonts w:eastAsiaTheme="majorEastAsia"/>
        </w:rPr>
        <w:t>Cultures and Organizations SOFTWARE OFTHE MIND Intercultural Cooperation and Its Importance for Survival,' </w:t>
      </w:r>
      <w:r w:rsidRPr="00702D7D">
        <w:t xml:space="preserve">Mc </w:t>
      </w:r>
      <w:proofErr w:type="spellStart"/>
      <w:r w:rsidRPr="00702D7D">
        <w:t>IGrauu</w:t>
      </w:r>
      <w:proofErr w:type="spellEnd"/>
      <w:r w:rsidRPr="00702D7D">
        <w:t xml:space="preserve"> </w:t>
      </w:r>
      <w:proofErr w:type="spellStart"/>
      <w:r w:rsidRPr="00702D7D">
        <w:t>JHill</w:t>
      </w:r>
      <w:proofErr w:type="spellEnd"/>
      <w:r w:rsidRPr="00702D7D">
        <w:t>. Available at: </w:t>
      </w:r>
      <w:hyperlink r:id="rId16" w:tgtFrame="_blank" w:history="1">
        <w:r w:rsidRPr="00702D7D">
          <w:rPr>
            <w:rStyle w:val="Hyperlink"/>
            <w:rFonts w:eastAsiaTheme="majorEastAsia"/>
          </w:rPr>
          <w:t>https://e-edu.nbu.bg/pluginfile.php/900222/mod_resource/content/1/G.Hofstede_G.J.Hofstede_M.Minkov%20-%20Cultures%20and%20Organizations%20-%20Software%20of%20the%20Mind%203rd_edition%202010.pdf</w:t>
        </w:r>
      </w:hyperlink>
      <w:r w:rsidRPr="00702D7D">
        <w:t> (Accessed 29 April 2024). </w:t>
      </w:r>
    </w:p>
    <w:p w14:paraId="5C4373D5" w14:textId="77777777" w:rsidR="006408FD" w:rsidRPr="00702D7D" w:rsidRDefault="006408FD" w:rsidP="00702D7D">
      <w:pPr>
        <w:pStyle w:val="NormalWeb"/>
        <w:spacing w:line="360" w:lineRule="auto"/>
      </w:pPr>
      <w:r w:rsidRPr="00702D7D">
        <w:t>Hunt, C (2021). 'Understanding Reflective Practice', </w:t>
      </w:r>
      <w:r w:rsidRPr="00702D7D">
        <w:rPr>
          <w:rStyle w:val="Emphasis"/>
          <w:rFonts w:eastAsiaTheme="majorEastAsia"/>
        </w:rPr>
        <w:t>Springer eBooks</w:t>
      </w:r>
      <w:r w:rsidRPr="00702D7D">
        <w:t>, Springer Nature, pp. 29–62.</w:t>
      </w:r>
    </w:p>
    <w:p w14:paraId="22BFA3F9" w14:textId="77777777" w:rsidR="006408FD" w:rsidRPr="00702D7D" w:rsidRDefault="006408FD" w:rsidP="00702D7D">
      <w:pPr>
        <w:pStyle w:val="NormalWeb"/>
        <w:spacing w:line="360" w:lineRule="auto"/>
      </w:pPr>
      <w:r w:rsidRPr="00702D7D">
        <w:t>Jackson, T. (2020). 'The Legacy of Geert Hofstede', </w:t>
      </w:r>
      <w:r w:rsidRPr="00702D7D">
        <w:rPr>
          <w:rStyle w:val="Emphasis"/>
          <w:rFonts w:eastAsiaTheme="majorEastAsia"/>
        </w:rPr>
        <w:t>International Journal of Cross-Cultural Management</w:t>
      </w:r>
      <w:r w:rsidRPr="00702D7D">
        <w:t>, vol. 20, no. 1, pp. 3–6.</w:t>
      </w:r>
    </w:p>
    <w:p w14:paraId="2D024905" w14:textId="77777777" w:rsidR="006408FD" w:rsidRPr="00702D7D" w:rsidRDefault="006408FD" w:rsidP="00702D7D">
      <w:pPr>
        <w:pStyle w:val="NormalWeb"/>
        <w:spacing w:line="360" w:lineRule="auto"/>
      </w:pPr>
      <w:proofErr w:type="spellStart"/>
      <w:r w:rsidRPr="00702D7D">
        <w:t>Jhaiyanuntana</w:t>
      </w:r>
      <w:proofErr w:type="spellEnd"/>
      <w:r w:rsidRPr="00702D7D">
        <w:t xml:space="preserve">, A. and </w:t>
      </w:r>
      <w:proofErr w:type="spellStart"/>
      <w:r w:rsidRPr="00702D7D">
        <w:t>Nomnian</w:t>
      </w:r>
      <w:proofErr w:type="spellEnd"/>
      <w:r w:rsidRPr="00702D7D">
        <w:t>, S. (2020). 'Intercultural Communication Challenges and Strategies for the Thai Undergraduate Hotel Interns,' </w:t>
      </w:r>
      <w:r w:rsidRPr="00702D7D">
        <w:rPr>
          <w:rStyle w:val="Emphasis"/>
          <w:rFonts w:eastAsiaTheme="majorEastAsia"/>
        </w:rPr>
        <w:t xml:space="preserve">PASAA, Journal of Language Teaching and </w:t>
      </w:r>
      <w:r w:rsidRPr="00702D7D">
        <w:rPr>
          <w:rStyle w:val="Emphasis"/>
          <w:rFonts w:eastAsiaTheme="majorEastAsia"/>
        </w:rPr>
        <w:lastRenderedPageBreak/>
        <w:t>Learning in Thailand</w:t>
      </w:r>
      <w:r w:rsidRPr="00702D7D">
        <w:t>, 59(1), pp.204–235. Available at: </w:t>
      </w:r>
      <w:hyperlink r:id="rId17" w:tgtFrame="_blank" w:history="1">
        <w:r w:rsidRPr="00702D7D">
          <w:rPr>
            <w:rStyle w:val="Hyperlink"/>
            <w:rFonts w:eastAsiaTheme="majorEastAsia"/>
          </w:rPr>
          <w:t>https://eric.ed.gov/?id=EJ1240001</w:t>
        </w:r>
      </w:hyperlink>
      <w:r w:rsidRPr="00702D7D">
        <w:t> (Accessed 29 April 2024).</w:t>
      </w:r>
    </w:p>
    <w:p w14:paraId="4BB81C2F" w14:textId="77777777" w:rsidR="006408FD" w:rsidRPr="00702D7D" w:rsidRDefault="006408FD" w:rsidP="00702D7D">
      <w:pPr>
        <w:pStyle w:val="NormalWeb"/>
        <w:spacing w:line="360" w:lineRule="auto"/>
      </w:pPr>
      <w:r w:rsidRPr="00702D7D">
        <w:t>Johnson, A.-G. (2019). 'We are not yet done exploring the hospitality workforce,' </w:t>
      </w:r>
      <w:r w:rsidRPr="00702D7D">
        <w:rPr>
          <w:rStyle w:val="Emphasis"/>
          <w:rFonts w:eastAsiaTheme="majorEastAsia"/>
        </w:rPr>
        <w:t>International Journal of Hospitality Management</w:t>
      </w:r>
      <w:r w:rsidRPr="00702D7D">
        <w:t>, 86, p.102402. </w:t>
      </w:r>
      <w:hyperlink r:id="rId18" w:tgtFrame="_blank" w:history="1">
        <w:r w:rsidRPr="00702D7D">
          <w:rPr>
            <w:rStyle w:val="Hyperlink"/>
            <w:rFonts w:eastAsiaTheme="majorEastAsia"/>
          </w:rPr>
          <w:t>https://doi.org/10.1016/j.ijhm.2019.102402</w:t>
        </w:r>
      </w:hyperlink>
      <w:r w:rsidRPr="00702D7D">
        <w:t>. </w:t>
      </w:r>
    </w:p>
    <w:p w14:paraId="711E08F8" w14:textId="77777777" w:rsidR="006408FD" w:rsidRPr="00702D7D" w:rsidRDefault="006408FD" w:rsidP="00702D7D">
      <w:pPr>
        <w:pStyle w:val="NormalWeb"/>
        <w:spacing w:line="360" w:lineRule="auto"/>
      </w:pPr>
      <w:r w:rsidRPr="00702D7D">
        <w:t>Li, J-Y, Sun, R, Tao, W &amp; Lee, Y (2021). 'Employee coping with organizational change in the face of a pandemic: The role of transparent internal communication,' </w:t>
      </w:r>
      <w:r w:rsidRPr="00702D7D">
        <w:rPr>
          <w:rStyle w:val="Emphasis"/>
          <w:rFonts w:eastAsiaTheme="majorEastAsia"/>
        </w:rPr>
        <w:t>Public Relations Review</w:t>
      </w:r>
      <w:r w:rsidRPr="00702D7D">
        <w:t>, vol. 47, no. 1, p. 101984.</w:t>
      </w:r>
    </w:p>
    <w:p w14:paraId="284B0064" w14:textId="77777777" w:rsidR="006408FD" w:rsidRPr="00702D7D" w:rsidRDefault="006408FD" w:rsidP="00702D7D">
      <w:pPr>
        <w:pStyle w:val="NormalWeb"/>
        <w:spacing w:line="360" w:lineRule="auto"/>
      </w:pPr>
      <w:r w:rsidRPr="00702D7D">
        <w:t xml:space="preserve">Ogunnaike, O.O., Agada, S.A., </w:t>
      </w:r>
      <w:proofErr w:type="spellStart"/>
      <w:r w:rsidRPr="00702D7D">
        <w:t>Ighomereho</w:t>
      </w:r>
      <w:proofErr w:type="spellEnd"/>
      <w:r w:rsidRPr="00702D7D">
        <w:t xml:space="preserve">, O.S. and </w:t>
      </w:r>
      <w:proofErr w:type="spellStart"/>
      <w:r w:rsidRPr="00702D7D">
        <w:t>Borishade</w:t>
      </w:r>
      <w:proofErr w:type="spellEnd"/>
      <w:r w:rsidRPr="00702D7D">
        <w:t>, T.T. (2022). 'Social and Cultural Experiences with Loyalty towards Hotel Services: The Mediating Role of Customer Satisfaction,' </w:t>
      </w:r>
      <w:r w:rsidRPr="00702D7D">
        <w:rPr>
          <w:rStyle w:val="Emphasis"/>
          <w:rFonts w:eastAsiaTheme="majorEastAsia"/>
        </w:rPr>
        <w:t>Sustainability</w:t>
      </w:r>
      <w:r w:rsidRPr="00702D7D">
        <w:t>, 14(14), p.8789. </w:t>
      </w:r>
      <w:hyperlink r:id="rId19" w:tgtFrame="_blank" w:history="1">
        <w:r w:rsidRPr="00702D7D">
          <w:rPr>
            <w:rStyle w:val="Hyperlink"/>
            <w:rFonts w:eastAsiaTheme="majorEastAsia"/>
          </w:rPr>
          <w:t>https://doi.org/10.3390/su14148789</w:t>
        </w:r>
      </w:hyperlink>
      <w:r w:rsidRPr="00702D7D">
        <w:t>. </w:t>
      </w:r>
    </w:p>
    <w:p w14:paraId="605ABE30" w14:textId="77777777" w:rsidR="006408FD" w:rsidRPr="00702D7D" w:rsidRDefault="006408FD" w:rsidP="00702D7D">
      <w:pPr>
        <w:pStyle w:val="NormalWeb"/>
        <w:spacing w:line="360" w:lineRule="auto"/>
      </w:pPr>
      <w:r w:rsidRPr="00702D7D">
        <w:t>Pae, H. (2020). 'From Linguistic Relativity to Script Relativity,' </w:t>
      </w:r>
      <w:r w:rsidRPr="00702D7D">
        <w:rPr>
          <w:rStyle w:val="Emphasis"/>
          <w:rFonts w:eastAsiaTheme="majorEastAsia"/>
        </w:rPr>
        <w:t>Literacy Studies</w:t>
      </w:r>
      <w:r w:rsidRPr="00702D7D">
        <w:t>, pp. 37–58.</w:t>
      </w:r>
    </w:p>
    <w:p w14:paraId="143F2AAE" w14:textId="77777777" w:rsidR="006408FD" w:rsidRPr="00702D7D" w:rsidRDefault="006408FD" w:rsidP="00702D7D">
      <w:pPr>
        <w:pStyle w:val="NormalWeb"/>
        <w:spacing w:line="360" w:lineRule="auto"/>
      </w:pPr>
      <w:r w:rsidRPr="00702D7D">
        <w:t>Womack, V.Y., Wood, C.V., House, S.C., Quinn, S.C., Thomas, S.B., McGee, R. and Byars-Winston, A. (2020). 'Culturally aware mentorship: Lasting impacts of a novel intervention on academic administrators and faculty,' </w:t>
      </w:r>
      <w:r w:rsidRPr="00702D7D">
        <w:rPr>
          <w:rStyle w:val="Emphasis"/>
          <w:rFonts w:eastAsiaTheme="majorEastAsia"/>
        </w:rPr>
        <w:t>PLOS ONE</w:t>
      </w:r>
      <w:r w:rsidRPr="00702D7D">
        <w:t>, 15(8), p.e0236983. </w:t>
      </w:r>
      <w:hyperlink r:id="rId20" w:tgtFrame="_blank" w:history="1">
        <w:r w:rsidRPr="00702D7D">
          <w:rPr>
            <w:rStyle w:val="Hyperlink"/>
            <w:rFonts w:eastAsiaTheme="majorEastAsia"/>
          </w:rPr>
          <w:t>https://doi.org/10.1371/journal.pone.0236983</w:t>
        </w:r>
      </w:hyperlink>
      <w:r w:rsidRPr="00702D7D">
        <w:t>. </w:t>
      </w:r>
    </w:p>
    <w:p w14:paraId="5655169F" w14:textId="77777777" w:rsidR="006408FD" w:rsidRDefault="006408FD" w:rsidP="00702D7D">
      <w:pPr>
        <w:pStyle w:val="NormalWeb"/>
        <w:spacing w:line="360" w:lineRule="auto"/>
      </w:pPr>
      <w:r w:rsidRPr="00702D7D">
        <w:t xml:space="preserve">Zlatko, N. and Maciej, B. (2020). 'Recent Advances in the Roles of Cultural and Personal Values in Organizational </w:t>
      </w:r>
      <w:proofErr w:type="spellStart"/>
      <w:r w:rsidRPr="00702D7D">
        <w:t>Behavior</w:t>
      </w:r>
      <w:proofErr w:type="spellEnd"/>
      <w:r w:rsidRPr="00702D7D">
        <w:t>,' In </w:t>
      </w:r>
      <w:r w:rsidRPr="00702D7D">
        <w:rPr>
          <w:rStyle w:val="Emphasis"/>
          <w:rFonts w:eastAsiaTheme="majorEastAsia"/>
        </w:rPr>
        <w:t>Advances in Human Resources Management and Organizational Development</w:t>
      </w:r>
      <w:r w:rsidRPr="00702D7D">
        <w:t>. IGI Global. Available at: </w:t>
      </w:r>
      <w:hyperlink r:id="rId21" w:tgtFrame="_blank" w:history="1">
        <w:r w:rsidRPr="00702D7D">
          <w:rPr>
            <w:rStyle w:val="Hyperlink"/>
            <w:rFonts w:eastAsiaTheme="majorEastAsia"/>
          </w:rPr>
          <w:t>https://books.google.com/books/about/Recent_Advances_in_the_Roles_of_Cultural.html?id=6q2rDwAAQBAJ</w:t>
        </w:r>
      </w:hyperlink>
      <w:r w:rsidRPr="00702D7D">
        <w:t> (Accessed 29 April 2024).</w:t>
      </w:r>
    </w:p>
    <w:p w14:paraId="3EC6176C" w14:textId="77777777" w:rsidR="00F77D40" w:rsidRDefault="00F77D40" w:rsidP="00702D7D">
      <w:pPr>
        <w:pStyle w:val="NormalWeb"/>
        <w:spacing w:line="360" w:lineRule="auto"/>
      </w:pPr>
    </w:p>
    <w:p w14:paraId="774F493B" w14:textId="77777777" w:rsidR="00F77D40" w:rsidRDefault="00F77D40" w:rsidP="00702D7D">
      <w:pPr>
        <w:pStyle w:val="NormalWeb"/>
        <w:spacing w:line="360" w:lineRule="auto"/>
      </w:pPr>
    </w:p>
    <w:p w14:paraId="5EA7B993" w14:textId="77777777" w:rsidR="00F77D40" w:rsidRDefault="00F77D40" w:rsidP="00702D7D">
      <w:pPr>
        <w:pStyle w:val="NormalWeb"/>
        <w:spacing w:line="360" w:lineRule="auto"/>
      </w:pPr>
    </w:p>
    <w:p w14:paraId="554F81F0" w14:textId="77777777" w:rsidR="00F77D40" w:rsidRDefault="00F77D40" w:rsidP="00702D7D">
      <w:pPr>
        <w:pStyle w:val="NormalWeb"/>
        <w:spacing w:line="360" w:lineRule="auto"/>
      </w:pPr>
    </w:p>
    <w:p w14:paraId="28F76304" w14:textId="77777777" w:rsidR="00F77D40" w:rsidRDefault="00F77D40" w:rsidP="00702D7D">
      <w:pPr>
        <w:pStyle w:val="NormalWeb"/>
        <w:spacing w:line="360" w:lineRule="auto"/>
      </w:pPr>
    </w:p>
    <w:p w14:paraId="17A8C4B5" w14:textId="77777777" w:rsidR="00F77D40" w:rsidRDefault="00F77D40" w:rsidP="00702D7D">
      <w:pPr>
        <w:pStyle w:val="NormalWeb"/>
        <w:spacing w:line="360" w:lineRule="auto"/>
      </w:pPr>
    </w:p>
    <w:p w14:paraId="4C84F80B" w14:textId="77777777" w:rsidR="00F77D40" w:rsidRDefault="00F77D40" w:rsidP="00702D7D">
      <w:pPr>
        <w:pStyle w:val="NormalWeb"/>
        <w:spacing w:line="360" w:lineRule="auto"/>
      </w:pPr>
    </w:p>
    <w:p w14:paraId="5BEF73C0" w14:textId="77777777" w:rsidR="00F77D40" w:rsidRDefault="00F77D40" w:rsidP="00702D7D">
      <w:pPr>
        <w:pStyle w:val="NormalWeb"/>
        <w:spacing w:line="360" w:lineRule="auto"/>
      </w:pPr>
    </w:p>
    <w:p w14:paraId="6EDDB152" w14:textId="77777777" w:rsidR="00F77D40" w:rsidRDefault="00F77D40" w:rsidP="00702D7D">
      <w:pPr>
        <w:pStyle w:val="NormalWeb"/>
        <w:spacing w:line="360" w:lineRule="auto"/>
      </w:pPr>
    </w:p>
    <w:p w14:paraId="79B08EB5" w14:textId="77777777" w:rsidR="00F77D40" w:rsidRDefault="00F77D40" w:rsidP="00702D7D">
      <w:pPr>
        <w:pStyle w:val="NormalWeb"/>
        <w:spacing w:line="360" w:lineRule="auto"/>
      </w:pPr>
    </w:p>
    <w:p w14:paraId="40E60B94" w14:textId="77777777" w:rsidR="00F77D40" w:rsidRDefault="00F77D40" w:rsidP="00702D7D">
      <w:pPr>
        <w:pStyle w:val="NormalWeb"/>
        <w:spacing w:line="360" w:lineRule="auto"/>
      </w:pPr>
    </w:p>
    <w:p w14:paraId="2BE1403F" w14:textId="77777777" w:rsidR="00F77D40" w:rsidRDefault="00F77D40" w:rsidP="00702D7D">
      <w:pPr>
        <w:pStyle w:val="NormalWeb"/>
        <w:spacing w:line="360" w:lineRule="auto"/>
      </w:pPr>
    </w:p>
    <w:p w14:paraId="3F1CCCFA" w14:textId="77777777" w:rsidR="00F77D40" w:rsidRDefault="00F77D40" w:rsidP="00702D7D">
      <w:pPr>
        <w:pStyle w:val="NormalWeb"/>
        <w:spacing w:line="360" w:lineRule="auto"/>
      </w:pPr>
    </w:p>
    <w:p w14:paraId="7AA1C8C0" w14:textId="77777777" w:rsidR="00F77D40" w:rsidRDefault="00F77D40" w:rsidP="00702D7D">
      <w:pPr>
        <w:pStyle w:val="NormalWeb"/>
        <w:spacing w:line="360" w:lineRule="auto"/>
      </w:pPr>
    </w:p>
    <w:p w14:paraId="1D194919" w14:textId="77777777" w:rsidR="00F77D40" w:rsidRDefault="00F77D40" w:rsidP="00702D7D">
      <w:pPr>
        <w:pStyle w:val="NormalWeb"/>
        <w:spacing w:line="360" w:lineRule="auto"/>
      </w:pPr>
    </w:p>
    <w:p w14:paraId="5EFA35C3" w14:textId="77777777" w:rsidR="00F77D40" w:rsidRDefault="00F77D40" w:rsidP="00702D7D">
      <w:pPr>
        <w:pStyle w:val="NormalWeb"/>
        <w:spacing w:line="360" w:lineRule="auto"/>
      </w:pPr>
    </w:p>
    <w:p w14:paraId="10D7F30E" w14:textId="77777777" w:rsidR="00F77D40" w:rsidRDefault="00F77D40" w:rsidP="00702D7D">
      <w:pPr>
        <w:pStyle w:val="NormalWeb"/>
        <w:spacing w:line="360" w:lineRule="auto"/>
      </w:pPr>
    </w:p>
    <w:p w14:paraId="42928A10" w14:textId="77777777" w:rsidR="004850CC" w:rsidRDefault="004850CC" w:rsidP="00702D7D">
      <w:pPr>
        <w:pStyle w:val="NormalWeb"/>
        <w:spacing w:line="360" w:lineRule="auto"/>
      </w:pPr>
    </w:p>
    <w:p w14:paraId="1EBD8C8C" w14:textId="77777777" w:rsidR="004850CC" w:rsidRDefault="004850CC" w:rsidP="00702D7D">
      <w:pPr>
        <w:pStyle w:val="NormalWeb"/>
        <w:spacing w:line="360" w:lineRule="auto"/>
      </w:pPr>
    </w:p>
    <w:p w14:paraId="0146E9A7" w14:textId="77777777" w:rsidR="004850CC" w:rsidRDefault="004850CC" w:rsidP="00702D7D">
      <w:pPr>
        <w:pStyle w:val="NormalWeb"/>
        <w:spacing w:line="360" w:lineRule="auto"/>
      </w:pPr>
    </w:p>
    <w:p w14:paraId="4553C640" w14:textId="77777777" w:rsidR="004850CC" w:rsidRDefault="004850CC" w:rsidP="00702D7D">
      <w:pPr>
        <w:pStyle w:val="NormalWeb"/>
        <w:spacing w:line="360" w:lineRule="auto"/>
      </w:pPr>
    </w:p>
    <w:p w14:paraId="47D0E410" w14:textId="77777777" w:rsidR="004850CC" w:rsidRDefault="004850CC" w:rsidP="00702D7D">
      <w:pPr>
        <w:pStyle w:val="NormalWeb"/>
        <w:spacing w:line="360" w:lineRule="auto"/>
      </w:pPr>
    </w:p>
    <w:p w14:paraId="69A8C79D" w14:textId="77777777" w:rsidR="004850CC" w:rsidRPr="00702D7D" w:rsidRDefault="004850CC" w:rsidP="00702D7D">
      <w:pPr>
        <w:pStyle w:val="NormalWeb"/>
        <w:spacing w:line="360" w:lineRule="auto"/>
      </w:pPr>
    </w:p>
    <w:p w14:paraId="5CA989F9" w14:textId="645EC052" w:rsidR="00AF5C26" w:rsidRPr="00F77D40" w:rsidRDefault="00F77D40" w:rsidP="00702D7D">
      <w:pPr>
        <w:spacing w:after="0" w:line="360" w:lineRule="auto"/>
        <w:contextualSpacing/>
        <w:jc w:val="center"/>
        <w:rPr>
          <w:rFonts w:cs="Times New Roman"/>
          <w:b/>
          <w:bCs/>
          <w:color w:val="80340D" w:themeColor="accent2" w:themeShade="80"/>
          <w:sz w:val="36"/>
          <w:szCs w:val="36"/>
        </w:rPr>
      </w:pPr>
      <w:r>
        <w:rPr>
          <w:rFonts w:cs="Times New Roman"/>
          <w:b/>
          <w:bCs/>
          <w:color w:val="80340D" w:themeColor="accent2" w:themeShade="80"/>
          <w:sz w:val="36"/>
          <w:szCs w:val="36"/>
        </w:rPr>
        <w:lastRenderedPageBreak/>
        <w:t>P</w:t>
      </w:r>
      <w:r w:rsidR="00184170" w:rsidRPr="00F77D40">
        <w:rPr>
          <w:rFonts w:cs="Times New Roman"/>
          <w:b/>
          <w:bCs/>
          <w:color w:val="80340D" w:themeColor="accent2" w:themeShade="80"/>
          <w:sz w:val="36"/>
          <w:szCs w:val="36"/>
        </w:rPr>
        <w:t xml:space="preserve">resentation </w:t>
      </w:r>
    </w:p>
    <w:p w14:paraId="7D834DEF" w14:textId="41653307" w:rsidR="00184170" w:rsidRDefault="00184170" w:rsidP="00702D7D">
      <w:pPr>
        <w:spacing w:after="0" w:line="360" w:lineRule="auto"/>
        <w:contextualSpacing/>
        <w:jc w:val="center"/>
        <w:rPr>
          <w:rFonts w:cs="Times New Roman"/>
          <w:szCs w:val="24"/>
        </w:rPr>
      </w:pPr>
      <w:r w:rsidRPr="00184170">
        <w:rPr>
          <w:rFonts w:cs="Times New Roman"/>
          <w:szCs w:val="24"/>
        </w:rPr>
        <w:drawing>
          <wp:inline distT="0" distB="0" distL="0" distR="0" wp14:anchorId="62636B22" wp14:editId="6C8040CB">
            <wp:extent cx="6565900" cy="3327400"/>
            <wp:effectExtent l="0" t="0" r="6350" b="6350"/>
            <wp:docPr id="1725072996" name="Picture 1" descr="A purple and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72996" name="Picture 1" descr="A purple and white sign&#10;&#10;Description automatically generated"/>
                    <pic:cNvPicPr/>
                  </pic:nvPicPr>
                  <pic:blipFill>
                    <a:blip r:embed="rId22"/>
                    <a:stretch>
                      <a:fillRect/>
                    </a:stretch>
                  </pic:blipFill>
                  <pic:spPr>
                    <a:xfrm>
                      <a:off x="0" y="0"/>
                      <a:ext cx="6565900" cy="3327400"/>
                    </a:xfrm>
                    <a:prstGeom prst="rect">
                      <a:avLst/>
                    </a:prstGeom>
                  </pic:spPr>
                </pic:pic>
              </a:graphicData>
            </a:graphic>
          </wp:inline>
        </w:drawing>
      </w:r>
    </w:p>
    <w:p w14:paraId="519833C5" w14:textId="77777777" w:rsidR="0011696A" w:rsidRDefault="0011696A" w:rsidP="00702D7D">
      <w:pPr>
        <w:spacing w:after="0" w:line="360" w:lineRule="auto"/>
        <w:contextualSpacing/>
        <w:jc w:val="center"/>
        <w:rPr>
          <w:rFonts w:cs="Times New Roman"/>
          <w:szCs w:val="24"/>
        </w:rPr>
      </w:pPr>
    </w:p>
    <w:p w14:paraId="42094FB1" w14:textId="0F18A7A6" w:rsidR="0011696A" w:rsidRDefault="0011696A" w:rsidP="00702D7D">
      <w:pPr>
        <w:spacing w:after="0" w:line="360" w:lineRule="auto"/>
        <w:contextualSpacing/>
        <w:jc w:val="center"/>
        <w:rPr>
          <w:rFonts w:cs="Times New Roman"/>
          <w:szCs w:val="24"/>
        </w:rPr>
      </w:pPr>
      <w:r w:rsidRPr="0011696A">
        <w:rPr>
          <w:rFonts w:cs="Times New Roman"/>
          <w:szCs w:val="24"/>
        </w:rPr>
        <w:drawing>
          <wp:inline distT="0" distB="0" distL="0" distR="0" wp14:anchorId="3FE44C45" wp14:editId="0ED0F5C4">
            <wp:extent cx="6774975" cy="4032250"/>
            <wp:effectExtent l="0" t="0" r="6985" b="6350"/>
            <wp:docPr id="796538837" name="Picture 1" descr="A poster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38837" name="Picture 1" descr="A poster of a building&#10;&#10;Description automatically generated"/>
                    <pic:cNvPicPr/>
                  </pic:nvPicPr>
                  <pic:blipFill>
                    <a:blip r:embed="rId23"/>
                    <a:stretch>
                      <a:fillRect/>
                    </a:stretch>
                  </pic:blipFill>
                  <pic:spPr>
                    <a:xfrm>
                      <a:off x="0" y="0"/>
                      <a:ext cx="6807564" cy="4051646"/>
                    </a:xfrm>
                    <a:prstGeom prst="rect">
                      <a:avLst/>
                    </a:prstGeom>
                  </pic:spPr>
                </pic:pic>
              </a:graphicData>
            </a:graphic>
          </wp:inline>
        </w:drawing>
      </w:r>
    </w:p>
    <w:p w14:paraId="15554D1B" w14:textId="582C89B4" w:rsidR="007F3C39" w:rsidRDefault="00855B6B" w:rsidP="00702D7D">
      <w:pPr>
        <w:spacing w:after="0" w:line="360" w:lineRule="auto"/>
        <w:contextualSpacing/>
        <w:jc w:val="center"/>
        <w:rPr>
          <w:rFonts w:cs="Times New Roman"/>
          <w:szCs w:val="24"/>
        </w:rPr>
      </w:pPr>
      <w:r w:rsidRPr="00855B6B">
        <w:rPr>
          <w:rFonts w:cs="Times New Roman"/>
          <w:szCs w:val="24"/>
        </w:rPr>
        <w:lastRenderedPageBreak/>
        <w:drawing>
          <wp:inline distT="0" distB="0" distL="0" distR="0" wp14:anchorId="3FAB97DB" wp14:editId="56CD4977">
            <wp:extent cx="6629400" cy="3557270"/>
            <wp:effectExtent l="0" t="0" r="0" b="5080"/>
            <wp:docPr id="9507954" name="Picture 1" descr="A close-up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954" name="Picture 1" descr="A close-up of a calendar&#10;&#10;Description automatically generated"/>
                    <pic:cNvPicPr/>
                  </pic:nvPicPr>
                  <pic:blipFill>
                    <a:blip r:embed="rId24"/>
                    <a:stretch>
                      <a:fillRect/>
                    </a:stretch>
                  </pic:blipFill>
                  <pic:spPr>
                    <a:xfrm>
                      <a:off x="0" y="0"/>
                      <a:ext cx="6629400" cy="3557270"/>
                    </a:xfrm>
                    <a:prstGeom prst="rect">
                      <a:avLst/>
                    </a:prstGeom>
                  </pic:spPr>
                </pic:pic>
              </a:graphicData>
            </a:graphic>
          </wp:inline>
        </w:drawing>
      </w:r>
    </w:p>
    <w:p w14:paraId="202F7EA2" w14:textId="77777777" w:rsidR="00855B6B" w:rsidRDefault="00855B6B" w:rsidP="00702D7D">
      <w:pPr>
        <w:spacing w:after="0" w:line="360" w:lineRule="auto"/>
        <w:contextualSpacing/>
        <w:jc w:val="center"/>
        <w:rPr>
          <w:rFonts w:cs="Times New Roman"/>
          <w:szCs w:val="24"/>
        </w:rPr>
      </w:pPr>
    </w:p>
    <w:p w14:paraId="4DC8CA1C" w14:textId="46C70AB0" w:rsidR="00855B6B" w:rsidRDefault="00855B6B" w:rsidP="00702D7D">
      <w:pPr>
        <w:spacing w:after="0" w:line="360" w:lineRule="auto"/>
        <w:contextualSpacing/>
        <w:jc w:val="center"/>
        <w:rPr>
          <w:rFonts w:cs="Times New Roman"/>
          <w:szCs w:val="24"/>
        </w:rPr>
      </w:pPr>
      <w:r w:rsidRPr="00855B6B">
        <w:rPr>
          <w:rFonts w:cs="Times New Roman"/>
          <w:szCs w:val="24"/>
        </w:rPr>
        <w:drawing>
          <wp:inline distT="0" distB="0" distL="0" distR="0" wp14:anchorId="5CF1E584" wp14:editId="0004147A">
            <wp:extent cx="6769100" cy="3949700"/>
            <wp:effectExtent l="0" t="0" r="0" b="0"/>
            <wp:docPr id="1025269734"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69734" name="Picture 1" descr="A close-up of a computer&#10;&#10;Description automatically generated"/>
                    <pic:cNvPicPr/>
                  </pic:nvPicPr>
                  <pic:blipFill>
                    <a:blip r:embed="rId25"/>
                    <a:stretch>
                      <a:fillRect/>
                    </a:stretch>
                  </pic:blipFill>
                  <pic:spPr>
                    <a:xfrm>
                      <a:off x="0" y="0"/>
                      <a:ext cx="6769100" cy="3949700"/>
                    </a:xfrm>
                    <a:prstGeom prst="rect">
                      <a:avLst/>
                    </a:prstGeom>
                  </pic:spPr>
                </pic:pic>
              </a:graphicData>
            </a:graphic>
          </wp:inline>
        </w:drawing>
      </w:r>
    </w:p>
    <w:p w14:paraId="7D0F6DBB" w14:textId="77777777" w:rsidR="00855B6B" w:rsidRDefault="00855B6B" w:rsidP="00702D7D">
      <w:pPr>
        <w:spacing w:after="0" w:line="360" w:lineRule="auto"/>
        <w:contextualSpacing/>
        <w:jc w:val="center"/>
        <w:rPr>
          <w:rFonts w:cs="Times New Roman"/>
          <w:szCs w:val="24"/>
        </w:rPr>
      </w:pPr>
    </w:p>
    <w:p w14:paraId="761FA2B8" w14:textId="77777777" w:rsidR="00855B6B" w:rsidRDefault="00855B6B" w:rsidP="00702D7D">
      <w:pPr>
        <w:spacing w:after="0" w:line="360" w:lineRule="auto"/>
        <w:contextualSpacing/>
        <w:jc w:val="center"/>
        <w:rPr>
          <w:rFonts w:cs="Times New Roman"/>
          <w:szCs w:val="24"/>
        </w:rPr>
      </w:pPr>
    </w:p>
    <w:p w14:paraId="752B213F" w14:textId="77777777" w:rsidR="00855B6B" w:rsidRDefault="00855B6B" w:rsidP="00702D7D">
      <w:pPr>
        <w:spacing w:after="0" w:line="360" w:lineRule="auto"/>
        <w:contextualSpacing/>
        <w:jc w:val="center"/>
        <w:rPr>
          <w:rFonts w:cs="Times New Roman"/>
          <w:szCs w:val="24"/>
        </w:rPr>
      </w:pPr>
    </w:p>
    <w:p w14:paraId="3931FCF7" w14:textId="77777777" w:rsidR="00855B6B" w:rsidRDefault="00855B6B" w:rsidP="00702D7D">
      <w:pPr>
        <w:spacing w:after="0" w:line="360" w:lineRule="auto"/>
        <w:contextualSpacing/>
        <w:jc w:val="center"/>
        <w:rPr>
          <w:rFonts w:cs="Times New Roman"/>
          <w:szCs w:val="24"/>
        </w:rPr>
      </w:pPr>
    </w:p>
    <w:p w14:paraId="37C5E74A" w14:textId="0881B717" w:rsidR="00855B6B" w:rsidRDefault="00593FF6" w:rsidP="00702D7D">
      <w:pPr>
        <w:spacing w:after="0" w:line="360" w:lineRule="auto"/>
        <w:contextualSpacing/>
        <w:jc w:val="center"/>
        <w:rPr>
          <w:rFonts w:cs="Times New Roman"/>
          <w:szCs w:val="24"/>
        </w:rPr>
      </w:pPr>
      <w:r w:rsidRPr="00593FF6">
        <w:rPr>
          <w:rFonts w:cs="Times New Roman"/>
          <w:szCs w:val="24"/>
        </w:rPr>
        <w:drawing>
          <wp:inline distT="0" distB="0" distL="0" distR="0" wp14:anchorId="7359B0CA" wp14:editId="24B45C8C">
            <wp:extent cx="6400800" cy="3600450"/>
            <wp:effectExtent l="0" t="0" r="0" b="0"/>
            <wp:docPr id="1103824780" name="Picture 1" descr="A close-up of a business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24780" name="Picture 1" descr="A close-up of a business presentation&#10;&#10;Description automatically generated"/>
                    <pic:cNvPicPr/>
                  </pic:nvPicPr>
                  <pic:blipFill>
                    <a:blip r:embed="rId26"/>
                    <a:stretch>
                      <a:fillRect/>
                    </a:stretch>
                  </pic:blipFill>
                  <pic:spPr>
                    <a:xfrm>
                      <a:off x="0" y="0"/>
                      <a:ext cx="6400800" cy="3600450"/>
                    </a:xfrm>
                    <a:prstGeom prst="rect">
                      <a:avLst/>
                    </a:prstGeom>
                  </pic:spPr>
                </pic:pic>
              </a:graphicData>
            </a:graphic>
          </wp:inline>
        </w:drawing>
      </w:r>
    </w:p>
    <w:p w14:paraId="4375DDD0" w14:textId="77777777" w:rsidR="00593FF6" w:rsidRDefault="00593FF6" w:rsidP="00702D7D">
      <w:pPr>
        <w:spacing w:after="0" w:line="360" w:lineRule="auto"/>
        <w:contextualSpacing/>
        <w:jc w:val="center"/>
        <w:rPr>
          <w:rFonts w:cs="Times New Roman"/>
          <w:szCs w:val="24"/>
        </w:rPr>
      </w:pPr>
    </w:p>
    <w:p w14:paraId="6004A8AD" w14:textId="2E6FD6CE" w:rsidR="00593FF6" w:rsidRDefault="00382CD5" w:rsidP="00702D7D">
      <w:pPr>
        <w:spacing w:after="0" w:line="360" w:lineRule="auto"/>
        <w:contextualSpacing/>
        <w:jc w:val="center"/>
        <w:rPr>
          <w:rFonts w:cs="Times New Roman"/>
          <w:szCs w:val="24"/>
        </w:rPr>
      </w:pPr>
      <w:r w:rsidRPr="00382CD5">
        <w:rPr>
          <w:rFonts w:cs="Times New Roman"/>
          <w:szCs w:val="24"/>
        </w:rPr>
        <w:drawing>
          <wp:inline distT="0" distB="0" distL="0" distR="0" wp14:anchorId="139073D5" wp14:editId="07149225">
            <wp:extent cx="6667500" cy="3403600"/>
            <wp:effectExtent l="0" t="0" r="0" b="6350"/>
            <wp:docPr id="2052858"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58" name="Picture 1" descr="A close-up of a computer&#10;&#10;Description automatically generated"/>
                    <pic:cNvPicPr/>
                  </pic:nvPicPr>
                  <pic:blipFill>
                    <a:blip r:embed="rId27"/>
                    <a:stretch>
                      <a:fillRect/>
                    </a:stretch>
                  </pic:blipFill>
                  <pic:spPr>
                    <a:xfrm>
                      <a:off x="0" y="0"/>
                      <a:ext cx="6667500" cy="3403600"/>
                    </a:xfrm>
                    <a:prstGeom prst="rect">
                      <a:avLst/>
                    </a:prstGeom>
                  </pic:spPr>
                </pic:pic>
              </a:graphicData>
            </a:graphic>
          </wp:inline>
        </w:drawing>
      </w:r>
    </w:p>
    <w:p w14:paraId="7095A184" w14:textId="77777777" w:rsidR="00382CD5" w:rsidRDefault="00382CD5" w:rsidP="00702D7D">
      <w:pPr>
        <w:spacing w:after="0" w:line="360" w:lineRule="auto"/>
        <w:contextualSpacing/>
        <w:jc w:val="center"/>
        <w:rPr>
          <w:rFonts w:cs="Times New Roman"/>
          <w:szCs w:val="24"/>
        </w:rPr>
      </w:pPr>
    </w:p>
    <w:p w14:paraId="4FADA528" w14:textId="77777777" w:rsidR="00382CD5" w:rsidRDefault="00382CD5" w:rsidP="00702D7D">
      <w:pPr>
        <w:spacing w:after="0" w:line="360" w:lineRule="auto"/>
        <w:contextualSpacing/>
        <w:jc w:val="center"/>
        <w:rPr>
          <w:rFonts w:cs="Times New Roman"/>
          <w:szCs w:val="24"/>
        </w:rPr>
      </w:pPr>
    </w:p>
    <w:p w14:paraId="1C6CD931" w14:textId="77777777" w:rsidR="00382CD5" w:rsidRDefault="00382CD5" w:rsidP="00702D7D">
      <w:pPr>
        <w:spacing w:after="0" w:line="360" w:lineRule="auto"/>
        <w:contextualSpacing/>
        <w:jc w:val="center"/>
        <w:rPr>
          <w:rFonts w:cs="Times New Roman"/>
          <w:szCs w:val="24"/>
        </w:rPr>
      </w:pPr>
    </w:p>
    <w:p w14:paraId="01F45B37" w14:textId="77777777" w:rsidR="00382CD5" w:rsidRDefault="00382CD5" w:rsidP="00702D7D">
      <w:pPr>
        <w:spacing w:after="0" w:line="360" w:lineRule="auto"/>
        <w:contextualSpacing/>
        <w:jc w:val="center"/>
        <w:rPr>
          <w:rFonts w:cs="Times New Roman"/>
          <w:szCs w:val="24"/>
        </w:rPr>
      </w:pPr>
    </w:p>
    <w:p w14:paraId="6395AE26" w14:textId="43C87CDB" w:rsidR="00382CD5" w:rsidRPr="00702D7D" w:rsidRDefault="00F77D40" w:rsidP="00702D7D">
      <w:pPr>
        <w:spacing w:after="0" w:line="360" w:lineRule="auto"/>
        <w:contextualSpacing/>
        <w:jc w:val="center"/>
        <w:rPr>
          <w:rFonts w:cs="Times New Roman"/>
          <w:szCs w:val="24"/>
        </w:rPr>
      </w:pPr>
      <w:r w:rsidRPr="00F77D40">
        <w:rPr>
          <w:rFonts w:cs="Times New Roman"/>
          <w:szCs w:val="24"/>
        </w:rPr>
        <w:drawing>
          <wp:inline distT="0" distB="0" distL="0" distR="0" wp14:anchorId="7D6AA81C" wp14:editId="0401312D">
            <wp:extent cx="6731000" cy="5187950"/>
            <wp:effectExtent l="0" t="0" r="0" b="0"/>
            <wp:docPr id="183674494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44941" name="Picture 1" descr="A close-up of a document&#10;&#10;Description automatically generated"/>
                    <pic:cNvPicPr/>
                  </pic:nvPicPr>
                  <pic:blipFill>
                    <a:blip r:embed="rId28"/>
                    <a:stretch>
                      <a:fillRect/>
                    </a:stretch>
                  </pic:blipFill>
                  <pic:spPr>
                    <a:xfrm>
                      <a:off x="0" y="0"/>
                      <a:ext cx="6731000" cy="5187950"/>
                    </a:xfrm>
                    <a:prstGeom prst="rect">
                      <a:avLst/>
                    </a:prstGeom>
                  </pic:spPr>
                </pic:pic>
              </a:graphicData>
            </a:graphic>
          </wp:inline>
        </w:drawing>
      </w:r>
    </w:p>
    <w:sectPr w:rsidR="00382CD5" w:rsidRPr="00702D7D" w:rsidSect="002D2F9D">
      <w:head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4B323E" w14:textId="77777777" w:rsidR="001B3271" w:rsidRDefault="001B3271">
      <w:pPr>
        <w:spacing w:after="0" w:line="240" w:lineRule="auto"/>
      </w:pPr>
      <w:r>
        <w:separator/>
      </w:r>
    </w:p>
  </w:endnote>
  <w:endnote w:type="continuationSeparator" w:id="0">
    <w:p w14:paraId="2AB73FDD" w14:textId="77777777" w:rsidR="001B3271" w:rsidRDefault="001B3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E4FA2" w14:textId="77777777" w:rsidR="001B3271" w:rsidRDefault="001B3271">
      <w:pPr>
        <w:spacing w:after="0" w:line="240" w:lineRule="auto"/>
      </w:pPr>
      <w:r>
        <w:separator/>
      </w:r>
    </w:p>
  </w:footnote>
  <w:footnote w:type="continuationSeparator" w:id="0">
    <w:p w14:paraId="56128CFF" w14:textId="77777777" w:rsidR="001B3271" w:rsidRDefault="001B32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694596"/>
      <w:docPartObj>
        <w:docPartGallery w:val="Page Numbers (Top of Page)"/>
        <w:docPartUnique/>
      </w:docPartObj>
    </w:sdtPr>
    <w:sdtEndPr>
      <w:rPr>
        <w:noProof/>
      </w:rPr>
    </w:sdtEndPr>
    <w:sdtContent>
      <w:p w14:paraId="6B9CF9D3" w14:textId="77777777" w:rsidR="007673DE" w:rsidRDefault="007673DE">
        <w:pPr>
          <w:pStyle w:val="Header"/>
          <w:jc w:val="right"/>
        </w:pPr>
        <w:r w:rsidRPr="00DE3CC0">
          <w:t xml:space="preserve">CULTURAL COMPETENCE </w:t>
        </w:r>
        <w:r>
          <w:t xml:space="preserve">IN HOSPITALITY      </w:t>
        </w:r>
        <w:r>
          <w:fldChar w:fldCharType="begin"/>
        </w:r>
        <w:r>
          <w:instrText xml:space="preserve"> PAGE   \* MERGEFORMAT </w:instrText>
        </w:r>
        <w:r>
          <w:fldChar w:fldCharType="separate"/>
        </w:r>
        <w:r>
          <w:rPr>
            <w:noProof/>
          </w:rPr>
          <w:t>8</w:t>
        </w:r>
        <w:r>
          <w:rPr>
            <w:noProof/>
          </w:rPr>
          <w:fldChar w:fldCharType="end"/>
        </w:r>
      </w:p>
    </w:sdtContent>
  </w:sdt>
  <w:p w14:paraId="00290F37" w14:textId="77777777" w:rsidR="007673DE" w:rsidRDefault="007673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C26"/>
    <w:rsid w:val="00012E07"/>
    <w:rsid w:val="00047D58"/>
    <w:rsid w:val="00052EA3"/>
    <w:rsid w:val="00113E94"/>
    <w:rsid w:val="0011696A"/>
    <w:rsid w:val="00184170"/>
    <w:rsid w:val="001952AF"/>
    <w:rsid w:val="001B3271"/>
    <w:rsid w:val="00207408"/>
    <w:rsid w:val="0029441C"/>
    <w:rsid w:val="002C1147"/>
    <w:rsid w:val="002D2F9D"/>
    <w:rsid w:val="002E2EE5"/>
    <w:rsid w:val="00382CD5"/>
    <w:rsid w:val="0039520E"/>
    <w:rsid w:val="003A7A65"/>
    <w:rsid w:val="003F738C"/>
    <w:rsid w:val="00446B52"/>
    <w:rsid w:val="00466F2F"/>
    <w:rsid w:val="004850CC"/>
    <w:rsid w:val="004B1C42"/>
    <w:rsid w:val="0055586D"/>
    <w:rsid w:val="00593FF6"/>
    <w:rsid w:val="005E083E"/>
    <w:rsid w:val="0060236A"/>
    <w:rsid w:val="00603680"/>
    <w:rsid w:val="006100AE"/>
    <w:rsid w:val="0061356D"/>
    <w:rsid w:val="00636744"/>
    <w:rsid w:val="006408FD"/>
    <w:rsid w:val="006545D3"/>
    <w:rsid w:val="0067127A"/>
    <w:rsid w:val="00685820"/>
    <w:rsid w:val="006B6DE7"/>
    <w:rsid w:val="00702D7D"/>
    <w:rsid w:val="0073637D"/>
    <w:rsid w:val="007673DE"/>
    <w:rsid w:val="007919A4"/>
    <w:rsid w:val="00796A8F"/>
    <w:rsid w:val="007E5B1D"/>
    <w:rsid w:val="007F3C39"/>
    <w:rsid w:val="00803E39"/>
    <w:rsid w:val="00855B6B"/>
    <w:rsid w:val="0086652D"/>
    <w:rsid w:val="008820C5"/>
    <w:rsid w:val="008B4CAE"/>
    <w:rsid w:val="008C07AB"/>
    <w:rsid w:val="008D7A7B"/>
    <w:rsid w:val="00940280"/>
    <w:rsid w:val="009573AC"/>
    <w:rsid w:val="009D2C5C"/>
    <w:rsid w:val="00A463BF"/>
    <w:rsid w:val="00A675EE"/>
    <w:rsid w:val="00AF5C26"/>
    <w:rsid w:val="00B056FA"/>
    <w:rsid w:val="00B66468"/>
    <w:rsid w:val="00B87F92"/>
    <w:rsid w:val="00BF53BB"/>
    <w:rsid w:val="00C64C78"/>
    <w:rsid w:val="00C668C0"/>
    <w:rsid w:val="00CD3C7C"/>
    <w:rsid w:val="00CD6E15"/>
    <w:rsid w:val="00DA4417"/>
    <w:rsid w:val="00E505CE"/>
    <w:rsid w:val="00E65E6B"/>
    <w:rsid w:val="00EE0670"/>
    <w:rsid w:val="00F3479B"/>
    <w:rsid w:val="00F4624A"/>
    <w:rsid w:val="00F63E30"/>
    <w:rsid w:val="00F77D40"/>
    <w:rsid w:val="00F82E1B"/>
    <w:rsid w:val="00FA2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44C6F4"/>
  <w15:chartTrackingRefBased/>
  <w15:docId w15:val="{418EB2BA-4271-41C5-BCAF-047F362EB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C26"/>
    <w:pPr>
      <w:spacing w:line="259" w:lineRule="auto"/>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AF5C2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AF5C2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F5C2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F5C26"/>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AF5C26"/>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AF5C26"/>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AF5C26"/>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AF5C26"/>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AF5C26"/>
    <w:pPr>
      <w:keepNext/>
      <w:keepLines/>
      <w:spacing w:after="0" w:line="278"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C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5C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C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C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C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C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C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C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C26"/>
    <w:rPr>
      <w:rFonts w:eastAsiaTheme="majorEastAsia" w:cstheme="majorBidi"/>
      <w:color w:val="272727" w:themeColor="text1" w:themeTint="D8"/>
    </w:rPr>
  </w:style>
  <w:style w:type="paragraph" w:styleId="Title">
    <w:name w:val="Title"/>
    <w:basedOn w:val="Normal"/>
    <w:next w:val="Normal"/>
    <w:link w:val="TitleChar"/>
    <w:uiPriority w:val="10"/>
    <w:qFormat/>
    <w:rsid w:val="00AF5C2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F5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C26"/>
    <w:pPr>
      <w:numPr>
        <w:ilvl w:val="1"/>
      </w:numPr>
      <w:spacing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F5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C26"/>
    <w:pPr>
      <w:spacing w:before="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AF5C26"/>
    <w:rPr>
      <w:i/>
      <w:iCs/>
      <w:color w:val="404040" w:themeColor="text1" w:themeTint="BF"/>
    </w:rPr>
  </w:style>
  <w:style w:type="paragraph" w:styleId="ListParagraph">
    <w:name w:val="List Paragraph"/>
    <w:basedOn w:val="Normal"/>
    <w:uiPriority w:val="34"/>
    <w:qFormat/>
    <w:rsid w:val="00AF5C26"/>
    <w:pPr>
      <w:spacing w:line="278" w:lineRule="auto"/>
      <w:ind w:left="720"/>
      <w:contextualSpacing/>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AF5C26"/>
    <w:rPr>
      <w:i/>
      <w:iCs/>
      <w:color w:val="0F4761" w:themeColor="accent1" w:themeShade="BF"/>
    </w:rPr>
  </w:style>
  <w:style w:type="paragraph" w:styleId="IntenseQuote">
    <w:name w:val="Intense Quote"/>
    <w:basedOn w:val="Normal"/>
    <w:next w:val="Normal"/>
    <w:link w:val="IntenseQuoteChar"/>
    <w:uiPriority w:val="30"/>
    <w:qFormat/>
    <w:rsid w:val="00AF5C2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AF5C26"/>
    <w:rPr>
      <w:i/>
      <w:iCs/>
      <w:color w:val="0F4761" w:themeColor="accent1" w:themeShade="BF"/>
    </w:rPr>
  </w:style>
  <w:style w:type="character" w:styleId="IntenseReference">
    <w:name w:val="Intense Reference"/>
    <w:basedOn w:val="DefaultParagraphFont"/>
    <w:uiPriority w:val="32"/>
    <w:qFormat/>
    <w:rsid w:val="00AF5C26"/>
    <w:rPr>
      <w:b/>
      <w:bCs/>
      <w:smallCaps/>
      <w:color w:val="0F4761" w:themeColor="accent1" w:themeShade="BF"/>
      <w:spacing w:val="5"/>
    </w:rPr>
  </w:style>
  <w:style w:type="paragraph" w:styleId="Header">
    <w:name w:val="header"/>
    <w:basedOn w:val="Normal"/>
    <w:link w:val="HeaderChar"/>
    <w:uiPriority w:val="99"/>
    <w:unhideWhenUsed/>
    <w:rsid w:val="00AF5C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5C26"/>
    <w:rPr>
      <w:rFonts w:ascii="Times New Roman" w:hAnsi="Times New Roman"/>
      <w:kern w:val="0"/>
      <w:szCs w:val="22"/>
      <w:lang w:val="en-US"/>
      <w14:ligatures w14:val="none"/>
    </w:rPr>
  </w:style>
  <w:style w:type="character" w:styleId="Hyperlink">
    <w:name w:val="Hyperlink"/>
    <w:basedOn w:val="DefaultParagraphFont"/>
    <w:uiPriority w:val="99"/>
    <w:unhideWhenUsed/>
    <w:rsid w:val="00AF5C26"/>
    <w:rPr>
      <w:color w:val="467886" w:themeColor="hyperlink"/>
      <w:u w:val="single"/>
    </w:rPr>
  </w:style>
  <w:style w:type="table" w:styleId="TableGrid">
    <w:name w:val="Table Grid"/>
    <w:basedOn w:val="TableNormal"/>
    <w:uiPriority w:val="39"/>
    <w:rsid w:val="00052EA3"/>
    <w:pPr>
      <w:spacing w:after="0" w:line="240" w:lineRule="auto"/>
    </w:pPr>
    <w:rPr>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D2F9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D2F9D"/>
    <w:rPr>
      <w:rFonts w:eastAsiaTheme="minorEastAsia"/>
      <w:kern w:val="0"/>
      <w:sz w:val="22"/>
      <w:szCs w:val="22"/>
      <w:lang w:eastAsia="en-GB"/>
      <w14:ligatures w14:val="none"/>
    </w:rPr>
  </w:style>
  <w:style w:type="paragraph" w:styleId="NormalWeb">
    <w:name w:val="Normal (Web)"/>
    <w:basedOn w:val="Normal"/>
    <w:uiPriority w:val="99"/>
    <w:semiHidden/>
    <w:unhideWhenUsed/>
    <w:rsid w:val="006408FD"/>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6408FD"/>
    <w:rPr>
      <w:b/>
      <w:bCs/>
    </w:rPr>
  </w:style>
  <w:style w:type="character" w:styleId="Emphasis">
    <w:name w:val="Emphasis"/>
    <w:basedOn w:val="DefaultParagraphFont"/>
    <w:uiPriority w:val="20"/>
    <w:qFormat/>
    <w:rsid w:val="006408FD"/>
    <w:rPr>
      <w:i/>
      <w:iCs/>
    </w:rPr>
  </w:style>
  <w:style w:type="character" w:styleId="UnresolvedMention">
    <w:name w:val="Unresolved Mention"/>
    <w:basedOn w:val="DefaultParagraphFont"/>
    <w:uiPriority w:val="99"/>
    <w:semiHidden/>
    <w:unhideWhenUsed/>
    <w:rsid w:val="003A7A65"/>
    <w:rPr>
      <w:color w:val="605E5C"/>
      <w:shd w:val="clear" w:color="auto" w:fill="E1DFDD"/>
    </w:rPr>
  </w:style>
  <w:style w:type="character" w:styleId="FollowedHyperlink">
    <w:name w:val="FollowedHyperlink"/>
    <w:basedOn w:val="DefaultParagraphFont"/>
    <w:uiPriority w:val="99"/>
    <w:semiHidden/>
    <w:unhideWhenUsed/>
    <w:rsid w:val="00796A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828347">
      <w:bodyDiv w:val="1"/>
      <w:marLeft w:val="0"/>
      <w:marRight w:val="0"/>
      <w:marTop w:val="0"/>
      <w:marBottom w:val="0"/>
      <w:divBdr>
        <w:top w:val="none" w:sz="0" w:space="0" w:color="auto"/>
        <w:left w:val="none" w:sz="0" w:space="0" w:color="auto"/>
        <w:bottom w:val="none" w:sz="0" w:space="0" w:color="auto"/>
        <w:right w:val="none" w:sz="0" w:space="0" w:color="auto"/>
      </w:divBdr>
    </w:div>
    <w:div w:id="208491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gi-global.com/book/cultural-factors-performance-21st-century/244227" TargetMode="External"/><Relationship Id="rId18" Type="http://schemas.openxmlformats.org/officeDocument/2006/relationships/hyperlink" Target="https://doi.org/10.1016/j.ijhm.2019.102402"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books.google.com/books/about/Recent_Advances_in_the_Roles_of_Cultural.html?id=6q2rDwAAQBAJ" TargetMode="External"/><Relationship Id="rId7" Type="http://schemas.openxmlformats.org/officeDocument/2006/relationships/image" Target="media/image1.png"/><Relationship Id="rId12" Type="http://schemas.openxmlformats.org/officeDocument/2006/relationships/hyperlink" Target="https://doi.org/10.1016/j.techfore.2023.123067" TargetMode="External"/><Relationship Id="rId17" Type="http://schemas.openxmlformats.org/officeDocument/2006/relationships/hyperlink" Target="https://eric.ed.gov/?id=EJ1240001" TargetMode="External"/><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e-edu.nbu.bg/pluginfile.php/900222/mod_resource/content/1/G.Hofstede_G.J.Hofstede_M.Minkov%20-%20Cultures%20and%20Organizations%20-%20Software%20of%20the%20Mind%203rd_edition%202010.pdf" TargetMode="External"/><Relationship Id="rId20" Type="http://schemas.openxmlformats.org/officeDocument/2006/relationships/hyperlink" Target="https://doi.org/10.1371/journal.pone.0236983"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mazon.com.au/Communicating-Work-Principles-Practices-Professions/dp/0073511889" TargetMode="Externa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tourman.2022.104656"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dx.doi.org/10.25134/ieflj.v6i2.3382" TargetMode="External"/><Relationship Id="rId19" Type="http://schemas.openxmlformats.org/officeDocument/2006/relationships/hyperlink" Target="https://doi.org/10.3390/su14148789"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amazon.com/Managing-Cultural-Differences-Leadership-Century/dp/1138223689" TargetMode="External"/><Relationship Id="rId14" Type="http://schemas.openxmlformats.org/officeDocument/2006/relationships/hyperlink" Target="https://books.google.com/books/about/International_Management.html?id=rbuAjwEACAAJ"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C47601E5884462CBF0E89CDF993F632"/>
        <w:category>
          <w:name w:val="General"/>
          <w:gallery w:val="placeholder"/>
        </w:category>
        <w:types>
          <w:type w:val="bbPlcHdr"/>
        </w:types>
        <w:behaviors>
          <w:behavior w:val="content"/>
        </w:behaviors>
        <w:guid w:val="{70D7042E-09AA-4136-AABC-33602012C696}"/>
      </w:docPartPr>
      <w:docPartBody>
        <w:p w:rsidR="000322EA" w:rsidRDefault="000322EA" w:rsidP="000322EA">
          <w:pPr>
            <w:pStyle w:val="2C47601E5884462CBF0E89CDF993F63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2EA"/>
    <w:rsid w:val="000322EA"/>
    <w:rsid w:val="002E2EE5"/>
    <w:rsid w:val="00A71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47601E5884462CBF0E89CDF993F632">
    <w:name w:val="2C47601E5884462CBF0E89CDF993F632"/>
    <w:rsid w:val="000322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Giulia Chifari</PublishDate>
  <Abstract/>
  <CompanyAddress>17/05/2024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15</Pages>
  <Words>2369</Words>
  <Characters>15079</Characters>
  <Application>Microsoft Office Word</Application>
  <DocSecurity>0</DocSecurity>
  <Lines>275</Lines>
  <Paragraphs>56</Paragraphs>
  <ScaleCrop>false</ScaleCrop>
  <Company>Azeb Atsebha (2234854)</Company>
  <LinksUpToDate>false</LinksUpToDate>
  <CharactersWithSpaces>17402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dc:title>
  <dc:subject>Portfolio four components</dc:subject>
  <dc:creator>Azeb Adera</dc:creator>
  <cp:keywords/>
  <dc:description/>
  <cp:lastModifiedBy>Azeb Adera</cp:lastModifiedBy>
  <cp:revision>91</cp:revision>
  <dcterms:created xsi:type="dcterms:W3CDTF">2024-05-09T19:32:00Z</dcterms:created>
  <dcterms:modified xsi:type="dcterms:W3CDTF">2024-05-17T16:12:00Z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aeaf5e1d-4bf1-4920-8ce0-88fdd52f30bf</vt:lpwstr>
  </property>
</Properties>
</file>