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7DC4F" w14:textId="77777777" w:rsidR="00A20F97" w:rsidRPr="00A20F97" w:rsidRDefault="00A20F97" w:rsidP="00A20F97">
      <w:pPr>
        <w:spacing w:line="360" w:lineRule="auto"/>
        <w:jc w:val="center"/>
        <w:rPr>
          <w:rFonts w:ascii="Arial" w:hAnsi="Arial" w:cs="Arial"/>
          <w:b/>
          <w:sz w:val="28"/>
          <w:szCs w:val="28"/>
          <w:u w:val="single"/>
        </w:rPr>
      </w:pPr>
      <w:r w:rsidRPr="00A20F97">
        <w:rPr>
          <w:rFonts w:ascii="Arial" w:hAnsi="Arial" w:cs="Arial"/>
          <w:b/>
          <w:sz w:val="28"/>
          <w:szCs w:val="28"/>
          <w:u w:val="single"/>
        </w:rPr>
        <w:t>BSc Health and Social Care</w:t>
      </w:r>
    </w:p>
    <w:p w14:paraId="346B95A5" w14:textId="77777777" w:rsidR="00A20F97" w:rsidRPr="00A20F97" w:rsidRDefault="00A20F97" w:rsidP="00A20F97">
      <w:pPr>
        <w:spacing w:line="360" w:lineRule="auto"/>
        <w:rPr>
          <w:rFonts w:ascii="Arial" w:hAnsi="Arial" w:cs="Arial"/>
          <w:b/>
          <w:u w:val="single"/>
        </w:rPr>
      </w:pPr>
    </w:p>
    <w:p w14:paraId="1E58B7B4" w14:textId="77777777" w:rsidR="00A20F97" w:rsidRPr="00A20F97" w:rsidRDefault="00A20F97" w:rsidP="00A20F97">
      <w:pPr>
        <w:spacing w:line="360" w:lineRule="auto"/>
        <w:rPr>
          <w:rFonts w:ascii="Arial" w:hAnsi="Arial" w:cs="Arial"/>
          <w:u w:val="single"/>
        </w:rPr>
      </w:pPr>
    </w:p>
    <w:p w14:paraId="4C8C4949"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 xml:space="preserve">Student Name: Leanne Fahy </w:t>
      </w:r>
    </w:p>
    <w:p w14:paraId="3CE447A4"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Student Number: 2425000</w:t>
      </w:r>
    </w:p>
    <w:p w14:paraId="1C9D3B6B"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Module Code: BMHP5019</w:t>
      </w:r>
    </w:p>
    <w:p w14:paraId="56FD2D5E"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Module Title: Introduction to Independent Research Skills</w:t>
      </w:r>
    </w:p>
    <w:p w14:paraId="49C26383"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Assignment Title: Component 1 - Written Assignment (Research Proposal)</w:t>
      </w:r>
    </w:p>
    <w:p w14:paraId="417075CD"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 xml:space="preserve">Lecturer Name:  Precious </w:t>
      </w:r>
      <w:proofErr w:type="spellStart"/>
      <w:r w:rsidRPr="00A20F97">
        <w:rPr>
          <w:rFonts w:ascii="Arial" w:hAnsi="Arial" w:cs="Arial"/>
          <w:sz w:val="22"/>
          <w:szCs w:val="22"/>
        </w:rPr>
        <w:t>Igbinigie</w:t>
      </w:r>
      <w:proofErr w:type="spellEnd"/>
    </w:p>
    <w:p w14:paraId="126411D1" w14:textId="77777777" w:rsidR="00A20F97" w:rsidRPr="00A20F97" w:rsidRDefault="00A20F97" w:rsidP="00A20F97">
      <w:pPr>
        <w:spacing w:line="360" w:lineRule="auto"/>
        <w:rPr>
          <w:rFonts w:ascii="Arial" w:hAnsi="Arial" w:cs="Arial"/>
          <w:sz w:val="22"/>
          <w:szCs w:val="22"/>
        </w:rPr>
      </w:pPr>
    </w:p>
    <w:p w14:paraId="240C3853" w14:textId="77777777" w:rsidR="00A20F97" w:rsidRPr="00A20F97" w:rsidRDefault="00A20F97" w:rsidP="00A20F97">
      <w:pPr>
        <w:spacing w:line="360" w:lineRule="auto"/>
        <w:rPr>
          <w:rFonts w:ascii="Arial" w:hAnsi="Arial" w:cs="Arial"/>
          <w:sz w:val="22"/>
          <w:szCs w:val="22"/>
        </w:rPr>
      </w:pPr>
    </w:p>
    <w:p w14:paraId="03D980E1" w14:textId="77777777" w:rsidR="00A20F97" w:rsidRPr="00A20F97" w:rsidRDefault="00A20F97" w:rsidP="00A20F97">
      <w:pPr>
        <w:spacing w:line="360" w:lineRule="auto"/>
        <w:rPr>
          <w:rFonts w:ascii="Arial" w:hAnsi="Arial" w:cs="Arial"/>
          <w:sz w:val="22"/>
          <w:szCs w:val="22"/>
        </w:rPr>
      </w:pPr>
    </w:p>
    <w:p w14:paraId="4A31D81B" w14:textId="77777777" w:rsidR="00A20F97" w:rsidRPr="00A20F97" w:rsidRDefault="00A20F97" w:rsidP="00A20F97">
      <w:pPr>
        <w:spacing w:line="360" w:lineRule="auto"/>
        <w:rPr>
          <w:rFonts w:ascii="Arial" w:hAnsi="Arial" w:cs="Arial"/>
          <w:sz w:val="22"/>
          <w:szCs w:val="22"/>
        </w:rPr>
      </w:pPr>
    </w:p>
    <w:p w14:paraId="753C6FA1" w14:textId="77777777" w:rsidR="00A20F97" w:rsidRPr="00A20F97" w:rsidRDefault="00A20F97" w:rsidP="00A20F97">
      <w:pPr>
        <w:spacing w:line="360" w:lineRule="auto"/>
        <w:rPr>
          <w:rFonts w:ascii="Arial" w:hAnsi="Arial" w:cs="Arial"/>
          <w:sz w:val="22"/>
          <w:szCs w:val="22"/>
        </w:rPr>
      </w:pPr>
    </w:p>
    <w:p w14:paraId="2A935BF1" w14:textId="77777777" w:rsidR="00A20F97" w:rsidRPr="00A20F97" w:rsidRDefault="00A20F97" w:rsidP="00A20F97">
      <w:pPr>
        <w:spacing w:line="360" w:lineRule="auto"/>
        <w:rPr>
          <w:rFonts w:ascii="Arial" w:hAnsi="Arial" w:cs="Arial"/>
          <w:sz w:val="22"/>
          <w:szCs w:val="22"/>
        </w:rPr>
      </w:pPr>
    </w:p>
    <w:p w14:paraId="723AE81E" w14:textId="77777777" w:rsidR="00A20F97" w:rsidRPr="00A20F97" w:rsidRDefault="00A20F97" w:rsidP="00A20F97">
      <w:pPr>
        <w:spacing w:line="360" w:lineRule="auto"/>
        <w:rPr>
          <w:rFonts w:ascii="Arial" w:hAnsi="Arial" w:cs="Arial"/>
          <w:sz w:val="22"/>
          <w:szCs w:val="22"/>
        </w:rPr>
      </w:pPr>
    </w:p>
    <w:p w14:paraId="58E7B03F" w14:textId="77777777" w:rsidR="00A20F97" w:rsidRPr="00A20F97" w:rsidRDefault="00A20F97" w:rsidP="00A20F97">
      <w:pPr>
        <w:spacing w:line="360" w:lineRule="auto"/>
        <w:rPr>
          <w:rFonts w:ascii="Arial" w:hAnsi="Arial" w:cs="Arial"/>
          <w:sz w:val="22"/>
          <w:szCs w:val="22"/>
        </w:rPr>
      </w:pPr>
    </w:p>
    <w:p w14:paraId="4B6149B6" w14:textId="77777777" w:rsidR="00A20F97" w:rsidRPr="00A20F97" w:rsidRDefault="00A20F97" w:rsidP="00A20F97">
      <w:pPr>
        <w:spacing w:line="360" w:lineRule="auto"/>
        <w:rPr>
          <w:rFonts w:ascii="Arial" w:hAnsi="Arial" w:cs="Arial"/>
          <w:sz w:val="22"/>
          <w:szCs w:val="22"/>
        </w:rPr>
      </w:pPr>
    </w:p>
    <w:p w14:paraId="6E55A960" w14:textId="77777777" w:rsidR="00A20F97" w:rsidRPr="00A20F97" w:rsidRDefault="00A20F97" w:rsidP="00A20F97">
      <w:pPr>
        <w:spacing w:line="360" w:lineRule="auto"/>
        <w:rPr>
          <w:rFonts w:ascii="Arial" w:hAnsi="Arial" w:cs="Arial"/>
          <w:sz w:val="22"/>
          <w:szCs w:val="22"/>
        </w:rPr>
      </w:pPr>
    </w:p>
    <w:p w14:paraId="674FB50B" w14:textId="77777777" w:rsidR="00A20F97" w:rsidRPr="00A20F97" w:rsidRDefault="00A20F97" w:rsidP="00A20F97">
      <w:pPr>
        <w:spacing w:line="360" w:lineRule="auto"/>
        <w:rPr>
          <w:rFonts w:ascii="Arial" w:hAnsi="Arial" w:cs="Arial"/>
          <w:sz w:val="22"/>
          <w:szCs w:val="22"/>
        </w:rPr>
      </w:pPr>
    </w:p>
    <w:p w14:paraId="77E159DC" w14:textId="77777777" w:rsidR="00A20F97" w:rsidRPr="00A20F97" w:rsidRDefault="00A20F97" w:rsidP="00A20F97">
      <w:pPr>
        <w:spacing w:line="360" w:lineRule="auto"/>
        <w:rPr>
          <w:rFonts w:ascii="Arial" w:hAnsi="Arial" w:cs="Arial"/>
          <w:sz w:val="22"/>
          <w:szCs w:val="22"/>
        </w:rPr>
      </w:pPr>
    </w:p>
    <w:p w14:paraId="1B413839" w14:textId="77777777" w:rsidR="00A20F97" w:rsidRPr="00A20F97" w:rsidRDefault="00A20F97" w:rsidP="00A20F97">
      <w:pPr>
        <w:spacing w:line="360" w:lineRule="auto"/>
        <w:rPr>
          <w:rFonts w:ascii="Arial" w:hAnsi="Arial" w:cs="Arial"/>
          <w:sz w:val="22"/>
          <w:szCs w:val="22"/>
        </w:rPr>
      </w:pPr>
    </w:p>
    <w:p w14:paraId="30169A61" w14:textId="77777777" w:rsidR="00A20F97" w:rsidRPr="00A20F97" w:rsidRDefault="00A20F97" w:rsidP="00A20F97">
      <w:pPr>
        <w:spacing w:line="360" w:lineRule="auto"/>
        <w:rPr>
          <w:rFonts w:ascii="Arial" w:hAnsi="Arial" w:cs="Arial"/>
          <w:sz w:val="22"/>
          <w:szCs w:val="22"/>
        </w:rPr>
        <w:sectPr w:rsidR="00A20F97" w:rsidRPr="00A20F97" w:rsidSect="00A20F97">
          <w:headerReference w:type="default" r:id="rId5"/>
          <w:footerReference w:type="default" r:id="rId6"/>
          <w:pgSz w:w="11906" w:h="16838"/>
          <w:pgMar w:top="1440" w:right="1440" w:bottom="1440" w:left="1440" w:header="720" w:footer="720" w:gutter="0"/>
          <w:pgNumType w:start="1"/>
          <w:cols w:space="720"/>
        </w:sectPr>
      </w:pPr>
    </w:p>
    <w:p w14:paraId="6E2D5380" w14:textId="77777777" w:rsidR="00A20F97" w:rsidRPr="00A20F97" w:rsidRDefault="00A20F97" w:rsidP="00A20F97">
      <w:pPr>
        <w:spacing w:line="360" w:lineRule="auto"/>
        <w:rPr>
          <w:rFonts w:ascii="Arial" w:hAnsi="Arial" w:cs="Arial"/>
          <w:b/>
          <w:bCs/>
          <w:sz w:val="22"/>
          <w:szCs w:val="22"/>
          <w:u w:val="single"/>
        </w:rPr>
      </w:pPr>
      <w:r w:rsidRPr="00A20F97">
        <w:rPr>
          <w:rFonts w:ascii="Arial" w:hAnsi="Arial" w:cs="Arial"/>
          <w:b/>
          <w:bCs/>
          <w:sz w:val="22"/>
          <w:szCs w:val="22"/>
          <w:u w:val="single"/>
        </w:rPr>
        <w:lastRenderedPageBreak/>
        <w:t>Background </w:t>
      </w:r>
    </w:p>
    <w:p w14:paraId="5BE954A7"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Social prescribing is a process through which healthcare professionals connect patients with community-based and non-medical programmes to support improvements in their mental and physical health (Bertotti, 2024). According to the Office for National Statistics (2026), approximately 23% of adults in Great Britain report feeling lonely “often always, or some of the time” This suggests a potential need for greater access to community-based support. The NHS has also taken steps to integrate social prescribing into healthcare services (Bertotti, 2024). This highlights the importance of understanding its effects on UK adults.</w:t>
      </w:r>
    </w:p>
    <w:p w14:paraId="21616DF3" w14:textId="77777777" w:rsidR="00A20F97" w:rsidRPr="00A20F97" w:rsidRDefault="00A20F97" w:rsidP="00A20F97">
      <w:pPr>
        <w:spacing w:line="360" w:lineRule="auto"/>
        <w:rPr>
          <w:rFonts w:ascii="Arial" w:hAnsi="Arial" w:cs="Arial"/>
          <w:sz w:val="22"/>
          <w:szCs w:val="22"/>
        </w:rPr>
      </w:pPr>
    </w:p>
    <w:p w14:paraId="31C3D09B" w14:textId="77777777" w:rsidR="00A20F97" w:rsidRPr="00A20F97" w:rsidRDefault="00A20F97" w:rsidP="00A20F97">
      <w:pPr>
        <w:spacing w:line="360" w:lineRule="auto"/>
        <w:rPr>
          <w:rFonts w:ascii="Arial" w:hAnsi="Arial" w:cs="Arial"/>
          <w:b/>
          <w:bCs/>
          <w:sz w:val="22"/>
          <w:szCs w:val="22"/>
          <w:u w:val="single"/>
        </w:rPr>
      </w:pPr>
      <w:r w:rsidRPr="00A20F97">
        <w:rPr>
          <w:rFonts w:ascii="Arial" w:hAnsi="Arial" w:cs="Arial"/>
          <w:b/>
          <w:bCs/>
          <w:sz w:val="22"/>
          <w:szCs w:val="22"/>
          <w:u w:val="single"/>
        </w:rPr>
        <w:t>Rationale </w:t>
      </w:r>
    </w:p>
    <w:p w14:paraId="40268F2B"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Social prescribing is increasing being integrated into primary healthcare. However further evaluation is needed to understand its impact on the health and wellbeing of UK adults. Cooper et al. (2022) found that 16 of 17 studies reported significant improvements in mental well-being, health or quality of life following social prescribing interventions. However, limitations made it difficult to draw firm conclusions about their effectiveness. Therefore, a scoping review is appropriate to identify and map the existing evidence on the impact of social prescribing on the health and wellbeing of UK adults. “Previous research has also identified barriers to the implementation and delivery of social prescribing services.” (</w:t>
      </w:r>
      <w:proofErr w:type="spellStart"/>
      <w:r w:rsidRPr="00A20F97">
        <w:rPr>
          <w:rFonts w:ascii="Arial" w:hAnsi="Arial" w:cs="Arial"/>
          <w:sz w:val="22"/>
          <w:szCs w:val="22"/>
        </w:rPr>
        <w:t>Pescheny</w:t>
      </w:r>
      <w:proofErr w:type="spellEnd"/>
      <w:r w:rsidRPr="00A20F97">
        <w:rPr>
          <w:rFonts w:ascii="Arial" w:hAnsi="Arial" w:cs="Arial"/>
          <w:sz w:val="22"/>
          <w:szCs w:val="22"/>
        </w:rPr>
        <w:t>, Pappas and Randhawa, 2018)</w:t>
      </w:r>
    </w:p>
    <w:p w14:paraId="224F3BB1" w14:textId="77777777" w:rsidR="00A20F97" w:rsidRPr="00A20F97" w:rsidRDefault="00A20F97" w:rsidP="00A20F97">
      <w:pPr>
        <w:spacing w:line="360" w:lineRule="auto"/>
        <w:rPr>
          <w:rFonts w:ascii="Arial" w:hAnsi="Arial" w:cs="Arial"/>
          <w:sz w:val="22"/>
          <w:szCs w:val="22"/>
        </w:rPr>
      </w:pPr>
    </w:p>
    <w:p w14:paraId="54B1AB53" w14:textId="77777777" w:rsidR="00A20F97" w:rsidRPr="00A20F97" w:rsidRDefault="00A20F97" w:rsidP="00A20F97">
      <w:pPr>
        <w:spacing w:line="360" w:lineRule="auto"/>
        <w:rPr>
          <w:rFonts w:ascii="Arial" w:hAnsi="Arial" w:cs="Arial"/>
          <w:b/>
          <w:bCs/>
          <w:sz w:val="22"/>
          <w:szCs w:val="22"/>
          <w:u w:val="single"/>
        </w:rPr>
      </w:pPr>
      <w:r w:rsidRPr="00A20F97">
        <w:rPr>
          <w:rFonts w:ascii="Arial" w:hAnsi="Arial" w:cs="Arial"/>
          <w:b/>
          <w:bCs/>
          <w:sz w:val="22"/>
          <w:szCs w:val="22"/>
          <w:u w:val="single"/>
        </w:rPr>
        <w:t>Aim</w:t>
      </w:r>
    </w:p>
    <w:p w14:paraId="3F066791"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The aim of this research is to identify and map evidence on how social prescribing supports the health and wellbeing of UK adults, including reported outcomes and barriers.</w:t>
      </w:r>
    </w:p>
    <w:p w14:paraId="73C00C66" w14:textId="77777777" w:rsidR="00A20F97" w:rsidRPr="00A20F97" w:rsidRDefault="00A20F97" w:rsidP="00A20F97">
      <w:pPr>
        <w:spacing w:line="360" w:lineRule="auto"/>
        <w:rPr>
          <w:rFonts w:ascii="Arial" w:hAnsi="Arial" w:cs="Arial"/>
          <w:sz w:val="22"/>
          <w:szCs w:val="22"/>
        </w:rPr>
      </w:pPr>
    </w:p>
    <w:p w14:paraId="29A8A662" w14:textId="77777777" w:rsidR="00A20F97" w:rsidRPr="00A20F97" w:rsidRDefault="00A20F97" w:rsidP="00A20F97">
      <w:pPr>
        <w:spacing w:line="360" w:lineRule="auto"/>
        <w:rPr>
          <w:rFonts w:ascii="Arial" w:hAnsi="Arial" w:cs="Arial"/>
          <w:b/>
          <w:bCs/>
          <w:sz w:val="22"/>
          <w:szCs w:val="22"/>
          <w:u w:val="single"/>
        </w:rPr>
      </w:pPr>
      <w:r w:rsidRPr="00A20F97">
        <w:rPr>
          <w:rFonts w:ascii="Arial" w:hAnsi="Arial" w:cs="Arial"/>
          <w:b/>
          <w:bCs/>
          <w:sz w:val="22"/>
          <w:szCs w:val="22"/>
          <w:u w:val="single"/>
        </w:rPr>
        <w:t>Objectives</w:t>
      </w:r>
    </w:p>
    <w:p w14:paraId="4603C4DC" w14:textId="77777777" w:rsidR="00A20F97" w:rsidRPr="00A20F97" w:rsidRDefault="00A20F97" w:rsidP="00A20F97">
      <w:pPr>
        <w:spacing w:line="360" w:lineRule="auto"/>
        <w:rPr>
          <w:rFonts w:ascii="Arial" w:hAnsi="Arial" w:cs="Arial"/>
          <w:sz w:val="22"/>
          <w:szCs w:val="22"/>
        </w:rPr>
      </w:pPr>
    </w:p>
    <w:p w14:paraId="19A3FBCC" w14:textId="77777777" w:rsidR="00A20F97" w:rsidRPr="00A20F97" w:rsidRDefault="00A20F97" w:rsidP="00A20F97">
      <w:pPr>
        <w:numPr>
          <w:ilvl w:val="0"/>
          <w:numId w:val="1"/>
        </w:numPr>
        <w:spacing w:line="360" w:lineRule="auto"/>
        <w:rPr>
          <w:rFonts w:ascii="Arial" w:hAnsi="Arial" w:cs="Arial"/>
          <w:sz w:val="22"/>
          <w:szCs w:val="22"/>
        </w:rPr>
      </w:pPr>
      <w:r w:rsidRPr="00A20F97">
        <w:rPr>
          <w:rFonts w:ascii="Arial" w:hAnsi="Arial" w:cs="Arial"/>
          <w:sz w:val="22"/>
          <w:szCs w:val="22"/>
        </w:rPr>
        <w:t>To identify and map evidence on the effectiveness of social prescribing for UK adults.</w:t>
      </w:r>
    </w:p>
    <w:p w14:paraId="42FF8CB6" w14:textId="77777777" w:rsidR="00A20F97" w:rsidRPr="00A20F97" w:rsidRDefault="00A20F97" w:rsidP="00A20F97">
      <w:pPr>
        <w:numPr>
          <w:ilvl w:val="0"/>
          <w:numId w:val="1"/>
        </w:numPr>
        <w:spacing w:line="360" w:lineRule="auto"/>
        <w:rPr>
          <w:rFonts w:ascii="Arial" w:hAnsi="Arial" w:cs="Arial"/>
          <w:sz w:val="22"/>
          <w:szCs w:val="22"/>
        </w:rPr>
      </w:pPr>
      <w:r w:rsidRPr="00A20F97">
        <w:rPr>
          <w:rFonts w:ascii="Arial" w:hAnsi="Arial" w:cs="Arial"/>
          <w:sz w:val="22"/>
          <w:szCs w:val="22"/>
        </w:rPr>
        <w:t>To identify the challenges and barriers within social prescribing pathways.</w:t>
      </w:r>
    </w:p>
    <w:p w14:paraId="60C60685" w14:textId="77777777" w:rsidR="00A20F97" w:rsidRPr="00A20F97" w:rsidRDefault="00A20F97" w:rsidP="00A20F97">
      <w:pPr>
        <w:numPr>
          <w:ilvl w:val="0"/>
          <w:numId w:val="1"/>
        </w:numPr>
        <w:spacing w:line="360" w:lineRule="auto"/>
        <w:rPr>
          <w:rFonts w:ascii="Arial" w:hAnsi="Arial" w:cs="Arial"/>
          <w:sz w:val="22"/>
          <w:szCs w:val="22"/>
        </w:rPr>
      </w:pPr>
      <w:r w:rsidRPr="00A20F97">
        <w:rPr>
          <w:rFonts w:ascii="Arial" w:hAnsi="Arial" w:cs="Arial"/>
          <w:sz w:val="22"/>
          <w:szCs w:val="22"/>
        </w:rPr>
        <w:t>To examine the reported health and wellbeing outcomes of with social prescribing in UK adults.</w:t>
      </w:r>
    </w:p>
    <w:p w14:paraId="27F50571" w14:textId="77777777" w:rsidR="00A20F97" w:rsidRPr="00A20F97" w:rsidRDefault="00A20F97" w:rsidP="00A20F97">
      <w:pPr>
        <w:spacing w:line="360" w:lineRule="auto"/>
        <w:rPr>
          <w:rFonts w:ascii="Arial" w:hAnsi="Arial" w:cs="Arial"/>
          <w:b/>
          <w:bCs/>
          <w:sz w:val="22"/>
          <w:szCs w:val="22"/>
          <w:u w:val="single"/>
        </w:rPr>
      </w:pPr>
      <w:r w:rsidRPr="00A20F97">
        <w:rPr>
          <w:rFonts w:ascii="Arial" w:hAnsi="Arial" w:cs="Arial"/>
          <w:b/>
          <w:bCs/>
          <w:sz w:val="22"/>
          <w:szCs w:val="22"/>
          <w:u w:val="single"/>
        </w:rPr>
        <w:t>Research Question</w:t>
      </w:r>
    </w:p>
    <w:p w14:paraId="7DDE93D1"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lastRenderedPageBreak/>
        <w:t>What does the existing evidence show about the impact of social prescribing on the health and wellbeing of UK adults, and what barriers are associated with social prescribing pathways?</w:t>
      </w:r>
    </w:p>
    <w:p w14:paraId="5ED9BBF9" w14:textId="77777777" w:rsidR="00A20F97" w:rsidRPr="00A20F97" w:rsidRDefault="00A20F97" w:rsidP="00A20F97">
      <w:pPr>
        <w:spacing w:line="360" w:lineRule="auto"/>
        <w:rPr>
          <w:rFonts w:ascii="Arial" w:hAnsi="Arial" w:cs="Arial"/>
          <w:sz w:val="22"/>
          <w:szCs w:val="22"/>
        </w:rPr>
      </w:pPr>
    </w:p>
    <w:p w14:paraId="620D33D2" w14:textId="77777777" w:rsidR="00A20F97" w:rsidRPr="00A20F97" w:rsidRDefault="00A20F97" w:rsidP="00A20F97">
      <w:pPr>
        <w:pStyle w:val="Heading1"/>
        <w:spacing w:line="360" w:lineRule="auto"/>
        <w:rPr>
          <w:rFonts w:ascii="Arial" w:hAnsi="Arial" w:cs="Arial"/>
          <w:b/>
          <w:bCs/>
          <w:color w:val="000000" w:themeColor="text1"/>
          <w:sz w:val="22"/>
          <w:szCs w:val="22"/>
          <w:u w:val="single"/>
        </w:rPr>
      </w:pPr>
      <w:bookmarkStart w:id="0" w:name="_Toc241673988"/>
      <w:r w:rsidRPr="00A20F97">
        <w:rPr>
          <w:rFonts w:ascii="Arial" w:hAnsi="Arial" w:cs="Arial"/>
          <w:b/>
          <w:bCs/>
          <w:color w:val="000000" w:themeColor="text1"/>
          <w:sz w:val="22"/>
          <w:szCs w:val="22"/>
          <w:u w:val="single"/>
        </w:rPr>
        <w:t>Research Methodology</w:t>
      </w:r>
      <w:bookmarkEnd w:id="0"/>
    </w:p>
    <w:p w14:paraId="2F89DC80"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 xml:space="preserve">This research will use a secondary research approach through a scoping review of peer-reviewed literature. Relevant studies will be identified through academic databases and selected based on their relevance to social prescribing and UK adults. The selected literature will be systematically organised and analysed to identify key themes and patterns relating to effectiveness, health and wellbeing outcomes, barriers and patient experiences. The findings will then be synthesised to provide an overview of the available evidence and identify gaps within existing research. Sandhu et al. (2022) demonstrates the use of scoping reviews to map components of social prescribing in the UK. </w:t>
      </w:r>
    </w:p>
    <w:p w14:paraId="56DCF2D7" w14:textId="77777777" w:rsidR="00A20F97" w:rsidRPr="00A20F97" w:rsidRDefault="00A20F97" w:rsidP="00A20F97">
      <w:pPr>
        <w:spacing w:line="360" w:lineRule="auto"/>
        <w:rPr>
          <w:rFonts w:ascii="Arial" w:hAnsi="Arial" w:cs="Arial"/>
          <w:sz w:val="22"/>
          <w:szCs w:val="22"/>
        </w:rPr>
      </w:pPr>
    </w:p>
    <w:p w14:paraId="755D01DC" w14:textId="77777777" w:rsidR="00A20F97" w:rsidRPr="00A20F97" w:rsidRDefault="00A20F97" w:rsidP="00A20F97">
      <w:pPr>
        <w:spacing w:line="360" w:lineRule="auto"/>
        <w:rPr>
          <w:rFonts w:ascii="Arial" w:hAnsi="Arial" w:cs="Arial"/>
          <w:b/>
          <w:bCs/>
          <w:sz w:val="22"/>
          <w:szCs w:val="22"/>
          <w:u w:val="single"/>
        </w:rPr>
      </w:pPr>
      <w:r w:rsidRPr="00A20F97">
        <w:rPr>
          <w:rFonts w:ascii="Arial" w:hAnsi="Arial" w:cs="Arial"/>
          <w:b/>
          <w:bCs/>
          <w:sz w:val="22"/>
          <w:szCs w:val="22"/>
          <w:u w:val="single"/>
        </w:rPr>
        <w:t>Ethics </w:t>
      </w:r>
    </w:p>
    <w:p w14:paraId="0C1D5A5F"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Ethical considerations will be addressed by using existing published research rather than collecting information directly from participants. Academic integrity will be maintained through accurate reporting and appropriate Harvard referencing.</w:t>
      </w:r>
    </w:p>
    <w:p w14:paraId="5D20B551" w14:textId="77777777" w:rsidR="00A20F97" w:rsidRPr="00A20F97" w:rsidRDefault="00A20F97" w:rsidP="00A20F97">
      <w:pPr>
        <w:spacing w:line="360" w:lineRule="auto"/>
        <w:rPr>
          <w:rFonts w:ascii="Arial" w:hAnsi="Arial" w:cs="Arial"/>
          <w:sz w:val="22"/>
          <w:szCs w:val="22"/>
        </w:rPr>
      </w:pPr>
    </w:p>
    <w:p w14:paraId="4AD8D737" w14:textId="77777777" w:rsidR="00A20F97" w:rsidRPr="00A20F97" w:rsidRDefault="00A20F97" w:rsidP="00A20F97">
      <w:pPr>
        <w:spacing w:line="360" w:lineRule="auto"/>
        <w:rPr>
          <w:rFonts w:ascii="Arial" w:hAnsi="Arial" w:cs="Arial"/>
          <w:sz w:val="22"/>
          <w:szCs w:val="22"/>
        </w:rPr>
      </w:pPr>
    </w:p>
    <w:p w14:paraId="7BC53D4E" w14:textId="77777777" w:rsidR="00A20F97" w:rsidRPr="00A20F97" w:rsidRDefault="00A20F97" w:rsidP="00A20F97">
      <w:pPr>
        <w:spacing w:line="360" w:lineRule="auto"/>
        <w:rPr>
          <w:rFonts w:ascii="Arial" w:hAnsi="Arial" w:cs="Arial"/>
          <w:sz w:val="22"/>
          <w:szCs w:val="22"/>
        </w:rPr>
      </w:pPr>
    </w:p>
    <w:p w14:paraId="58CDE1DB" w14:textId="77777777" w:rsidR="00A20F97" w:rsidRPr="00A20F97" w:rsidRDefault="00A20F97" w:rsidP="00A20F97">
      <w:pPr>
        <w:spacing w:line="360" w:lineRule="auto"/>
        <w:rPr>
          <w:rFonts w:ascii="Arial" w:hAnsi="Arial" w:cs="Arial"/>
          <w:sz w:val="22"/>
          <w:szCs w:val="22"/>
        </w:rPr>
      </w:pPr>
    </w:p>
    <w:p w14:paraId="6D5E6699" w14:textId="77777777" w:rsidR="00A20F97" w:rsidRPr="00A20F97" w:rsidRDefault="00A20F97" w:rsidP="00A20F97">
      <w:pPr>
        <w:spacing w:line="360" w:lineRule="auto"/>
        <w:rPr>
          <w:rFonts w:ascii="Arial" w:hAnsi="Arial" w:cs="Arial"/>
          <w:sz w:val="22"/>
          <w:szCs w:val="22"/>
        </w:rPr>
      </w:pPr>
    </w:p>
    <w:p w14:paraId="5992E5D4" w14:textId="77777777" w:rsidR="00A20F97" w:rsidRPr="00A20F97" w:rsidRDefault="00A20F97" w:rsidP="00A20F97">
      <w:pPr>
        <w:spacing w:line="360" w:lineRule="auto"/>
        <w:rPr>
          <w:rFonts w:ascii="Arial" w:hAnsi="Arial" w:cs="Arial"/>
          <w:sz w:val="22"/>
          <w:szCs w:val="22"/>
        </w:rPr>
      </w:pPr>
    </w:p>
    <w:p w14:paraId="7387E5BB" w14:textId="77777777" w:rsidR="00A20F97" w:rsidRPr="00A20F97" w:rsidRDefault="00A20F97" w:rsidP="00A20F97">
      <w:pPr>
        <w:spacing w:line="360" w:lineRule="auto"/>
        <w:rPr>
          <w:rFonts w:ascii="Arial" w:hAnsi="Arial" w:cs="Arial"/>
          <w:sz w:val="22"/>
          <w:szCs w:val="22"/>
        </w:rPr>
      </w:pPr>
    </w:p>
    <w:p w14:paraId="3F853078" w14:textId="77777777" w:rsidR="00A20F97" w:rsidRPr="00A20F97" w:rsidRDefault="00A20F97" w:rsidP="00A20F97">
      <w:pPr>
        <w:spacing w:line="360" w:lineRule="auto"/>
        <w:rPr>
          <w:rFonts w:ascii="Arial" w:hAnsi="Arial" w:cs="Arial"/>
          <w:sz w:val="22"/>
          <w:szCs w:val="22"/>
        </w:rPr>
      </w:pPr>
    </w:p>
    <w:p w14:paraId="73A1370B" w14:textId="77777777" w:rsidR="00A20F97" w:rsidRPr="00A20F97" w:rsidRDefault="00A20F97" w:rsidP="00A20F97">
      <w:pPr>
        <w:spacing w:line="360" w:lineRule="auto"/>
        <w:rPr>
          <w:rFonts w:ascii="Arial" w:hAnsi="Arial" w:cs="Arial"/>
          <w:sz w:val="22"/>
          <w:szCs w:val="22"/>
        </w:rPr>
      </w:pPr>
    </w:p>
    <w:p w14:paraId="75BEE2A4" w14:textId="77777777" w:rsidR="00A20F97" w:rsidRPr="00A20F97" w:rsidRDefault="00A20F97" w:rsidP="00A20F97">
      <w:pPr>
        <w:spacing w:line="360" w:lineRule="auto"/>
        <w:rPr>
          <w:rFonts w:ascii="Arial" w:hAnsi="Arial" w:cs="Arial"/>
          <w:sz w:val="22"/>
          <w:szCs w:val="22"/>
        </w:rPr>
      </w:pPr>
    </w:p>
    <w:p w14:paraId="0AC99DD5" w14:textId="77777777" w:rsidR="00A20F97" w:rsidRPr="00A20F97" w:rsidRDefault="00A20F97" w:rsidP="00A20F97">
      <w:pPr>
        <w:spacing w:line="360" w:lineRule="auto"/>
        <w:rPr>
          <w:rFonts w:ascii="Arial" w:hAnsi="Arial" w:cs="Arial"/>
          <w:sz w:val="22"/>
          <w:szCs w:val="22"/>
        </w:rPr>
      </w:pPr>
    </w:p>
    <w:p w14:paraId="73B8992A" w14:textId="77777777" w:rsidR="00A20F97" w:rsidRPr="00A20F97" w:rsidRDefault="00A20F97" w:rsidP="00A20F97">
      <w:pPr>
        <w:spacing w:line="360" w:lineRule="auto"/>
        <w:rPr>
          <w:rFonts w:ascii="Arial" w:hAnsi="Arial" w:cs="Arial"/>
          <w:b/>
          <w:bCs/>
          <w:sz w:val="22"/>
          <w:szCs w:val="22"/>
          <w:u w:val="single"/>
        </w:rPr>
      </w:pPr>
      <w:r w:rsidRPr="00A20F97">
        <w:rPr>
          <w:rFonts w:ascii="Arial" w:hAnsi="Arial" w:cs="Arial"/>
          <w:b/>
          <w:bCs/>
          <w:sz w:val="22"/>
          <w:szCs w:val="22"/>
          <w:u w:val="single"/>
        </w:rPr>
        <w:lastRenderedPageBreak/>
        <w:t>References</w:t>
      </w:r>
    </w:p>
    <w:p w14:paraId="0BD8E795"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Bertotti, M. (2024). Social Prescribing Policy, Research, and Practice. Springer Nature.</w:t>
      </w:r>
    </w:p>
    <w:p w14:paraId="1B38F468" w14:textId="77777777" w:rsidR="00A20F97" w:rsidRPr="00A20F97" w:rsidRDefault="00A20F97" w:rsidP="00A20F97">
      <w:pPr>
        <w:spacing w:line="360" w:lineRule="auto"/>
        <w:ind w:left="720" w:hanging="720"/>
        <w:rPr>
          <w:rFonts w:ascii="Arial" w:hAnsi="Arial" w:cs="Arial"/>
          <w:sz w:val="22"/>
          <w:szCs w:val="22"/>
        </w:rPr>
      </w:pPr>
      <w:r w:rsidRPr="00A20F97">
        <w:rPr>
          <w:rFonts w:ascii="Arial" w:hAnsi="Arial" w:cs="Arial"/>
          <w:sz w:val="22"/>
          <w:szCs w:val="22"/>
        </w:rPr>
        <w:t xml:space="preserve">Cooper, M., Avery, L., Scott, J., Ashley, K., Jordan, C., Errington, L. and Flynn, D. (2022). ‘Effectiveness and active ingredients of social prescribing interventions targeting mental health: a systematic review’, </w:t>
      </w:r>
      <w:r w:rsidRPr="00A20F97">
        <w:rPr>
          <w:rFonts w:ascii="Arial" w:hAnsi="Arial" w:cs="Arial"/>
          <w:i/>
          <w:iCs/>
          <w:sz w:val="22"/>
          <w:szCs w:val="22"/>
        </w:rPr>
        <w:t>BMJ Open</w:t>
      </w:r>
      <w:r w:rsidRPr="00A20F97">
        <w:rPr>
          <w:rFonts w:ascii="Arial" w:hAnsi="Arial" w:cs="Arial"/>
          <w:sz w:val="22"/>
          <w:szCs w:val="22"/>
        </w:rPr>
        <w:t>, 12(7), e060214. doi:10.1136/bmjopen-2021-060214. </w:t>
      </w:r>
    </w:p>
    <w:p w14:paraId="7304F2E0"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 xml:space="preserve">Office for National Statistics (2026). Public Opinions and Social Trends, Great Britain. [online] Ons.gov.uk. Available at: </w:t>
      </w:r>
      <w:hyperlink r:id="rId7" w:history="1">
        <w:r w:rsidRPr="00A20F97">
          <w:rPr>
            <w:rStyle w:val="Hyperlink"/>
            <w:rFonts w:ascii="Arial" w:hAnsi="Arial" w:cs="Arial"/>
            <w:sz w:val="22"/>
            <w:szCs w:val="22"/>
          </w:rPr>
          <w:t>https://www.ons.gov.uk/peoplepopulationandcommunity/wellbeing/bulletins/publicopinionsandsocialtrendsgreatbritain/january2026</w:t>
        </w:r>
      </w:hyperlink>
    </w:p>
    <w:p w14:paraId="1FE664F4" w14:textId="77777777" w:rsidR="00A20F97" w:rsidRPr="00A20F97" w:rsidRDefault="00A20F97" w:rsidP="00A20F97">
      <w:pPr>
        <w:spacing w:line="360" w:lineRule="auto"/>
        <w:rPr>
          <w:rFonts w:ascii="Arial" w:hAnsi="Arial" w:cs="Arial"/>
          <w:sz w:val="22"/>
          <w:szCs w:val="22"/>
        </w:rPr>
      </w:pPr>
      <w:proofErr w:type="spellStart"/>
      <w:r w:rsidRPr="00A20F97">
        <w:rPr>
          <w:rFonts w:ascii="Arial" w:hAnsi="Arial" w:cs="Arial"/>
          <w:sz w:val="22"/>
          <w:szCs w:val="22"/>
        </w:rPr>
        <w:t>Pescheny</w:t>
      </w:r>
      <w:proofErr w:type="spellEnd"/>
      <w:r w:rsidRPr="00A20F97">
        <w:rPr>
          <w:rFonts w:ascii="Arial" w:hAnsi="Arial" w:cs="Arial"/>
          <w:sz w:val="22"/>
          <w:szCs w:val="22"/>
        </w:rPr>
        <w:t xml:space="preserve">, J.V., Pappas, Y. and Randhawa, G. (2018). ‘Facilitators and barriers of implementing and delivering social prescribing services: a systematic review’, </w:t>
      </w:r>
      <w:r w:rsidRPr="00A20F97">
        <w:rPr>
          <w:rFonts w:ascii="Arial" w:hAnsi="Arial" w:cs="Arial"/>
          <w:i/>
          <w:iCs/>
          <w:sz w:val="22"/>
          <w:szCs w:val="22"/>
        </w:rPr>
        <w:t>BMC Health Services Research</w:t>
      </w:r>
      <w:r w:rsidRPr="00A20F97">
        <w:rPr>
          <w:rFonts w:ascii="Arial" w:hAnsi="Arial" w:cs="Arial"/>
          <w:sz w:val="22"/>
          <w:szCs w:val="22"/>
        </w:rPr>
        <w:t>, 18, 86. </w:t>
      </w:r>
    </w:p>
    <w:p w14:paraId="64BB9591" w14:textId="77777777" w:rsidR="00A20F97" w:rsidRPr="00A20F97" w:rsidRDefault="00A20F97" w:rsidP="00A20F97">
      <w:pPr>
        <w:spacing w:line="360" w:lineRule="auto"/>
        <w:rPr>
          <w:rFonts w:ascii="Arial" w:hAnsi="Arial" w:cs="Arial"/>
          <w:sz w:val="22"/>
          <w:szCs w:val="22"/>
        </w:rPr>
      </w:pPr>
      <w:r w:rsidRPr="00A20F97">
        <w:rPr>
          <w:rFonts w:ascii="Arial" w:hAnsi="Arial" w:cs="Arial"/>
          <w:sz w:val="22"/>
          <w:szCs w:val="22"/>
        </w:rPr>
        <w:t xml:space="preserve">Sandhu, S., Lian, T., Drake, C., Moffatt, S., Wildman, J. and Wildman, J. (2022). ‘Intervention components of link worker social prescribing programmes: A scoping review’, </w:t>
      </w:r>
      <w:r w:rsidRPr="00A20F97">
        <w:rPr>
          <w:rFonts w:ascii="Arial" w:hAnsi="Arial" w:cs="Arial"/>
          <w:i/>
          <w:iCs/>
          <w:sz w:val="22"/>
          <w:szCs w:val="22"/>
        </w:rPr>
        <w:t>Health &amp; Social Care in the Community</w:t>
      </w:r>
      <w:r w:rsidRPr="00A20F97">
        <w:rPr>
          <w:rFonts w:ascii="Arial" w:hAnsi="Arial" w:cs="Arial"/>
          <w:sz w:val="22"/>
          <w:szCs w:val="22"/>
        </w:rPr>
        <w:t>, 30(6), e3761–e3774. </w:t>
      </w:r>
    </w:p>
    <w:p w14:paraId="0BECE651" w14:textId="77777777" w:rsidR="00A20F97" w:rsidRDefault="00A20F97"/>
    <w:sectPr w:rsidR="00A20F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6741673"/>
      <w:docPartObj>
        <w:docPartGallery w:val="Page Numbers (Bottom of Page)"/>
        <w:docPartUnique/>
      </w:docPartObj>
    </w:sdtPr>
    <w:sdtContent>
      <w:p w14:paraId="5912F6A5" w14:textId="77777777" w:rsidR="00A20F97" w:rsidRDefault="00A20F97">
        <w:pPr>
          <w:pStyle w:val="Footer"/>
          <w:jc w:val="right"/>
        </w:pPr>
        <w:r>
          <w:fldChar w:fldCharType="begin"/>
        </w:r>
        <w:r>
          <w:instrText>PAGE   \* MERGEFORMAT</w:instrText>
        </w:r>
        <w:r>
          <w:fldChar w:fldCharType="separate"/>
        </w:r>
        <w:r>
          <w:t>2</w:t>
        </w:r>
        <w:r>
          <w:fldChar w:fldCharType="end"/>
        </w:r>
      </w:p>
    </w:sdtContent>
  </w:sdt>
  <w:p w14:paraId="478CEDF5" w14:textId="77777777" w:rsidR="00A20F97" w:rsidRDefault="00A20F97">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5CCF9" w14:textId="77777777" w:rsidR="00A20F97" w:rsidRDefault="00A20F97">
    <w:pPr>
      <w:pStyle w:val="Header"/>
    </w:pPr>
  </w:p>
  <w:p w14:paraId="5B751225" w14:textId="77777777" w:rsidR="00A20F97" w:rsidRDefault="00A20F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B2E91"/>
    <w:multiLevelType w:val="multilevel"/>
    <w:tmpl w:val="6E8C4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8141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F97"/>
    <w:rsid w:val="004227FE"/>
    <w:rsid w:val="00A20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77847"/>
  <w15:chartTrackingRefBased/>
  <w15:docId w15:val="{E8001529-251E-4C0F-BFD4-3E02278E7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F97"/>
  </w:style>
  <w:style w:type="paragraph" w:styleId="Heading1">
    <w:name w:val="heading 1"/>
    <w:basedOn w:val="Normal"/>
    <w:next w:val="Normal"/>
    <w:link w:val="Heading1Char"/>
    <w:uiPriority w:val="9"/>
    <w:qFormat/>
    <w:rsid w:val="00A20F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0F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0F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F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F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F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F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F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F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0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F97"/>
    <w:rPr>
      <w:rFonts w:eastAsiaTheme="majorEastAsia" w:cstheme="majorBidi"/>
      <w:color w:val="272727" w:themeColor="text1" w:themeTint="D8"/>
    </w:rPr>
  </w:style>
  <w:style w:type="paragraph" w:styleId="Title">
    <w:name w:val="Title"/>
    <w:basedOn w:val="Normal"/>
    <w:next w:val="Normal"/>
    <w:link w:val="TitleChar"/>
    <w:uiPriority w:val="10"/>
    <w:qFormat/>
    <w:rsid w:val="00A20F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F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F97"/>
    <w:pPr>
      <w:spacing w:before="160"/>
      <w:jc w:val="center"/>
    </w:pPr>
    <w:rPr>
      <w:i/>
      <w:iCs/>
      <w:color w:val="404040" w:themeColor="text1" w:themeTint="BF"/>
    </w:rPr>
  </w:style>
  <w:style w:type="character" w:customStyle="1" w:styleId="QuoteChar">
    <w:name w:val="Quote Char"/>
    <w:basedOn w:val="DefaultParagraphFont"/>
    <w:link w:val="Quote"/>
    <w:uiPriority w:val="29"/>
    <w:rsid w:val="00A20F97"/>
    <w:rPr>
      <w:i/>
      <w:iCs/>
      <w:color w:val="404040" w:themeColor="text1" w:themeTint="BF"/>
    </w:rPr>
  </w:style>
  <w:style w:type="paragraph" w:styleId="ListParagraph">
    <w:name w:val="List Paragraph"/>
    <w:basedOn w:val="Normal"/>
    <w:uiPriority w:val="34"/>
    <w:qFormat/>
    <w:rsid w:val="00A20F97"/>
    <w:pPr>
      <w:ind w:left="720"/>
      <w:contextualSpacing/>
    </w:pPr>
  </w:style>
  <w:style w:type="character" w:styleId="IntenseEmphasis">
    <w:name w:val="Intense Emphasis"/>
    <w:basedOn w:val="DefaultParagraphFont"/>
    <w:uiPriority w:val="21"/>
    <w:qFormat/>
    <w:rsid w:val="00A20F97"/>
    <w:rPr>
      <w:i/>
      <w:iCs/>
      <w:color w:val="0F4761" w:themeColor="accent1" w:themeShade="BF"/>
    </w:rPr>
  </w:style>
  <w:style w:type="paragraph" w:styleId="IntenseQuote">
    <w:name w:val="Intense Quote"/>
    <w:basedOn w:val="Normal"/>
    <w:next w:val="Normal"/>
    <w:link w:val="IntenseQuoteChar"/>
    <w:uiPriority w:val="30"/>
    <w:qFormat/>
    <w:rsid w:val="00A20F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F97"/>
    <w:rPr>
      <w:i/>
      <w:iCs/>
      <w:color w:val="0F4761" w:themeColor="accent1" w:themeShade="BF"/>
    </w:rPr>
  </w:style>
  <w:style w:type="character" w:styleId="IntenseReference">
    <w:name w:val="Intense Reference"/>
    <w:basedOn w:val="DefaultParagraphFont"/>
    <w:uiPriority w:val="32"/>
    <w:qFormat/>
    <w:rsid w:val="00A20F97"/>
    <w:rPr>
      <w:b/>
      <w:bCs/>
      <w:smallCaps/>
      <w:color w:val="0F4761" w:themeColor="accent1" w:themeShade="BF"/>
      <w:spacing w:val="5"/>
    </w:rPr>
  </w:style>
  <w:style w:type="paragraph" w:styleId="Header">
    <w:name w:val="header"/>
    <w:basedOn w:val="Normal"/>
    <w:link w:val="HeaderChar"/>
    <w:uiPriority w:val="99"/>
    <w:unhideWhenUsed/>
    <w:rsid w:val="00A20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F97"/>
  </w:style>
  <w:style w:type="paragraph" w:styleId="Footer">
    <w:name w:val="footer"/>
    <w:basedOn w:val="Normal"/>
    <w:link w:val="FooterChar"/>
    <w:uiPriority w:val="99"/>
    <w:unhideWhenUsed/>
    <w:rsid w:val="00A20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F97"/>
  </w:style>
  <w:style w:type="character" w:styleId="Hyperlink">
    <w:name w:val="Hyperlink"/>
    <w:basedOn w:val="DefaultParagraphFont"/>
    <w:uiPriority w:val="99"/>
    <w:unhideWhenUsed/>
    <w:rsid w:val="00A20F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peoplepopulationandcommunity/wellbeing/bulletins/publicopinionsandsocialtrendsgreatbritain/january202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674</Words>
  <Characters>3844</Characters>
  <Application>Microsoft Office Word</Application>
  <DocSecurity>0</DocSecurity>
  <Lines>32</Lines>
  <Paragraphs>9</Paragraphs>
  <ScaleCrop>false</ScaleCrop>
  <Company/>
  <LinksUpToDate>false</LinksUpToDate>
  <CharactersWithSpaces>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Fahy (2425000)</dc:creator>
  <cp:keywords/>
  <dc:description/>
  <cp:lastModifiedBy>Leanne Fahy</cp:lastModifiedBy>
  <cp:revision>1</cp:revision>
  <dcterms:created xsi:type="dcterms:W3CDTF">2026-10-06T12:03:00Z</dcterms:created>
  <dcterms:modified xsi:type="dcterms:W3CDTF">2026-10-06T12:05:00Z</dcterms:modified>
</cp:coreProperties>
</file>