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AAB837" w14:textId="77777777" w:rsidR="006F45B9" w:rsidRDefault="006F45B9" w:rsidP="00226B74">
      <w:pPr>
        <w:jc w:val="both"/>
        <w:rPr>
          <w:szCs w:val="22"/>
          <w:lang w:val="en-GB"/>
        </w:rPr>
      </w:pPr>
    </w:p>
    <w:p w14:paraId="5294E659" w14:textId="77777777" w:rsidR="00226B74" w:rsidRDefault="00226B74" w:rsidP="00A33A21">
      <w:pPr>
        <w:jc w:val="both"/>
        <w:rPr>
          <w:szCs w:val="22"/>
          <w:lang w:val="en-GB"/>
        </w:rPr>
      </w:pPr>
    </w:p>
    <w:p w14:paraId="496F0956" w14:textId="3EC43D35" w:rsidR="003D3A1C" w:rsidRPr="003D3A1C" w:rsidRDefault="003D3A1C" w:rsidP="00A33A21">
      <w:pPr>
        <w:jc w:val="center"/>
        <w:rPr>
          <w:b/>
          <w:bCs/>
          <w:sz w:val="28"/>
          <w:szCs w:val="28"/>
        </w:rPr>
      </w:pPr>
      <w:r w:rsidRPr="2A89F126">
        <w:rPr>
          <w:b/>
          <w:bCs/>
          <w:sz w:val="28"/>
          <w:szCs w:val="28"/>
        </w:rPr>
        <w:t>Name</w:t>
      </w:r>
      <w:r w:rsidR="2E18A85D" w:rsidRPr="2A89F126">
        <w:rPr>
          <w:b/>
          <w:bCs/>
          <w:sz w:val="28"/>
          <w:szCs w:val="28"/>
        </w:rPr>
        <w:t>: Anisah Bi</w:t>
      </w:r>
    </w:p>
    <w:p w14:paraId="7F240279" w14:textId="05996F13" w:rsidR="003D3A1C" w:rsidRPr="003D3A1C" w:rsidRDefault="003D3A1C" w:rsidP="00A33A21">
      <w:pPr>
        <w:jc w:val="center"/>
        <w:rPr>
          <w:b/>
          <w:bCs/>
          <w:sz w:val="28"/>
          <w:szCs w:val="28"/>
        </w:rPr>
      </w:pPr>
      <w:r w:rsidRPr="2A89F126">
        <w:rPr>
          <w:b/>
          <w:bCs/>
          <w:sz w:val="28"/>
          <w:szCs w:val="28"/>
        </w:rPr>
        <w:t>Student Number</w:t>
      </w:r>
      <w:r w:rsidR="771395E8" w:rsidRPr="2A89F126">
        <w:rPr>
          <w:b/>
          <w:bCs/>
          <w:sz w:val="28"/>
          <w:szCs w:val="28"/>
        </w:rPr>
        <w:t>: 2432005</w:t>
      </w:r>
    </w:p>
    <w:p w14:paraId="49184C52" w14:textId="59BBAE33" w:rsidR="003D3A1C" w:rsidRPr="003D3A1C" w:rsidRDefault="003D3A1C" w:rsidP="00A33A21">
      <w:pPr>
        <w:jc w:val="center"/>
        <w:rPr>
          <w:b/>
          <w:bCs/>
          <w:sz w:val="28"/>
          <w:szCs w:val="28"/>
        </w:rPr>
      </w:pPr>
      <w:r w:rsidRPr="2A89F126">
        <w:rPr>
          <w:b/>
          <w:bCs/>
          <w:sz w:val="28"/>
          <w:szCs w:val="28"/>
        </w:rPr>
        <w:t xml:space="preserve">Module </w:t>
      </w:r>
      <w:r w:rsidR="77728353" w:rsidRPr="2A89F126">
        <w:rPr>
          <w:b/>
          <w:bCs/>
          <w:sz w:val="28"/>
          <w:szCs w:val="28"/>
        </w:rPr>
        <w:t>Code: LCHS4010</w:t>
      </w:r>
    </w:p>
    <w:p w14:paraId="2E4E2EDF" w14:textId="77DDACC9" w:rsidR="110325AA" w:rsidRDefault="110325AA" w:rsidP="00A33A21">
      <w:pPr>
        <w:jc w:val="center"/>
        <w:rPr>
          <w:b/>
          <w:bCs/>
          <w:sz w:val="28"/>
          <w:szCs w:val="28"/>
        </w:rPr>
      </w:pPr>
      <w:r w:rsidRPr="2A89F126">
        <w:rPr>
          <w:b/>
          <w:bCs/>
          <w:sz w:val="28"/>
          <w:szCs w:val="28"/>
        </w:rPr>
        <w:t xml:space="preserve">Module Name: Psychology </w:t>
      </w:r>
    </w:p>
    <w:p w14:paraId="374BE80C" w14:textId="27256FDD" w:rsidR="003D3A1C" w:rsidRPr="003D3A1C" w:rsidRDefault="003D3A1C" w:rsidP="00A33A21">
      <w:pPr>
        <w:jc w:val="center"/>
        <w:rPr>
          <w:b/>
          <w:bCs/>
          <w:sz w:val="28"/>
          <w:szCs w:val="28"/>
        </w:rPr>
      </w:pPr>
      <w:r w:rsidRPr="2A89F126">
        <w:rPr>
          <w:b/>
          <w:bCs/>
          <w:sz w:val="28"/>
          <w:szCs w:val="28"/>
        </w:rPr>
        <w:t>Lecturer’s Name</w:t>
      </w:r>
      <w:r w:rsidR="321CC9CD" w:rsidRPr="2A89F126">
        <w:rPr>
          <w:b/>
          <w:bCs/>
          <w:sz w:val="28"/>
          <w:szCs w:val="28"/>
        </w:rPr>
        <w:t>: Helen Parson</w:t>
      </w:r>
      <w:r w:rsidR="11E11A90" w:rsidRPr="2A89F126">
        <w:rPr>
          <w:b/>
          <w:bCs/>
          <w:sz w:val="28"/>
          <w:szCs w:val="28"/>
        </w:rPr>
        <w:t>s</w:t>
      </w:r>
    </w:p>
    <w:p w14:paraId="3744DA73" w14:textId="7B7D68ED" w:rsidR="00226B74" w:rsidRDefault="003D3A1C" w:rsidP="00A33A21">
      <w:pPr>
        <w:jc w:val="center"/>
        <w:rPr>
          <w:rFonts w:ascii="Arial" w:eastAsia="Arial" w:hAnsi="Arial" w:cs="Arial"/>
          <w:sz w:val="28"/>
          <w:szCs w:val="28"/>
          <w:lang w:val="en-US"/>
        </w:rPr>
      </w:pPr>
      <w:r w:rsidRPr="2A89F126">
        <w:rPr>
          <w:b/>
          <w:bCs/>
          <w:sz w:val="28"/>
          <w:szCs w:val="28"/>
        </w:rPr>
        <w:t>Assignment Title</w:t>
      </w:r>
      <w:r w:rsidR="65961D6A" w:rsidRPr="2A89F126">
        <w:rPr>
          <w:b/>
          <w:bCs/>
          <w:sz w:val="28"/>
          <w:szCs w:val="28"/>
        </w:rPr>
        <w:t xml:space="preserve">: </w:t>
      </w:r>
      <w:r w:rsidR="16C0E597" w:rsidRPr="006722B0">
        <w:rPr>
          <w:rFonts w:ascii="Arial" w:eastAsia="Arial" w:hAnsi="Arial" w:cs="Arial"/>
          <w:b/>
          <w:bCs/>
          <w:sz w:val="28"/>
          <w:szCs w:val="28"/>
          <w:lang w:val="en-US"/>
        </w:rPr>
        <w:t>Bibliography &amp; Report</w:t>
      </w:r>
    </w:p>
    <w:p w14:paraId="39A32351" w14:textId="77777777" w:rsidR="009D2416" w:rsidRDefault="009D2416" w:rsidP="00A33A21">
      <w:pPr>
        <w:jc w:val="center"/>
        <w:rPr>
          <w:b/>
          <w:bCs/>
          <w:sz w:val="28"/>
          <w:szCs w:val="32"/>
        </w:rPr>
      </w:pPr>
    </w:p>
    <w:p w14:paraId="5EEC8429" w14:textId="77777777" w:rsidR="009D2416" w:rsidRDefault="009D2416" w:rsidP="00A33A21">
      <w:pPr>
        <w:jc w:val="center"/>
        <w:rPr>
          <w:b/>
          <w:bCs/>
          <w:sz w:val="28"/>
          <w:szCs w:val="32"/>
        </w:rPr>
      </w:pPr>
    </w:p>
    <w:p w14:paraId="660FEF44" w14:textId="77777777" w:rsidR="009D2416" w:rsidRDefault="009D2416" w:rsidP="00A33A21">
      <w:pPr>
        <w:jc w:val="center"/>
        <w:rPr>
          <w:b/>
          <w:bCs/>
          <w:sz w:val="28"/>
          <w:szCs w:val="32"/>
        </w:rPr>
      </w:pPr>
    </w:p>
    <w:p w14:paraId="17A6B001" w14:textId="77777777" w:rsidR="009D2416" w:rsidRDefault="009D2416" w:rsidP="00A33A21">
      <w:pPr>
        <w:jc w:val="center"/>
        <w:rPr>
          <w:b/>
          <w:bCs/>
          <w:sz w:val="28"/>
          <w:szCs w:val="32"/>
        </w:rPr>
      </w:pPr>
    </w:p>
    <w:p w14:paraId="4970A82E" w14:textId="77777777" w:rsidR="009D2416" w:rsidRDefault="009D2416" w:rsidP="00A33A21">
      <w:pPr>
        <w:jc w:val="center"/>
        <w:rPr>
          <w:b/>
          <w:bCs/>
          <w:sz w:val="28"/>
          <w:szCs w:val="32"/>
        </w:rPr>
      </w:pPr>
    </w:p>
    <w:p w14:paraId="0FEEFF04" w14:textId="77777777" w:rsidR="009D2416" w:rsidRDefault="009D2416" w:rsidP="00A33A21">
      <w:pPr>
        <w:jc w:val="center"/>
        <w:rPr>
          <w:b/>
          <w:bCs/>
          <w:sz w:val="28"/>
          <w:szCs w:val="32"/>
        </w:rPr>
      </w:pPr>
    </w:p>
    <w:p w14:paraId="1D50707C" w14:textId="77777777" w:rsidR="009D2416" w:rsidRDefault="009D2416" w:rsidP="00A33A21">
      <w:pPr>
        <w:jc w:val="center"/>
        <w:rPr>
          <w:b/>
          <w:bCs/>
          <w:sz w:val="28"/>
          <w:szCs w:val="32"/>
        </w:rPr>
      </w:pPr>
    </w:p>
    <w:p w14:paraId="1302C777" w14:textId="77777777" w:rsidR="009D2416" w:rsidRDefault="009D2416" w:rsidP="00A33A21">
      <w:pPr>
        <w:jc w:val="center"/>
        <w:rPr>
          <w:b/>
          <w:bCs/>
          <w:sz w:val="28"/>
          <w:szCs w:val="32"/>
        </w:rPr>
      </w:pPr>
    </w:p>
    <w:p w14:paraId="70633A1B" w14:textId="77777777" w:rsidR="009D2416" w:rsidRDefault="009D2416" w:rsidP="00A33A21">
      <w:pPr>
        <w:jc w:val="center"/>
        <w:rPr>
          <w:b/>
          <w:bCs/>
          <w:sz w:val="28"/>
          <w:szCs w:val="32"/>
        </w:rPr>
      </w:pPr>
    </w:p>
    <w:p w14:paraId="3A3A9372" w14:textId="77777777" w:rsidR="009D2416" w:rsidRDefault="009D2416" w:rsidP="00A33A21">
      <w:pPr>
        <w:jc w:val="center"/>
        <w:rPr>
          <w:b/>
          <w:bCs/>
          <w:sz w:val="28"/>
          <w:szCs w:val="32"/>
        </w:rPr>
      </w:pPr>
    </w:p>
    <w:p w14:paraId="096233E2" w14:textId="77777777" w:rsidR="009D2416" w:rsidRDefault="009D2416" w:rsidP="00A33A21">
      <w:pPr>
        <w:jc w:val="center"/>
        <w:rPr>
          <w:b/>
          <w:bCs/>
          <w:sz w:val="28"/>
          <w:szCs w:val="32"/>
        </w:rPr>
      </w:pPr>
    </w:p>
    <w:p w14:paraId="52069866" w14:textId="77777777" w:rsidR="009D2416" w:rsidRDefault="009D2416" w:rsidP="00A33A21">
      <w:pPr>
        <w:jc w:val="center"/>
        <w:rPr>
          <w:b/>
          <w:bCs/>
          <w:sz w:val="28"/>
          <w:szCs w:val="32"/>
        </w:rPr>
      </w:pPr>
    </w:p>
    <w:p w14:paraId="50098727" w14:textId="77777777" w:rsidR="009D2416" w:rsidRDefault="009D2416" w:rsidP="00A33A21">
      <w:pPr>
        <w:jc w:val="center"/>
        <w:rPr>
          <w:b/>
          <w:bCs/>
          <w:sz w:val="28"/>
          <w:szCs w:val="32"/>
        </w:rPr>
      </w:pPr>
    </w:p>
    <w:p w14:paraId="3CE973EA" w14:textId="3DCA1EE0" w:rsidR="2A89F126" w:rsidRDefault="2A89F126" w:rsidP="00A33A21">
      <w:pPr>
        <w:jc w:val="center"/>
        <w:rPr>
          <w:b/>
          <w:bCs/>
        </w:rPr>
      </w:pPr>
    </w:p>
    <w:p w14:paraId="3F0193CA" w14:textId="517E79E0" w:rsidR="006F45B9" w:rsidRPr="00D566DF" w:rsidRDefault="006C242B" w:rsidP="00A33A21">
      <w:pPr>
        <w:jc w:val="center"/>
        <w:rPr>
          <w:rFonts w:ascii="Arial" w:hAnsi="Arial" w:cs="Arial"/>
          <w:b/>
          <w:bCs/>
          <w:szCs w:val="22"/>
        </w:rPr>
      </w:pPr>
      <w:r w:rsidRPr="00D566DF">
        <w:rPr>
          <w:rFonts w:ascii="Arial" w:hAnsi="Arial" w:cs="Arial"/>
          <w:b/>
          <w:bCs/>
          <w:szCs w:val="22"/>
        </w:rPr>
        <w:lastRenderedPageBreak/>
        <w:t>Part A: Annotated Bibliography</w:t>
      </w:r>
    </w:p>
    <w:p w14:paraId="5C34DB7C" w14:textId="3950D2A9" w:rsidR="00585E0C" w:rsidRPr="00D566DF" w:rsidRDefault="00690641" w:rsidP="00A33A21">
      <w:pPr>
        <w:pStyle w:val="NormalWeb"/>
        <w:numPr>
          <w:ilvl w:val="0"/>
          <w:numId w:val="2"/>
        </w:numPr>
        <w:spacing w:line="360" w:lineRule="auto"/>
        <w:jc w:val="both"/>
        <w:rPr>
          <w:rFonts w:ascii="Arial" w:hAnsi="Arial" w:cs="Arial"/>
          <w:szCs w:val="22"/>
        </w:rPr>
      </w:pPr>
      <w:r w:rsidRPr="00D566DF">
        <w:rPr>
          <w:rStyle w:val="Strong"/>
          <w:rFonts w:ascii="Arial" w:eastAsiaTheme="majorEastAsia" w:hAnsi="Arial" w:cs="Arial"/>
          <w:b w:val="0"/>
          <w:bCs w:val="0"/>
          <w:szCs w:val="22"/>
        </w:rPr>
        <w:t>Malone, J.C., Liu, S.R., Vaillant, G.E., Rentz, D.M. and Waldinger, R.J. (2016)</w:t>
      </w:r>
      <w:r w:rsidRPr="00D566DF">
        <w:rPr>
          <w:rFonts w:ascii="Arial" w:hAnsi="Arial" w:cs="Arial"/>
          <w:szCs w:val="22"/>
        </w:rPr>
        <w:t xml:space="preserve"> ‘Midlife Eriksonian psychosocial development: Setting the stage for late-life cognitive and emotional health’, </w:t>
      </w:r>
      <w:r w:rsidRPr="00D566DF">
        <w:rPr>
          <w:rStyle w:val="Emphasis"/>
          <w:rFonts w:ascii="Arial" w:eastAsiaTheme="majorEastAsia" w:hAnsi="Arial" w:cs="Arial"/>
          <w:szCs w:val="22"/>
        </w:rPr>
        <w:t>Developmental Psychology</w:t>
      </w:r>
      <w:r w:rsidRPr="00D566DF">
        <w:rPr>
          <w:rFonts w:ascii="Arial" w:hAnsi="Arial" w:cs="Arial"/>
          <w:szCs w:val="22"/>
        </w:rPr>
        <w:t xml:space="preserve">, 52(3), pp. 496–508. Available at: </w:t>
      </w:r>
      <w:hyperlink r:id="rId7" w:tgtFrame="_new" w:history="1">
        <w:r w:rsidRPr="00D566DF">
          <w:rPr>
            <w:rStyle w:val="Hyperlink"/>
            <w:rFonts w:ascii="Arial" w:eastAsiaTheme="majorEastAsia" w:hAnsi="Arial" w:cs="Arial"/>
            <w:szCs w:val="22"/>
          </w:rPr>
          <w:t>https://doi.org/10.1037/a0039875</w:t>
        </w:r>
      </w:hyperlink>
      <w:r w:rsidRPr="00D566DF">
        <w:rPr>
          <w:rFonts w:ascii="Arial" w:hAnsi="Arial" w:cs="Arial"/>
          <w:szCs w:val="22"/>
        </w:rPr>
        <w:t>.</w:t>
      </w:r>
    </w:p>
    <w:p w14:paraId="7553C33C" w14:textId="29CA97F8" w:rsidR="00690641" w:rsidRPr="00D566DF" w:rsidRDefault="00690641" w:rsidP="00A33A21">
      <w:pPr>
        <w:pStyle w:val="NormalWeb"/>
        <w:spacing w:line="360" w:lineRule="auto"/>
        <w:jc w:val="both"/>
        <w:rPr>
          <w:rFonts w:ascii="Arial" w:hAnsi="Arial" w:cs="Arial"/>
          <w:szCs w:val="22"/>
        </w:rPr>
      </w:pPr>
      <w:r w:rsidRPr="00D566DF">
        <w:rPr>
          <w:rFonts w:ascii="Arial" w:hAnsi="Arial" w:cs="Arial"/>
          <w:szCs w:val="22"/>
        </w:rPr>
        <w:t>This longitudinal study applies Erikson’s psychosocial theory to examine whether successful midlife development predicts later-life wellbeing. Using data from 159 men followed over several decades, the authors found that stronger midlife psychosocial development was associated with better late-life global cognition, executive functioning, and lower depression. Depression also partly mediated the link between psychosocial development and cognitive functioning. However, no significant association was found with memory.</w:t>
      </w:r>
    </w:p>
    <w:p w14:paraId="2975BB9A" w14:textId="3AD0CD89" w:rsidR="00690641" w:rsidRPr="00D566DF" w:rsidRDefault="00690641" w:rsidP="00A33A21">
      <w:pPr>
        <w:pStyle w:val="NormalWeb"/>
        <w:spacing w:line="360" w:lineRule="auto"/>
        <w:jc w:val="both"/>
        <w:rPr>
          <w:rFonts w:ascii="Arial" w:hAnsi="Arial" w:cs="Arial"/>
          <w:szCs w:val="22"/>
        </w:rPr>
      </w:pPr>
      <w:r w:rsidRPr="00D566DF">
        <w:rPr>
          <w:rFonts w:ascii="Arial" w:hAnsi="Arial" w:cs="Arial"/>
          <w:szCs w:val="22"/>
        </w:rPr>
        <w:t>This source is highly relevant to health and social care because it shows that adult development is not only emotional or social, but also connected to later cognitive health. It supports person-centred interventions that encourage meaningful relationships, social contribution, and generativity in midlife and older age. A limitation is that the sample was entirely white American men, reducing generalisability to women and more diverse service-user groups. Even so, it is valuable for showing how psychosocial wellbeing across adulthood can influence ageing outcomes</w:t>
      </w:r>
      <w:r w:rsidR="00585E0C" w:rsidRPr="00D566DF">
        <w:rPr>
          <w:rFonts w:ascii="Arial" w:hAnsi="Arial" w:cs="Arial"/>
          <w:szCs w:val="22"/>
        </w:rPr>
        <w:t xml:space="preserve"> (Homan, Greenberg and Mailick, 2019)</w:t>
      </w:r>
      <w:r w:rsidRPr="00D566DF">
        <w:rPr>
          <w:rFonts w:ascii="Arial" w:hAnsi="Arial" w:cs="Arial"/>
          <w:szCs w:val="22"/>
        </w:rPr>
        <w:t>.</w:t>
      </w:r>
    </w:p>
    <w:p w14:paraId="24AABE84" w14:textId="4B8045B8" w:rsidR="00690641" w:rsidRPr="00D566DF" w:rsidRDefault="00690641" w:rsidP="00A33A21">
      <w:pPr>
        <w:pStyle w:val="NormalWeb"/>
        <w:numPr>
          <w:ilvl w:val="0"/>
          <w:numId w:val="2"/>
        </w:numPr>
        <w:spacing w:line="360" w:lineRule="auto"/>
        <w:jc w:val="both"/>
        <w:rPr>
          <w:rFonts w:ascii="Arial" w:hAnsi="Arial" w:cs="Arial"/>
          <w:szCs w:val="22"/>
        </w:rPr>
      </w:pPr>
      <w:r w:rsidRPr="00D566DF">
        <w:rPr>
          <w:rStyle w:val="Strong"/>
          <w:rFonts w:ascii="Arial" w:eastAsiaTheme="majorEastAsia" w:hAnsi="Arial" w:cs="Arial"/>
          <w:b w:val="0"/>
          <w:bCs w:val="0"/>
          <w:szCs w:val="22"/>
        </w:rPr>
        <w:t>Shergold, I. (2019)</w:t>
      </w:r>
      <w:r w:rsidRPr="00D566DF">
        <w:rPr>
          <w:rFonts w:ascii="Arial" w:hAnsi="Arial" w:cs="Arial"/>
          <w:szCs w:val="22"/>
        </w:rPr>
        <w:t xml:space="preserve"> ‘Taking part in activities, an exploration of the role of discretionary travel in older people’s wellbeing’, </w:t>
      </w:r>
      <w:r w:rsidRPr="00D566DF">
        <w:rPr>
          <w:rStyle w:val="Emphasis"/>
          <w:rFonts w:ascii="Arial" w:eastAsiaTheme="majorEastAsia" w:hAnsi="Arial" w:cs="Arial"/>
          <w:szCs w:val="22"/>
        </w:rPr>
        <w:t>Journal of Transport &amp; Health</w:t>
      </w:r>
      <w:r w:rsidRPr="00D566DF">
        <w:rPr>
          <w:rFonts w:ascii="Arial" w:hAnsi="Arial" w:cs="Arial"/>
          <w:szCs w:val="22"/>
        </w:rPr>
        <w:t xml:space="preserve">, 12, pp. 195–205. Available at: </w:t>
      </w:r>
      <w:hyperlink r:id="rId8" w:tgtFrame="_new" w:history="1">
        <w:r w:rsidRPr="00D566DF">
          <w:rPr>
            <w:rStyle w:val="Hyperlink"/>
            <w:rFonts w:ascii="Arial" w:eastAsiaTheme="majorEastAsia" w:hAnsi="Arial" w:cs="Arial"/>
            <w:szCs w:val="22"/>
          </w:rPr>
          <w:t>https://doi.org/10.1016/j.jth.2019.01.005</w:t>
        </w:r>
      </w:hyperlink>
      <w:r w:rsidRPr="00D566DF">
        <w:rPr>
          <w:rFonts w:ascii="Arial" w:hAnsi="Arial" w:cs="Arial"/>
          <w:szCs w:val="22"/>
        </w:rPr>
        <w:t>.</w:t>
      </w:r>
    </w:p>
    <w:p w14:paraId="455B90F0" w14:textId="77777777" w:rsidR="00690641" w:rsidRPr="00D566DF" w:rsidRDefault="00690641" w:rsidP="00A33A21">
      <w:pPr>
        <w:pStyle w:val="NormalWeb"/>
        <w:spacing w:line="360" w:lineRule="auto"/>
        <w:jc w:val="both"/>
        <w:rPr>
          <w:rFonts w:ascii="Arial" w:hAnsi="Arial" w:cs="Arial"/>
          <w:szCs w:val="22"/>
        </w:rPr>
      </w:pPr>
      <w:r w:rsidRPr="00D566DF">
        <w:rPr>
          <w:rFonts w:ascii="Arial" w:hAnsi="Arial" w:cs="Arial"/>
          <w:szCs w:val="22"/>
        </w:rPr>
        <w:t xml:space="preserve">Shergold draws on </w:t>
      </w:r>
      <w:r w:rsidRPr="00D566DF">
        <w:rPr>
          <w:rStyle w:val="Strong"/>
          <w:rFonts w:ascii="Arial" w:eastAsiaTheme="majorEastAsia" w:hAnsi="Arial" w:cs="Arial"/>
          <w:b w:val="0"/>
          <w:bCs w:val="0"/>
          <w:szCs w:val="22"/>
        </w:rPr>
        <w:t>Havighurst’s Activity Theory</w:t>
      </w:r>
      <w:r w:rsidRPr="00D566DF">
        <w:rPr>
          <w:rFonts w:ascii="Arial" w:hAnsi="Arial" w:cs="Arial"/>
          <w:szCs w:val="22"/>
        </w:rPr>
        <w:t>, which argues that continued engagement in activities supports wellbeing in older age. Using survey data from 920 rural adults aged 60+, the study explores how transport and car access affect participation in formal, informal, and solitary activities. Car access significantly increased formal participation, including volunteering, while informal contact with friends was sometimes higher among those without cars. The findings on wellbeing were mixed, although reduced weekly social contact slightly increased loneliness.</w:t>
      </w:r>
    </w:p>
    <w:p w14:paraId="3CD184AF" w14:textId="073989B4" w:rsidR="006004A6" w:rsidRPr="00D566DF" w:rsidRDefault="006004A6" w:rsidP="00A33A21">
      <w:pPr>
        <w:pStyle w:val="NormalWeb"/>
        <w:spacing w:line="360" w:lineRule="auto"/>
        <w:jc w:val="both"/>
        <w:rPr>
          <w:rFonts w:ascii="Arial" w:hAnsi="Arial" w:cs="Arial"/>
          <w:szCs w:val="22"/>
        </w:rPr>
      </w:pPr>
      <w:r w:rsidRPr="00D566DF">
        <w:rPr>
          <w:rFonts w:ascii="Arial" w:hAnsi="Arial" w:cs="Arial"/>
          <w:szCs w:val="22"/>
        </w:rPr>
        <w:t xml:space="preserve">The study provides valuable contribution to health and social care as it mentions that practical barriers mostly transport and mobility affect the wellbeing of older adults, not just motivation. The study exerts importance of giving access to local services, community activities and social networking events. The study’s strength is that it has established a clear link between theory </w:t>
      </w:r>
      <w:r w:rsidRPr="00D566DF">
        <w:rPr>
          <w:rFonts w:ascii="Arial" w:hAnsi="Arial" w:cs="Arial"/>
          <w:szCs w:val="22"/>
        </w:rPr>
        <w:lastRenderedPageBreak/>
        <w:t xml:space="preserve">and real life challenges faced by older adults due to age. However, the findings related to wellbeing were not strongly conclusive. Also, the findings were specialised for rural settings and were not applicable to urban people. </w:t>
      </w:r>
    </w:p>
    <w:p w14:paraId="3B3D019C" w14:textId="268502B5" w:rsidR="00690641" w:rsidRPr="00D566DF" w:rsidRDefault="00690641" w:rsidP="00A33A21">
      <w:pPr>
        <w:pStyle w:val="NormalWeb"/>
        <w:numPr>
          <w:ilvl w:val="0"/>
          <w:numId w:val="2"/>
        </w:numPr>
        <w:spacing w:line="360" w:lineRule="auto"/>
        <w:jc w:val="both"/>
        <w:rPr>
          <w:rFonts w:ascii="Arial" w:hAnsi="Arial" w:cs="Arial"/>
          <w:szCs w:val="22"/>
        </w:rPr>
      </w:pPr>
      <w:r w:rsidRPr="00D566DF">
        <w:rPr>
          <w:rStyle w:val="Strong"/>
          <w:rFonts w:ascii="Arial" w:eastAsiaTheme="majorEastAsia" w:hAnsi="Arial" w:cs="Arial"/>
          <w:b w:val="0"/>
          <w:bCs w:val="0"/>
          <w:szCs w:val="22"/>
        </w:rPr>
        <w:t>Girgis, F., Miller, J.P., Krach, S. and Cummings, J.L. (2018)</w:t>
      </w:r>
      <w:r w:rsidRPr="00D566DF">
        <w:rPr>
          <w:rFonts w:ascii="Arial" w:hAnsi="Arial" w:cs="Arial"/>
          <w:szCs w:val="22"/>
        </w:rPr>
        <w:t xml:space="preserve"> ‘Toward a neuroscience of adult cognitive developmental theory’, </w:t>
      </w:r>
      <w:r w:rsidRPr="00D566DF">
        <w:rPr>
          <w:rStyle w:val="Emphasis"/>
          <w:rFonts w:ascii="Arial" w:eastAsiaTheme="majorEastAsia" w:hAnsi="Arial" w:cs="Arial"/>
          <w:szCs w:val="22"/>
        </w:rPr>
        <w:t>Frontiers in Neuroscience</w:t>
      </w:r>
      <w:r w:rsidRPr="00D566DF">
        <w:rPr>
          <w:rFonts w:ascii="Arial" w:hAnsi="Arial" w:cs="Arial"/>
          <w:szCs w:val="22"/>
        </w:rPr>
        <w:t xml:space="preserve">, 12, p. 4. Available at: </w:t>
      </w:r>
      <w:hyperlink r:id="rId9" w:tgtFrame="_new" w:history="1">
        <w:r w:rsidRPr="00D566DF">
          <w:rPr>
            <w:rStyle w:val="Hyperlink"/>
            <w:rFonts w:ascii="Arial" w:eastAsiaTheme="majorEastAsia" w:hAnsi="Arial" w:cs="Arial"/>
            <w:szCs w:val="22"/>
          </w:rPr>
          <w:t>https://doi.org/10.3389/fnins.2018.00004</w:t>
        </w:r>
      </w:hyperlink>
      <w:r w:rsidRPr="00D566DF">
        <w:rPr>
          <w:rFonts w:ascii="Arial" w:hAnsi="Arial" w:cs="Arial"/>
          <w:szCs w:val="22"/>
        </w:rPr>
        <w:t>.</w:t>
      </w:r>
    </w:p>
    <w:p w14:paraId="2E738CB9" w14:textId="25DB132E" w:rsidR="00690641" w:rsidRPr="00D566DF" w:rsidRDefault="00896467" w:rsidP="00A33A21">
      <w:pPr>
        <w:pStyle w:val="NormalWeb"/>
        <w:spacing w:line="360" w:lineRule="auto"/>
        <w:jc w:val="both"/>
        <w:rPr>
          <w:rFonts w:ascii="Arial" w:hAnsi="Arial" w:cs="Arial"/>
          <w:szCs w:val="22"/>
        </w:rPr>
      </w:pPr>
      <w:r w:rsidRPr="00D566DF">
        <w:rPr>
          <w:rStyle w:val="Strong"/>
          <w:rFonts w:ascii="Arial" w:eastAsiaTheme="majorEastAsia" w:hAnsi="Arial" w:cs="Arial"/>
          <w:b w:val="0"/>
          <w:bCs w:val="0"/>
          <w:szCs w:val="22"/>
        </w:rPr>
        <w:t xml:space="preserve">Piaget’s cognitive developmental theory forms the basis of the study and it argues that cognitive development is not applicable to adolescence stage only, rather it extends itself to adulthood as well. </w:t>
      </w:r>
      <w:r w:rsidRPr="00D566DF">
        <w:rPr>
          <w:rFonts w:ascii="Arial" w:hAnsi="Arial" w:cs="Arial"/>
          <w:szCs w:val="22"/>
        </w:rPr>
        <w:t>Neo-Piagetian theory, especially Kegan’s constructive developmental theory is mainly used by the study to connect neuroscience and adult thinking. Study argues that adult cognitive ability is shaped by factors such as mind theory, self awareness and brain function mainly medial prefrontal cortex</w:t>
      </w:r>
      <w:r w:rsidR="00690641" w:rsidRPr="00D566DF">
        <w:rPr>
          <w:rFonts w:ascii="Arial" w:hAnsi="Arial" w:cs="Arial"/>
          <w:szCs w:val="22"/>
        </w:rPr>
        <w:t>. The article also considers implications for conditions such as depression and autism.</w:t>
      </w:r>
    </w:p>
    <w:p w14:paraId="21EA60E3" w14:textId="11B3008A" w:rsidR="00690641" w:rsidRPr="00D566DF" w:rsidRDefault="00690641" w:rsidP="00A33A21">
      <w:pPr>
        <w:pStyle w:val="NormalWeb"/>
        <w:spacing w:line="360" w:lineRule="auto"/>
        <w:jc w:val="both"/>
        <w:rPr>
          <w:rFonts w:ascii="Arial" w:hAnsi="Arial" w:cs="Arial"/>
          <w:szCs w:val="22"/>
        </w:rPr>
      </w:pPr>
      <w:r w:rsidRPr="00D566DF">
        <w:rPr>
          <w:rFonts w:ascii="Arial" w:hAnsi="Arial" w:cs="Arial"/>
          <w:szCs w:val="22"/>
        </w:rPr>
        <w:t xml:space="preserve">Its relevance to health and social care lies in extending developmental theory beyond childhood and encouraging practitioners to see older adults as still capable of </w:t>
      </w:r>
      <w:r w:rsidRPr="00D566DF">
        <w:rPr>
          <w:rStyle w:val="Strong"/>
          <w:rFonts w:ascii="Arial" w:eastAsiaTheme="majorEastAsia" w:hAnsi="Arial" w:cs="Arial"/>
          <w:b w:val="0"/>
          <w:bCs w:val="0"/>
          <w:szCs w:val="22"/>
        </w:rPr>
        <w:t>growth, reflection, and adaptation</w:t>
      </w:r>
      <w:r w:rsidRPr="00D566DF">
        <w:rPr>
          <w:rFonts w:ascii="Arial" w:hAnsi="Arial" w:cs="Arial"/>
          <w:szCs w:val="22"/>
        </w:rPr>
        <w:t>. This has value for mental health, rehabilitation, and person-centred care. However, the paper is mainly theoretical and exploratory rather than directly practice-based. It offers less immediate application than empirical studies, but it is still important because it broadens understanding of adult cognition and supports strengths-based approaches to later life</w:t>
      </w:r>
      <w:r w:rsidR="00EC25F9" w:rsidRPr="00D566DF">
        <w:rPr>
          <w:rFonts w:ascii="Arial" w:hAnsi="Arial" w:cs="Arial"/>
          <w:szCs w:val="22"/>
        </w:rPr>
        <w:t xml:space="preserve"> (Kayes and Papadimitriou, 2023)</w:t>
      </w:r>
      <w:r w:rsidRPr="00D566DF">
        <w:rPr>
          <w:rFonts w:ascii="Arial" w:hAnsi="Arial" w:cs="Arial"/>
          <w:szCs w:val="22"/>
        </w:rPr>
        <w:t>.</w:t>
      </w:r>
    </w:p>
    <w:p w14:paraId="3793A97A" w14:textId="47E31626" w:rsidR="00690641" w:rsidRPr="00D566DF" w:rsidRDefault="00690641" w:rsidP="00A33A21">
      <w:pPr>
        <w:pStyle w:val="NormalWeb"/>
        <w:numPr>
          <w:ilvl w:val="0"/>
          <w:numId w:val="2"/>
        </w:numPr>
        <w:spacing w:line="360" w:lineRule="auto"/>
        <w:jc w:val="both"/>
        <w:rPr>
          <w:rFonts w:ascii="Arial" w:hAnsi="Arial" w:cs="Arial"/>
          <w:szCs w:val="22"/>
        </w:rPr>
      </w:pPr>
      <w:r w:rsidRPr="00D566DF">
        <w:rPr>
          <w:rStyle w:val="Strong"/>
          <w:rFonts w:ascii="Arial" w:eastAsiaTheme="majorEastAsia" w:hAnsi="Arial" w:cs="Arial"/>
          <w:b w:val="0"/>
          <w:bCs w:val="0"/>
          <w:szCs w:val="22"/>
        </w:rPr>
        <w:t>Kantar, L.D., Ezzeddine, S. and Rizk, U. (2020)</w:t>
      </w:r>
      <w:r w:rsidRPr="00D566DF">
        <w:rPr>
          <w:rFonts w:ascii="Arial" w:hAnsi="Arial" w:cs="Arial"/>
          <w:szCs w:val="22"/>
        </w:rPr>
        <w:t xml:space="preserve"> ‘Rethinking clinical instruction through the zone of proximal development’, </w:t>
      </w:r>
      <w:r w:rsidRPr="00D566DF">
        <w:rPr>
          <w:rStyle w:val="Emphasis"/>
          <w:rFonts w:ascii="Arial" w:eastAsiaTheme="majorEastAsia" w:hAnsi="Arial" w:cs="Arial"/>
          <w:szCs w:val="22"/>
        </w:rPr>
        <w:t>Nurse Education Today</w:t>
      </w:r>
      <w:r w:rsidRPr="00D566DF">
        <w:rPr>
          <w:rFonts w:ascii="Arial" w:hAnsi="Arial" w:cs="Arial"/>
          <w:szCs w:val="22"/>
        </w:rPr>
        <w:t xml:space="preserve">, 95, p. 104595. Available at: </w:t>
      </w:r>
      <w:hyperlink r:id="rId10" w:tgtFrame="_new" w:history="1">
        <w:r w:rsidRPr="00D566DF">
          <w:rPr>
            <w:rStyle w:val="Hyperlink"/>
            <w:rFonts w:ascii="Arial" w:eastAsiaTheme="majorEastAsia" w:hAnsi="Arial" w:cs="Arial"/>
            <w:szCs w:val="22"/>
          </w:rPr>
          <w:t>https://doi.org/10.1016/j.nedt.2020.104595</w:t>
        </w:r>
      </w:hyperlink>
      <w:r w:rsidRPr="00D566DF">
        <w:rPr>
          <w:rFonts w:ascii="Arial" w:hAnsi="Arial" w:cs="Arial"/>
          <w:szCs w:val="22"/>
        </w:rPr>
        <w:t>.</w:t>
      </w:r>
    </w:p>
    <w:p w14:paraId="36D96BF6" w14:textId="77777777" w:rsidR="00690641" w:rsidRPr="00D566DF" w:rsidRDefault="00690641" w:rsidP="00A33A21">
      <w:pPr>
        <w:pStyle w:val="NormalWeb"/>
        <w:spacing w:line="360" w:lineRule="auto"/>
        <w:jc w:val="both"/>
        <w:rPr>
          <w:rFonts w:ascii="Arial" w:hAnsi="Arial" w:cs="Arial"/>
          <w:szCs w:val="22"/>
        </w:rPr>
      </w:pPr>
      <w:r w:rsidRPr="00D566DF">
        <w:rPr>
          <w:rFonts w:ascii="Arial" w:hAnsi="Arial" w:cs="Arial"/>
          <w:szCs w:val="22"/>
        </w:rPr>
        <w:t xml:space="preserve">Kantar, Ezzeddine and Rizk apply </w:t>
      </w:r>
      <w:r w:rsidRPr="00D566DF">
        <w:rPr>
          <w:rStyle w:val="Strong"/>
          <w:rFonts w:ascii="Arial" w:eastAsiaTheme="majorEastAsia" w:hAnsi="Arial" w:cs="Arial"/>
          <w:b w:val="0"/>
          <w:bCs w:val="0"/>
          <w:szCs w:val="22"/>
        </w:rPr>
        <w:t>Vygotsky’s Zone of Proximal Development (ZPD</w:t>
      </w:r>
      <w:r w:rsidRPr="00D566DF">
        <w:rPr>
          <w:rStyle w:val="Strong"/>
          <w:rFonts w:ascii="Arial" w:eastAsiaTheme="majorEastAsia" w:hAnsi="Arial" w:cs="Arial"/>
          <w:szCs w:val="22"/>
        </w:rPr>
        <w:t>)</w:t>
      </w:r>
      <w:r w:rsidRPr="00D566DF">
        <w:rPr>
          <w:rFonts w:ascii="Arial" w:hAnsi="Arial" w:cs="Arial"/>
          <w:szCs w:val="22"/>
        </w:rPr>
        <w:t xml:space="preserve"> to nursing education. Through a qualitative multiple case study of 18 nurse preceptors in Lebanon, the study identifies strategies that help learners move from supported to independent practice. Three core themes emerged: </w:t>
      </w:r>
      <w:r w:rsidRPr="00D566DF">
        <w:rPr>
          <w:rStyle w:val="Strong"/>
          <w:rFonts w:ascii="Arial" w:eastAsiaTheme="majorEastAsia" w:hAnsi="Arial" w:cs="Arial"/>
          <w:b w:val="0"/>
          <w:bCs w:val="0"/>
          <w:szCs w:val="22"/>
        </w:rPr>
        <w:t>differentiated instruction</w:t>
      </w:r>
      <w:r w:rsidRPr="00D566DF">
        <w:rPr>
          <w:rFonts w:ascii="Arial" w:hAnsi="Arial" w:cs="Arial"/>
          <w:b/>
          <w:bCs/>
          <w:szCs w:val="22"/>
        </w:rPr>
        <w:t xml:space="preserve">, </w:t>
      </w:r>
      <w:r w:rsidRPr="00D566DF">
        <w:rPr>
          <w:rStyle w:val="Strong"/>
          <w:rFonts w:ascii="Arial" w:eastAsiaTheme="majorEastAsia" w:hAnsi="Arial" w:cs="Arial"/>
          <w:b w:val="0"/>
          <w:bCs w:val="0"/>
          <w:szCs w:val="22"/>
        </w:rPr>
        <w:t>instructional scaffolding</w:t>
      </w:r>
      <w:r w:rsidRPr="00D566DF">
        <w:rPr>
          <w:rFonts w:ascii="Arial" w:hAnsi="Arial" w:cs="Arial"/>
          <w:b/>
          <w:bCs/>
          <w:szCs w:val="22"/>
        </w:rPr>
        <w:t xml:space="preserve">, and </w:t>
      </w:r>
      <w:r w:rsidRPr="00D566DF">
        <w:rPr>
          <w:rStyle w:val="Strong"/>
          <w:rFonts w:ascii="Arial" w:eastAsiaTheme="majorEastAsia" w:hAnsi="Arial" w:cs="Arial"/>
          <w:b w:val="0"/>
          <w:bCs w:val="0"/>
          <w:szCs w:val="22"/>
        </w:rPr>
        <w:t>a positive learning environment</w:t>
      </w:r>
      <w:r w:rsidRPr="00D566DF">
        <w:rPr>
          <w:rFonts w:ascii="Arial" w:hAnsi="Arial" w:cs="Arial"/>
          <w:b/>
          <w:bCs/>
          <w:szCs w:val="22"/>
        </w:rPr>
        <w:t>.</w:t>
      </w:r>
      <w:r w:rsidRPr="00D566DF">
        <w:rPr>
          <w:rFonts w:ascii="Arial" w:hAnsi="Arial" w:cs="Arial"/>
          <w:szCs w:val="22"/>
        </w:rPr>
        <w:t xml:space="preserve"> The authors argue that learners benefit most when teaching is pitched slightly beyond their current ability and supported through guidance, prompts, and reflection.</w:t>
      </w:r>
    </w:p>
    <w:p w14:paraId="4E0F9083" w14:textId="75A30116" w:rsidR="00690641" w:rsidRPr="00D566DF" w:rsidRDefault="00690641" w:rsidP="00A33A21">
      <w:pPr>
        <w:pStyle w:val="NormalWeb"/>
        <w:spacing w:line="360" w:lineRule="auto"/>
        <w:jc w:val="both"/>
        <w:rPr>
          <w:rFonts w:ascii="Arial" w:hAnsi="Arial" w:cs="Arial"/>
          <w:szCs w:val="22"/>
        </w:rPr>
      </w:pPr>
      <w:r w:rsidRPr="00D566DF">
        <w:rPr>
          <w:rFonts w:ascii="Arial" w:hAnsi="Arial" w:cs="Arial"/>
          <w:szCs w:val="22"/>
        </w:rPr>
        <w:t xml:space="preserve">Although focused on nurse education, this source is relevant to supporting older adults because it shows the value of </w:t>
      </w:r>
      <w:r w:rsidRPr="00D566DF">
        <w:rPr>
          <w:rStyle w:val="Strong"/>
          <w:rFonts w:ascii="Arial" w:eastAsiaTheme="majorEastAsia" w:hAnsi="Arial" w:cs="Arial"/>
          <w:b w:val="0"/>
          <w:bCs w:val="0"/>
          <w:szCs w:val="22"/>
        </w:rPr>
        <w:t>scaffolding, guided participation, and tailored support</w:t>
      </w:r>
      <w:r w:rsidRPr="00D566DF">
        <w:rPr>
          <w:rFonts w:ascii="Arial" w:hAnsi="Arial" w:cs="Arial"/>
          <w:szCs w:val="22"/>
        </w:rPr>
        <w:t xml:space="preserve">. These principles can be applied in health and social care when helping older adults maintain </w:t>
      </w:r>
      <w:r w:rsidRPr="00D566DF">
        <w:rPr>
          <w:rFonts w:ascii="Arial" w:hAnsi="Arial" w:cs="Arial"/>
          <w:szCs w:val="22"/>
        </w:rPr>
        <w:lastRenderedPageBreak/>
        <w:t>independence, learn new routines, or adapt to illness. A strength is its clear practical framework. A limitation is that it studies student nurses rather than older adults directly. Even so, its ideas are transferable to care settings where support should build autonomy rather than dependence</w:t>
      </w:r>
      <w:r w:rsidR="007E7035" w:rsidRPr="00D566DF">
        <w:rPr>
          <w:rFonts w:ascii="Arial" w:hAnsi="Arial" w:cs="Arial"/>
          <w:szCs w:val="22"/>
        </w:rPr>
        <w:t xml:space="preserve"> (Kayes and Papadimitriou, 2023)</w:t>
      </w:r>
      <w:r w:rsidRPr="00D566DF">
        <w:rPr>
          <w:rFonts w:ascii="Arial" w:hAnsi="Arial" w:cs="Arial"/>
          <w:szCs w:val="22"/>
        </w:rPr>
        <w:t>.</w:t>
      </w:r>
    </w:p>
    <w:p w14:paraId="40A098FF" w14:textId="77777777" w:rsidR="00FB5EBD" w:rsidRPr="00D566DF" w:rsidRDefault="00FB5EBD" w:rsidP="00A33A21">
      <w:pPr>
        <w:spacing w:before="100" w:beforeAutospacing="1" w:after="100" w:afterAutospacing="1"/>
        <w:jc w:val="both"/>
        <w:outlineLvl w:val="1"/>
        <w:rPr>
          <w:rFonts w:eastAsia="Times New Roman"/>
          <w:b/>
          <w:bCs/>
          <w:kern w:val="0"/>
          <w:szCs w:val="22"/>
          <w:lang w:eastAsia="en-GB"/>
          <w14:ligatures w14:val="none"/>
        </w:rPr>
      </w:pPr>
      <w:r w:rsidRPr="00D566DF">
        <w:rPr>
          <w:rFonts w:eastAsia="Times New Roman"/>
          <w:b/>
          <w:bCs/>
          <w:kern w:val="0"/>
          <w:szCs w:val="22"/>
          <w:lang w:eastAsia="en-GB"/>
          <w14:ligatures w14:val="none"/>
        </w:rPr>
        <w:t>Part B: Short Report</w:t>
      </w:r>
    </w:p>
    <w:p w14:paraId="6C1A5656" w14:textId="77777777" w:rsidR="00FB5EBD" w:rsidRPr="00D566DF" w:rsidRDefault="00FB5EBD" w:rsidP="00A33A21">
      <w:pPr>
        <w:spacing w:before="100" w:beforeAutospacing="1" w:after="100" w:afterAutospacing="1"/>
        <w:jc w:val="both"/>
        <w:outlineLvl w:val="2"/>
        <w:rPr>
          <w:rFonts w:eastAsia="Times New Roman"/>
          <w:b/>
          <w:bCs/>
          <w:kern w:val="0"/>
          <w:szCs w:val="22"/>
          <w:lang w:eastAsia="en-GB"/>
          <w14:ligatures w14:val="none"/>
        </w:rPr>
      </w:pPr>
      <w:r w:rsidRPr="00D566DF">
        <w:rPr>
          <w:rFonts w:eastAsia="Times New Roman"/>
          <w:b/>
          <w:bCs/>
          <w:kern w:val="0"/>
          <w:szCs w:val="22"/>
          <w:lang w:eastAsia="en-GB"/>
          <w14:ligatures w14:val="none"/>
        </w:rPr>
        <w:t>Applying Erikson’s Psychosocial Theory to Improve Wellbeing in Residential Care</w:t>
      </w:r>
    </w:p>
    <w:p w14:paraId="102608C1" w14:textId="77777777" w:rsidR="00B17104" w:rsidRPr="00D566DF" w:rsidRDefault="00B17104" w:rsidP="00A33A21">
      <w:pPr>
        <w:spacing w:before="100" w:beforeAutospacing="1" w:after="100" w:afterAutospacing="1"/>
        <w:jc w:val="both"/>
        <w:rPr>
          <w:rFonts w:ascii="Arial" w:eastAsia="Times New Roman" w:hAnsi="Arial" w:cs="Arial"/>
          <w:kern w:val="0"/>
          <w:szCs w:val="22"/>
          <w:lang w:eastAsia="en-GB"/>
          <w14:ligatures w14:val="none"/>
        </w:rPr>
      </w:pPr>
      <w:r w:rsidRPr="00D566DF">
        <w:rPr>
          <w:rFonts w:ascii="Arial" w:eastAsia="Times New Roman" w:hAnsi="Arial" w:cs="Arial"/>
          <w:kern w:val="0"/>
          <w:szCs w:val="22"/>
          <w:lang w:eastAsia="en-GB"/>
          <w14:ligatures w14:val="none"/>
        </w:rPr>
        <w:t>The psychosocial theory developed by Erikson can be applied effectively in the residential care of older adults to enhance their psychological wellbeing. Ego integrity versus despair was the developmental challenge as defined by Erikson later in life. At this point, elderly individuals reconsider their lives and decide whether they feel meaningful, accepted, and fulfilled or regretful, hopeless, and despairing (Malone et al., 2016). In the case of residents in care homes, the transition is particularly critical as moving, losing independence, bereavement, health deterioration, social isolation can make residents feel sad or worthless. Using the theory of Erikson, it is possible to make professionals realize that emotional wellbeing at an older age is strongly connected with the opportunity to experience dignity, reflection, identity, and meaningful relationships (Polacsek and Woolford, 2022).</w:t>
      </w:r>
    </w:p>
    <w:p w14:paraId="514FDED2" w14:textId="77777777" w:rsidR="00D76F38" w:rsidRPr="00D566DF" w:rsidRDefault="00D76F38" w:rsidP="00A33A21">
      <w:pPr>
        <w:spacing w:before="100" w:beforeAutospacing="1" w:after="100" w:afterAutospacing="1"/>
        <w:jc w:val="both"/>
        <w:rPr>
          <w:rFonts w:ascii="Arial" w:eastAsia="Times New Roman" w:hAnsi="Arial" w:cs="Arial"/>
          <w:kern w:val="0"/>
          <w:szCs w:val="22"/>
          <w:lang w:eastAsia="en-GB"/>
          <w14:ligatures w14:val="none"/>
        </w:rPr>
      </w:pPr>
      <w:r w:rsidRPr="00D566DF">
        <w:rPr>
          <w:rFonts w:ascii="Arial" w:eastAsia="Times New Roman" w:hAnsi="Arial" w:cs="Arial"/>
          <w:kern w:val="0"/>
          <w:szCs w:val="22"/>
          <w:lang w:eastAsia="en-GB"/>
          <w14:ligatures w14:val="none"/>
        </w:rPr>
        <w:t>Practically, Erikson theory recommends care to help residents have a positive sense of self and to perceive their lives as worth living (Malone et al., 2016). This may be achieved by life review activities, reminiscence therapy, person-centred conversations, and chances to make contributions to the care home community. Remembering previous experiences, accomplishments, family history, and lessons in life can enhance identity and make residents feel that their lives are meaningful. Integrity can also be encouraged by care workers who respect personal preferences, cultural values, and routines instead of simply concentrating on physical care requirements. Residents feel more recognised and emotionally secure when they are presented as individuals with rich life histories (Rosen, 2020).</w:t>
      </w:r>
    </w:p>
    <w:p w14:paraId="0FF81B16" w14:textId="77777777" w:rsidR="0072557E" w:rsidRPr="00D566DF" w:rsidRDefault="0072557E" w:rsidP="00A33A21">
      <w:pPr>
        <w:spacing w:before="100" w:beforeAutospacing="1" w:after="100" w:afterAutospacing="1"/>
        <w:jc w:val="both"/>
        <w:rPr>
          <w:rFonts w:ascii="Arial" w:eastAsia="Times New Roman" w:hAnsi="Arial" w:cs="Arial"/>
          <w:kern w:val="0"/>
          <w:szCs w:val="22"/>
          <w:lang w:eastAsia="en-GB"/>
          <w14:ligatures w14:val="none"/>
        </w:rPr>
      </w:pPr>
      <w:r w:rsidRPr="00D566DF">
        <w:rPr>
          <w:rFonts w:ascii="Arial" w:eastAsia="Times New Roman" w:hAnsi="Arial" w:cs="Arial"/>
          <w:kern w:val="0"/>
          <w:szCs w:val="22"/>
          <w:lang w:eastAsia="en-GB"/>
          <w14:ligatures w14:val="none"/>
        </w:rPr>
        <w:t xml:space="preserve">An excellent practical example would be a 82-year old resident, Mrs Khan, who recently transferred into a care home due to the loss of her husband. Since she arrived, she is withdrawn, does not want to do anything in groups, says that she is just waiting to die. Eriksonian view Mrs Khan might be grappling with despair as opposed to integrity. Staff may react by having regular one to one meetings with a key worker in which she is welcomed to discuss her life, family, career, faith, and achievements. They may develop a life story book that includes photographs and recollections of her family members (Malone et al., 2016). Staff might also engage her in a meaningful aspect within the home like assist in selecting music to </w:t>
      </w:r>
      <w:r w:rsidRPr="00D566DF">
        <w:rPr>
          <w:rFonts w:ascii="Arial" w:eastAsia="Times New Roman" w:hAnsi="Arial" w:cs="Arial"/>
          <w:kern w:val="0"/>
          <w:szCs w:val="22"/>
          <w:lang w:eastAsia="en-GB"/>
          <w14:ligatures w14:val="none"/>
        </w:rPr>
        <w:lastRenderedPageBreak/>
        <w:t>accompany cultural events or providing younger staff with traditional cooking ideas. In the long term, this will assist Mrs Khan in the belief that her experiences do not go to waste and that she is still part of the community. Consequently, her self-esteem, mood, and belongingness can change.</w:t>
      </w:r>
    </w:p>
    <w:p w14:paraId="765C0242" w14:textId="77777777" w:rsidR="00651010" w:rsidRPr="00D566DF" w:rsidRDefault="00651010" w:rsidP="00A33A21">
      <w:pPr>
        <w:spacing w:before="100" w:beforeAutospacing="1" w:after="100" w:afterAutospacing="1"/>
        <w:jc w:val="both"/>
        <w:rPr>
          <w:rFonts w:ascii="Arial" w:eastAsia="Times New Roman" w:hAnsi="Arial" w:cs="Arial"/>
          <w:kern w:val="0"/>
          <w:szCs w:val="22"/>
          <w:lang w:eastAsia="en-GB"/>
          <w14:ligatures w14:val="none"/>
        </w:rPr>
      </w:pPr>
      <w:r w:rsidRPr="00D566DF">
        <w:rPr>
          <w:rFonts w:ascii="Arial" w:eastAsia="Times New Roman" w:hAnsi="Arial" w:cs="Arial"/>
          <w:kern w:val="0"/>
          <w:szCs w:val="22"/>
          <w:lang w:eastAsia="en-GB"/>
          <w14:ligatures w14:val="none"/>
        </w:rPr>
        <w:t>This is a very applicable application within residential care since most elderly individuals are at risk of mental health issues, loneliness, depression, and loss of identity. The theory proposed by Erikson urges practitioners to move past task-oriented care and consider the emotional development during later life. It is also compatible with the values of person-centred care since it is based on the entire person rather than on illness or dependency. The promotion of integrity can enhance self-esteem, a stronger relationship among staff and residents, and a more human care setting (Perry et al., 2018). Nevertheless, one of the major obstacles to the implementation of the theory is that staff at care homes can be pressured by time and be preoccupied with physical activities, like medication, hygiene, and safety, over more profound emotional assistance. Consequently, life review work and meaningful conversations can be regarded as optional instead of mandatory. This may complicate the provision of the relational care necessary to uphold ego integrity (Vogel-Scibilia et al., 2009).</w:t>
      </w:r>
    </w:p>
    <w:p w14:paraId="64602690" w14:textId="7F52A77B" w:rsidR="009629CF" w:rsidRPr="00D566DF" w:rsidRDefault="000945D4" w:rsidP="00A33A21">
      <w:pPr>
        <w:spacing w:before="100" w:beforeAutospacing="1" w:after="100" w:afterAutospacing="1"/>
        <w:jc w:val="both"/>
        <w:rPr>
          <w:rFonts w:ascii="Arial" w:eastAsia="Times New Roman" w:hAnsi="Arial" w:cs="Arial"/>
          <w:kern w:val="0"/>
          <w:szCs w:val="22"/>
          <w:lang w:eastAsia="en-GB"/>
          <w14:ligatures w14:val="none"/>
        </w:rPr>
      </w:pPr>
      <w:r w:rsidRPr="00D566DF">
        <w:rPr>
          <w:rFonts w:ascii="Arial" w:eastAsia="Times New Roman" w:hAnsi="Arial" w:cs="Arial"/>
          <w:kern w:val="0"/>
          <w:szCs w:val="22"/>
          <w:lang w:eastAsia="en-GB"/>
          <w14:ligatures w14:val="none"/>
        </w:rPr>
        <w:t>One practical approach to address this difficulty is to incorporate psychosocial support into regular care practices instead of considering it as an additional activity. As an example, employees may be educated to use everyday occasions like mealtimes, personal care, or garden ambulations as moments of reminiscence and identity-oriented dialogue. Personal history, key relations, previous roles and significant interests can be part of care plans to help all staff interact with residents in a more informed manner. Continuity and trust can also be ensured through key worker systems. Through this, Erikson theory becomes embedded in routine practice instead of an extra burden (Homan, Greenberg and Mailick, 2019; Shergold, 2019).</w:t>
      </w:r>
    </w:p>
    <w:p w14:paraId="02428A0E" w14:textId="77777777" w:rsidR="00FB43CE" w:rsidRDefault="00FB43CE" w:rsidP="00A33A21">
      <w:pPr>
        <w:spacing w:before="100" w:beforeAutospacing="1" w:after="100" w:afterAutospacing="1"/>
        <w:jc w:val="both"/>
        <w:rPr>
          <w:rFonts w:eastAsia="Times New Roman"/>
          <w:kern w:val="0"/>
          <w:szCs w:val="22"/>
          <w:lang w:eastAsia="en-GB"/>
          <w14:ligatures w14:val="none"/>
        </w:rPr>
      </w:pPr>
    </w:p>
    <w:p w14:paraId="7D9A5F9B" w14:textId="77777777" w:rsidR="00FB43CE" w:rsidRDefault="00FB43CE" w:rsidP="00A33A21">
      <w:pPr>
        <w:spacing w:before="100" w:beforeAutospacing="1" w:after="100" w:afterAutospacing="1"/>
        <w:jc w:val="both"/>
        <w:rPr>
          <w:rFonts w:eastAsia="Times New Roman"/>
          <w:kern w:val="0"/>
          <w:szCs w:val="22"/>
          <w:lang w:eastAsia="en-GB"/>
          <w14:ligatures w14:val="none"/>
        </w:rPr>
      </w:pPr>
    </w:p>
    <w:p w14:paraId="4CEA1708" w14:textId="77777777" w:rsidR="00FB43CE" w:rsidRDefault="00FB43CE" w:rsidP="00A33A21">
      <w:pPr>
        <w:spacing w:before="100" w:beforeAutospacing="1" w:after="100" w:afterAutospacing="1"/>
        <w:jc w:val="both"/>
        <w:rPr>
          <w:rFonts w:eastAsia="Times New Roman"/>
          <w:kern w:val="0"/>
          <w:szCs w:val="22"/>
          <w:lang w:eastAsia="en-GB"/>
          <w14:ligatures w14:val="none"/>
        </w:rPr>
      </w:pPr>
    </w:p>
    <w:p w14:paraId="661D6D2F" w14:textId="77777777" w:rsidR="00FB43CE" w:rsidRDefault="00FB43CE" w:rsidP="00A33A21">
      <w:pPr>
        <w:spacing w:before="100" w:beforeAutospacing="1" w:after="100" w:afterAutospacing="1"/>
        <w:jc w:val="both"/>
        <w:rPr>
          <w:rFonts w:eastAsia="Times New Roman"/>
          <w:kern w:val="0"/>
          <w:szCs w:val="22"/>
          <w:lang w:eastAsia="en-GB"/>
          <w14:ligatures w14:val="none"/>
        </w:rPr>
      </w:pPr>
    </w:p>
    <w:p w14:paraId="227B81A7" w14:textId="77777777" w:rsidR="00FB43CE" w:rsidRDefault="00FB43CE" w:rsidP="00A33A21">
      <w:pPr>
        <w:spacing w:before="100" w:beforeAutospacing="1" w:after="100" w:afterAutospacing="1"/>
        <w:jc w:val="both"/>
        <w:rPr>
          <w:rFonts w:eastAsia="Times New Roman"/>
          <w:kern w:val="0"/>
          <w:szCs w:val="22"/>
          <w:lang w:eastAsia="en-GB"/>
          <w14:ligatures w14:val="none"/>
        </w:rPr>
      </w:pPr>
    </w:p>
    <w:p w14:paraId="3D8BA3D3" w14:textId="77777777" w:rsidR="00D566DF" w:rsidRDefault="00D566DF" w:rsidP="00A33A21">
      <w:pPr>
        <w:spacing w:before="100" w:beforeAutospacing="1" w:after="100" w:afterAutospacing="1"/>
        <w:jc w:val="both"/>
        <w:rPr>
          <w:rFonts w:eastAsia="Times New Roman"/>
          <w:kern w:val="0"/>
          <w:szCs w:val="22"/>
          <w:lang w:val="en-GB" w:eastAsia="en-GB"/>
          <w14:ligatures w14:val="none"/>
        </w:rPr>
      </w:pPr>
    </w:p>
    <w:p w14:paraId="3A34E1AA" w14:textId="0AC83450" w:rsidR="009629CF" w:rsidRPr="00226B74" w:rsidRDefault="009629CF" w:rsidP="00A33A21">
      <w:pPr>
        <w:spacing w:before="100" w:beforeAutospacing="1" w:after="100" w:afterAutospacing="1"/>
        <w:jc w:val="both"/>
        <w:rPr>
          <w:rFonts w:eastAsia="Times New Roman"/>
          <w:b/>
          <w:bCs/>
          <w:kern w:val="0"/>
          <w:szCs w:val="22"/>
          <w:lang w:eastAsia="en-GB"/>
          <w14:ligatures w14:val="none"/>
        </w:rPr>
      </w:pPr>
      <w:r w:rsidRPr="00226B74">
        <w:rPr>
          <w:rFonts w:eastAsia="Times New Roman"/>
          <w:b/>
          <w:bCs/>
          <w:kern w:val="0"/>
          <w:szCs w:val="22"/>
          <w:lang w:eastAsia="en-GB"/>
          <w14:ligatures w14:val="none"/>
        </w:rPr>
        <w:lastRenderedPageBreak/>
        <w:t>References</w:t>
      </w:r>
    </w:p>
    <w:p w14:paraId="2C96A9F8" w14:textId="77777777" w:rsidR="009629CF" w:rsidRPr="009629CF" w:rsidRDefault="009629CF" w:rsidP="00A33A21">
      <w:pPr>
        <w:spacing w:after="240"/>
        <w:jc w:val="both"/>
        <w:rPr>
          <w:rFonts w:eastAsia="Times New Roman"/>
          <w:kern w:val="0"/>
          <w:szCs w:val="22"/>
          <w:lang w:eastAsia="en-GB"/>
          <w14:ligatures w14:val="none"/>
        </w:rPr>
      </w:pPr>
      <w:r w:rsidRPr="009629CF">
        <w:rPr>
          <w:rFonts w:eastAsia="Times New Roman"/>
          <w:kern w:val="0"/>
          <w:szCs w:val="22"/>
          <w:lang w:eastAsia="en-GB"/>
          <w14:ligatures w14:val="none"/>
        </w:rPr>
        <w:t xml:space="preserve">Girgis, F. </w:t>
      </w:r>
      <w:r w:rsidRPr="009629CF">
        <w:rPr>
          <w:rFonts w:eastAsia="Times New Roman"/>
          <w:i/>
          <w:iCs/>
          <w:kern w:val="0"/>
          <w:szCs w:val="22"/>
          <w:lang w:eastAsia="en-GB"/>
          <w14:ligatures w14:val="none"/>
        </w:rPr>
        <w:t>et al.</w:t>
      </w:r>
      <w:r w:rsidRPr="009629CF">
        <w:rPr>
          <w:rFonts w:eastAsia="Times New Roman"/>
          <w:kern w:val="0"/>
          <w:szCs w:val="22"/>
          <w:lang w:eastAsia="en-GB"/>
          <w14:ligatures w14:val="none"/>
        </w:rPr>
        <w:t xml:space="preserve"> (2018) ‘Toward a Neuroscience of Adult Cognitive Developmental Theory’, </w:t>
      </w:r>
      <w:r w:rsidRPr="009629CF">
        <w:rPr>
          <w:rFonts w:eastAsia="Times New Roman"/>
          <w:i/>
          <w:iCs/>
          <w:kern w:val="0"/>
          <w:szCs w:val="22"/>
          <w:lang w:eastAsia="en-GB"/>
          <w14:ligatures w14:val="none"/>
        </w:rPr>
        <w:t>Frontiers in Neuroscience</w:t>
      </w:r>
      <w:r w:rsidRPr="009629CF">
        <w:rPr>
          <w:rFonts w:eastAsia="Times New Roman"/>
          <w:kern w:val="0"/>
          <w:szCs w:val="22"/>
          <w:lang w:eastAsia="en-GB"/>
          <w14:ligatures w14:val="none"/>
        </w:rPr>
        <w:t>, 12(4). Available at: https://doi.org/10.3389/fnins.2018.00004.</w:t>
      </w:r>
    </w:p>
    <w:p w14:paraId="2B03681C" w14:textId="77777777" w:rsidR="009629CF" w:rsidRPr="009629CF" w:rsidRDefault="009629CF" w:rsidP="00A33A21">
      <w:pPr>
        <w:spacing w:after="240"/>
        <w:jc w:val="both"/>
        <w:rPr>
          <w:rFonts w:eastAsia="Times New Roman"/>
          <w:kern w:val="0"/>
          <w:szCs w:val="22"/>
          <w:lang w:eastAsia="en-GB"/>
          <w14:ligatures w14:val="none"/>
        </w:rPr>
      </w:pPr>
      <w:r w:rsidRPr="009629CF">
        <w:rPr>
          <w:rFonts w:eastAsia="Times New Roman"/>
          <w:kern w:val="0"/>
          <w:szCs w:val="22"/>
          <w:lang w:eastAsia="en-GB"/>
          <w14:ligatures w14:val="none"/>
        </w:rPr>
        <w:t xml:space="preserve">Homan, K.J., Greenberg, J.S. and Mailick, M.R. (2019) ‘Generativity and Well-Being of Midlife and Aging Parents With Children With Developmental or Mental Health Problems’, </w:t>
      </w:r>
      <w:r w:rsidRPr="009629CF">
        <w:rPr>
          <w:rFonts w:eastAsia="Times New Roman"/>
          <w:i/>
          <w:iCs/>
          <w:kern w:val="0"/>
          <w:szCs w:val="22"/>
          <w:lang w:eastAsia="en-GB"/>
          <w14:ligatures w14:val="none"/>
        </w:rPr>
        <w:t>Research on Aging</w:t>
      </w:r>
      <w:r w:rsidRPr="009629CF">
        <w:rPr>
          <w:rFonts w:eastAsia="Times New Roman"/>
          <w:kern w:val="0"/>
          <w:szCs w:val="22"/>
          <w:lang w:eastAsia="en-GB"/>
          <w14:ligatures w14:val="none"/>
        </w:rPr>
        <w:t>, 42(3-4), pp. 95–104. Available at: https://doi.org/10.1177/0164027519884759.</w:t>
      </w:r>
    </w:p>
    <w:p w14:paraId="3CBDCBEB" w14:textId="77777777" w:rsidR="009629CF" w:rsidRPr="009629CF" w:rsidRDefault="009629CF" w:rsidP="00A33A21">
      <w:pPr>
        <w:spacing w:after="240"/>
        <w:jc w:val="both"/>
        <w:rPr>
          <w:rFonts w:eastAsia="Times New Roman"/>
          <w:kern w:val="0"/>
          <w:szCs w:val="22"/>
          <w:lang w:eastAsia="en-GB"/>
          <w14:ligatures w14:val="none"/>
        </w:rPr>
      </w:pPr>
      <w:r w:rsidRPr="009629CF">
        <w:rPr>
          <w:rFonts w:eastAsia="Times New Roman"/>
          <w:kern w:val="0"/>
          <w:szCs w:val="22"/>
          <w:lang w:eastAsia="en-GB"/>
          <w14:ligatures w14:val="none"/>
        </w:rPr>
        <w:t xml:space="preserve">Kantar, L.D., Ezzeddine, S. and Rizk, U. (2020) ‘Rethinking Clinical Instruction through the Zone of Proximal Development’, </w:t>
      </w:r>
      <w:r w:rsidRPr="009629CF">
        <w:rPr>
          <w:rFonts w:eastAsia="Times New Roman"/>
          <w:i/>
          <w:iCs/>
          <w:kern w:val="0"/>
          <w:szCs w:val="22"/>
          <w:lang w:eastAsia="en-GB"/>
          <w14:ligatures w14:val="none"/>
        </w:rPr>
        <w:t>Nurse Education Today</w:t>
      </w:r>
      <w:r w:rsidRPr="009629CF">
        <w:rPr>
          <w:rFonts w:eastAsia="Times New Roman"/>
          <w:kern w:val="0"/>
          <w:szCs w:val="22"/>
          <w:lang w:eastAsia="en-GB"/>
          <w14:ligatures w14:val="none"/>
        </w:rPr>
        <w:t>, 95(95), p. 104595. Available at: https://doi.org/10.1016/j.nedt.2020.104595.</w:t>
      </w:r>
    </w:p>
    <w:p w14:paraId="5844D6BA" w14:textId="77777777" w:rsidR="009629CF" w:rsidRPr="009629CF" w:rsidRDefault="009629CF" w:rsidP="00A33A21">
      <w:pPr>
        <w:spacing w:after="240"/>
        <w:jc w:val="both"/>
        <w:rPr>
          <w:rFonts w:eastAsia="Times New Roman"/>
          <w:kern w:val="0"/>
          <w:szCs w:val="22"/>
          <w:lang w:eastAsia="en-GB"/>
          <w14:ligatures w14:val="none"/>
        </w:rPr>
      </w:pPr>
      <w:r w:rsidRPr="009629CF">
        <w:rPr>
          <w:rFonts w:eastAsia="Times New Roman"/>
          <w:kern w:val="0"/>
          <w:szCs w:val="22"/>
          <w:lang w:eastAsia="en-GB"/>
          <w14:ligatures w14:val="none"/>
        </w:rPr>
        <w:t xml:space="preserve">Kayes, N.M. and Papadimitriou, C. (2023) ‘Reflecting on challenges and opportunities for the practice of person-centred rehabilitation’, </w:t>
      </w:r>
      <w:r w:rsidRPr="009629CF">
        <w:rPr>
          <w:rFonts w:eastAsia="Times New Roman"/>
          <w:i/>
          <w:iCs/>
          <w:kern w:val="0"/>
          <w:szCs w:val="22"/>
          <w:lang w:eastAsia="en-GB"/>
          <w14:ligatures w14:val="none"/>
        </w:rPr>
        <w:t>Clinical Rehabilitation</w:t>
      </w:r>
      <w:r w:rsidRPr="009629CF">
        <w:rPr>
          <w:rFonts w:eastAsia="Times New Roman"/>
          <w:kern w:val="0"/>
          <w:szCs w:val="22"/>
          <w:lang w:eastAsia="en-GB"/>
          <w14:ligatures w14:val="none"/>
        </w:rPr>
        <w:t>, 37(8), p. 026921552311529. Available at: https://doi.org/10.1177/02692155231152970.</w:t>
      </w:r>
    </w:p>
    <w:p w14:paraId="63EE8E09" w14:textId="77777777" w:rsidR="009629CF" w:rsidRPr="009629CF" w:rsidRDefault="009629CF" w:rsidP="00A33A21">
      <w:pPr>
        <w:spacing w:after="240"/>
        <w:jc w:val="both"/>
        <w:rPr>
          <w:rFonts w:eastAsia="Times New Roman"/>
          <w:kern w:val="0"/>
          <w:szCs w:val="22"/>
          <w:lang w:eastAsia="en-GB"/>
          <w14:ligatures w14:val="none"/>
        </w:rPr>
      </w:pPr>
      <w:r w:rsidRPr="009629CF">
        <w:rPr>
          <w:rFonts w:eastAsia="Times New Roman"/>
          <w:kern w:val="0"/>
          <w:szCs w:val="22"/>
          <w:lang w:eastAsia="en-GB"/>
          <w14:ligatures w14:val="none"/>
        </w:rPr>
        <w:t xml:space="preserve">Malone, J.C. </w:t>
      </w:r>
      <w:r w:rsidRPr="009629CF">
        <w:rPr>
          <w:rFonts w:eastAsia="Times New Roman"/>
          <w:i/>
          <w:iCs/>
          <w:kern w:val="0"/>
          <w:szCs w:val="22"/>
          <w:lang w:eastAsia="en-GB"/>
          <w14:ligatures w14:val="none"/>
        </w:rPr>
        <w:t>et al.</w:t>
      </w:r>
      <w:r w:rsidRPr="009629CF">
        <w:rPr>
          <w:rFonts w:eastAsia="Times New Roman"/>
          <w:kern w:val="0"/>
          <w:szCs w:val="22"/>
          <w:lang w:eastAsia="en-GB"/>
          <w14:ligatures w14:val="none"/>
        </w:rPr>
        <w:t xml:space="preserve"> (2016) ‘Midlife Eriksonian psychosocial development: Setting the stage for late-life cognitive and emotional health.’, </w:t>
      </w:r>
      <w:r w:rsidRPr="009629CF">
        <w:rPr>
          <w:rFonts w:eastAsia="Times New Roman"/>
          <w:i/>
          <w:iCs/>
          <w:kern w:val="0"/>
          <w:szCs w:val="22"/>
          <w:lang w:eastAsia="en-GB"/>
          <w14:ligatures w14:val="none"/>
        </w:rPr>
        <w:t>Developmental Psychology</w:t>
      </w:r>
      <w:r w:rsidRPr="009629CF">
        <w:rPr>
          <w:rFonts w:eastAsia="Times New Roman"/>
          <w:kern w:val="0"/>
          <w:szCs w:val="22"/>
          <w:lang w:eastAsia="en-GB"/>
          <w14:ligatures w14:val="none"/>
        </w:rPr>
        <w:t>, 52(3), pp. 496–508. Available at: https://doi.org/10.1037/a0039875.</w:t>
      </w:r>
    </w:p>
    <w:p w14:paraId="51CBE1C2" w14:textId="77777777" w:rsidR="009629CF" w:rsidRPr="009629CF" w:rsidRDefault="009629CF" w:rsidP="00A33A21">
      <w:pPr>
        <w:spacing w:after="240"/>
        <w:jc w:val="both"/>
        <w:rPr>
          <w:rFonts w:eastAsia="Times New Roman"/>
          <w:kern w:val="0"/>
          <w:szCs w:val="22"/>
          <w:lang w:eastAsia="en-GB"/>
          <w14:ligatures w14:val="none"/>
        </w:rPr>
      </w:pPr>
      <w:r w:rsidRPr="009629CF">
        <w:rPr>
          <w:rFonts w:eastAsia="Times New Roman"/>
          <w:kern w:val="0"/>
          <w:szCs w:val="22"/>
          <w:lang w:eastAsia="en-GB"/>
          <w14:ligatures w14:val="none"/>
        </w:rPr>
        <w:t xml:space="preserve">Perry, T.E. </w:t>
      </w:r>
      <w:r w:rsidRPr="009629CF">
        <w:rPr>
          <w:rFonts w:eastAsia="Times New Roman"/>
          <w:i/>
          <w:iCs/>
          <w:kern w:val="0"/>
          <w:szCs w:val="22"/>
          <w:lang w:eastAsia="en-GB"/>
          <w14:ligatures w14:val="none"/>
        </w:rPr>
        <w:t>et al.</w:t>
      </w:r>
      <w:r w:rsidRPr="009629CF">
        <w:rPr>
          <w:rFonts w:eastAsia="Times New Roman"/>
          <w:kern w:val="0"/>
          <w:szCs w:val="22"/>
          <w:lang w:eastAsia="en-GB"/>
          <w14:ligatures w14:val="none"/>
        </w:rPr>
        <w:t xml:space="preserve"> (2018) ‘Applying Erikson’s Wisdom to Self-Management Practices of Older Adults’, </w:t>
      </w:r>
      <w:r w:rsidRPr="009629CF">
        <w:rPr>
          <w:rFonts w:eastAsia="Times New Roman"/>
          <w:i/>
          <w:iCs/>
          <w:kern w:val="0"/>
          <w:szCs w:val="22"/>
          <w:lang w:eastAsia="en-GB"/>
          <w14:ligatures w14:val="none"/>
        </w:rPr>
        <w:t>Research on Aging</w:t>
      </w:r>
      <w:r w:rsidRPr="009629CF">
        <w:rPr>
          <w:rFonts w:eastAsia="Times New Roman"/>
          <w:kern w:val="0"/>
          <w:szCs w:val="22"/>
          <w:lang w:eastAsia="en-GB"/>
          <w14:ligatures w14:val="none"/>
        </w:rPr>
        <w:t>, 37(3), pp. 253–274. Available at: https://doi.org/10.1177/0164027514527974.</w:t>
      </w:r>
    </w:p>
    <w:p w14:paraId="15A0BE4C" w14:textId="77777777" w:rsidR="009629CF" w:rsidRPr="009629CF" w:rsidRDefault="009629CF" w:rsidP="00A33A21">
      <w:pPr>
        <w:spacing w:after="240"/>
        <w:jc w:val="both"/>
        <w:rPr>
          <w:rFonts w:eastAsia="Times New Roman"/>
          <w:kern w:val="0"/>
          <w:szCs w:val="22"/>
          <w:lang w:eastAsia="en-GB"/>
          <w14:ligatures w14:val="none"/>
        </w:rPr>
      </w:pPr>
      <w:r w:rsidRPr="009629CF">
        <w:rPr>
          <w:rFonts w:eastAsia="Times New Roman"/>
          <w:kern w:val="0"/>
          <w:szCs w:val="22"/>
          <w:lang w:eastAsia="en-GB"/>
          <w14:ligatures w14:val="none"/>
        </w:rPr>
        <w:t xml:space="preserve">Polacsek, M. and Woolford, M. (2022) ‘Strategies to support older adults’ mental health during the transition into residential aged care: a qualitative study of multiple stakeholder perspectives’, </w:t>
      </w:r>
      <w:r w:rsidRPr="009629CF">
        <w:rPr>
          <w:rFonts w:eastAsia="Times New Roman"/>
          <w:i/>
          <w:iCs/>
          <w:kern w:val="0"/>
          <w:szCs w:val="22"/>
          <w:lang w:eastAsia="en-GB"/>
          <w14:ligatures w14:val="none"/>
        </w:rPr>
        <w:t>BMC Geriatrics</w:t>
      </w:r>
      <w:r w:rsidRPr="009629CF">
        <w:rPr>
          <w:rFonts w:eastAsia="Times New Roman"/>
          <w:kern w:val="0"/>
          <w:szCs w:val="22"/>
          <w:lang w:eastAsia="en-GB"/>
          <w14:ligatures w14:val="none"/>
        </w:rPr>
        <w:t>, 22(1). Available at: https://doi.org/10.1186/s12877-022-02859-1.</w:t>
      </w:r>
    </w:p>
    <w:p w14:paraId="52B135E3" w14:textId="77777777" w:rsidR="009629CF" w:rsidRPr="009629CF" w:rsidRDefault="009629CF" w:rsidP="00A33A21">
      <w:pPr>
        <w:spacing w:after="240"/>
        <w:jc w:val="both"/>
        <w:rPr>
          <w:rFonts w:eastAsia="Times New Roman"/>
          <w:kern w:val="0"/>
          <w:szCs w:val="22"/>
          <w:lang w:eastAsia="en-GB"/>
          <w14:ligatures w14:val="none"/>
        </w:rPr>
      </w:pPr>
      <w:r w:rsidRPr="009629CF">
        <w:rPr>
          <w:rFonts w:eastAsia="Times New Roman"/>
          <w:kern w:val="0"/>
          <w:szCs w:val="22"/>
          <w:lang w:eastAsia="en-GB"/>
          <w14:ligatures w14:val="none"/>
        </w:rPr>
        <w:t xml:space="preserve">Rosen, M.A. (2020) ‘Teamwork in healthcare: Key Discoveries Enabling safer, high-quality care.’, </w:t>
      </w:r>
      <w:r w:rsidRPr="009629CF">
        <w:rPr>
          <w:rFonts w:eastAsia="Times New Roman"/>
          <w:i/>
          <w:iCs/>
          <w:kern w:val="0"/>
          <w:szCs w:val="22"/>
          <w:lang w:eastAsia="en-GB"/>
          <w14:ligatures w14:val="none"/>
        </w:rPr>
        <w:t>American Psychologist</w:t>
      </w:r>
      <w:r w:rsidRPr="009629CF">
        <w:rPr>
          <w:rFonts w:eastAsia="Times New Roman"/>
          <w:kern w:val="0"/>
          <w:szCs w:val="22"/>
          <w:lang w:eastAsia="en-GB"/>
          <w14:ligatures w14:val="none"/>
        </w:rPr>
        <w:t>, 73(4), pp. 433–450. Available at: https://doi.org/10.1037/amp0000298.</w:t>
      </w:r>
    </w:p>
    <w:p w14:paraId="736D1BDB" w14:textId="77777777" w:rsidR="009629CF" w:rsidRPr="009629CF" w:rsidRDefault="009629CF" w:rsidP="00A33A21">
      <w:pPr>
        <w:spacing w:after="240"/>
        <w:jc w:val="both"/>
        <w:rPr>
          <w:rFonts w:eastAsia="Times New Roman"/>
          <w:kern w:val="0"/>
          <w:szCs w:val="22"/>
          <w:lang w:eastAsia="en-GB"/>
          <w14:ligatures w14:val="none"/>
        </w:rPr>
      </w:pPr>
      <w:r w:rsidRPr="009629CF">
        <w:rPr>
          <w:rFonts w:eastAsia="Times New Roman"/>
          <w:kern w:val="0"/>
          <w:szCs w:val="22"/>
          <w:lang w:eastAsia="en-GB"/>
          <w14:ligatures w14:val="none"/>
        </w:rPr>
        <w:t xml:space="preserve">Shergold, I. (2019) ‘Taking part in activities, an exploration of the role of discretionary travel in older people’s wellbeing’, </w:t>
      </w:r>
      <w:r w:rsidRPr="009629CF">
        <w:rPr>
          <w:rFonts w:eastAsia="Times New Roman"/>
          <w:i/>
          <w:iCs/>
          <w:kern w:val="0"/>
          <w:szCs w:val="22"/>
          <w:lang w:eastAsia="en-GB"/>
          <w14:ligatures w14:val="none"/>
        </w:rPr>
        <w:t>Journal of Transport &amp; Health</w:t>
      </w:r>
      <w:r w:rsidRPr="009629CF">
        <w:rPr>
          <w:rFonts w:eastAsia="Times New Roman"/>
          <w:kern w:val="0"/>
          <w:szCs w:val="22"/>
          <w:lang w:eastAsia="en-GB"/>
          <w14:ligatures w14:val="none"/>
        </w:rPr>
        <w:t>, 12, pp. 195–205. Available at: https://doi.org/10.1016/j.jth.2019.01.005.</w:t>
      </w:r>
    </w:p>
    <w:p w14:paraId="3BD28AF5" w14:textId="77777777" w:rsidR="009629CF" w:rsidRPr="009629CF" w:rsidRDefault="009629CF" w:rsidP="00A33A21">
      <w:pPr>
        <w:spacing w:after="240"/>
        <w:jc w:val="both"/>
        <w:rPr>
          <w:rFonts w:eastAsia="Times New Roman"/>
          <w:kern w:val="0"/>
          <w:szCs w:val="22"/>
          <w:lang w:eastAsia="en-GB"/>
          <w14:ligatures w14:val="none"/>
        </w:rPr>
      </w:pPr>
      <w:r w:rsidRPr="009629CF">
        <w:rPr>
          <w:rFonts w:eastAsia="Times New Roman"/>
          <w:kern w:val="0"/>
          <w:szCs w:val="22"/>
          <w:lang w:eastAsia="en-GB"/>
          <w14:ligatures w14:val="none"/>
        </w:rPr>
        <w:lastRenderedPageBreak/>
        <w:t xml:space="preserve">Vogel-Scibilia, S.E. </w:t>
      </w:r>
      <w:r w:rsidRPr="009629CF">
        <w:rPr>
          <w:rFonts w:eastAsia="Times New Roman"/>
          <w:i/>
          <w:iCs/>
          <w:kern w:val="0"/>
          <w:szCs w:val="22"/>
          <w:lang w:eastAsia="en-GB"/>
          <w14:ligatures w14:val="none"/>
        </w:rPr>
        <w:t>et al.</w:t>
      </w:r>
      <w:r w:rsidRPr="009629CF">
        <w:rPr>
          <w:rFonts w:eastAsia="Times New Roman"/>
          <w:kern w:val="0"/>
          <w:szCs w:val="22"/>
          <w:lang w:eastAsia="en-GB"/>
          <w14:ligatures w14:val="none"/>
        </w:rPr>
        <w:t xml:space="preserve"> (2009) ‘The Recovery Process Utilizing Erikson’s Stages of Human Development’, </w:t>
      </w:r>
      <w:r w:rsidRPr="009629CF">
        <w:rPr>
          <w:rFonts w:eastAsia="Times New Roman"/>
          <w:i/>
          <w:iCs/>
          <w:kern w:val="0"/>
          <w:szCs w:val="22"/>
          <w:lang w:eastAsia="en-GB"/>
          <w14:ligatures w14:val="none"/>
        </w:rPr>
        <w:t>Community Mental Health Journal</w:t>
      </w:r>
      <w:r w:rsidRPr="009629CF">
        <w:rPr>
          <w:rFonts w:eastAsia="Times New Roman"/>
          <w:kern w:val="0"/>
          <w:szCs w:val="22"/>
          <w:lang w:eastAsia="en-GB"/>
          <w14:ligatures w14:val="none"/>
        </w:rPr>
        <w:t>, 45(6), pp. 405–414. Available at: https://doi.org/10.1007/s10597-009-9189-4.</w:t>
      </w:r>
    </w:p>
    <w:p w14:paraId="53867243" w14:textId="77777777" w:rsidR="009629CF" w:rsidRPr="00FB5EBD" w:rsidRDefault="009629CF" w:rsidP="00A33A21">
      <w:pPr>
        <w:spacing w:before="100" w:beforeAutospacing="1" w:after="100" w:afterAutospacing="1"/>
        <w:jc w:val="both"/>
        <w:rPr>
          <w:rFonts w:eastAsia="Times New Roman"/>
          <w:kern w:val="0"/>
          <w:szCs w:val="22"/>
          <w:lang w:eastAsia="en-GB"/>
          <w14:ligatures w14:val="none"/>
        </w:rPr>
      </w:pPr>
    </w:p>
    <w:p w14:paraId="6262C193" w14:textId="77777777" w:rsidR="006C242B" w:rsidRPr="00226B74" w:rsidRDefault="006C242B" w:rsidP="00A33A21">
      <w:pPr>
        <w:jc w:val="both"/>
        <w:rPr>
          <w:szCs w:val="22"/>
          <w:lang w:val="en-GB"/>
        </w:rPr>
      </w:pPr>
    </w:p>
    <w:sectPr w:rsidR="006C242B" w:rsidRPr="00226B74">
      <w:headerReference w:type="default" r:id="rId11"/>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19591A" w14:textId="77777777" w:rsidR="006220F9" w:rsidRDefault="006220F9" w:rsidP="003D3A1C">
      <w:pPr>
        <w:spacing w:after="0" w:line="240" w:lineRule="auto"/>
      </w:pPr>
      <w:r>
        <w:separator/>
      </w:r>
    </w:p>
  </w:endnote>
  <w:endnote w:type="continuationSeparator" w:id="0">
    <w:p w14:paraId="24DFE442" w14:textId="77777777" w:rsidR="006220F9" w:rsidRDefault="006220F9" w:rsidP="003D3A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94073068"/>
      <w:docPartObj>
        <w:docPartGallery w:val="Page Numbers (Bottom of Page)"/>
        <w:docPartUnique/>
      </w:docPartObj>
    </w:sdtPr>
    <w:sdtEndPr>
      <w:rPr>
        <w:rStyle w:val="PageNumber"/>
      </w:rPr>
    </w:sdtEndPr>
    <w:sdtContent>
      <w:p w14:paraId="7267B94A" w14:textId="72BE8B11" w:rsidR="003D3A1C" w:rsidRDefault="003D3A1C" w:rsidP="005F7A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C5B0640" w14:textId="77777777" w:rsidR="003D3A1C" w:rsidRDefault="003D3A1C" w:rsidP="003D3A1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8AF925" w14:textId="50801A02" w:rsidR="2A89F126" w:rsidRDefault="2A89F126" w:rsidP="2A89F126">
    <w:pPr>
      <w:pStyle w:val="Footer"/>
      <w:jc w:val="right"/>
    </w:pPr>
    <w:r>
      <w:fldChar w:fldCharType="begin"/>
    </w:r>
    <w:r>
      <w:instrText>PAGE</w:instrText>
    </w:r>
    <w:r>
      <w:fldChar w:fldCharType="separate"/>
    </w:r>
    <w:r w:rsidR="00A33A21">
      <w:rPr>
        <w:noProof/>
      </w:rPr>
      <w:t>1</w:t>
    </w:r>
    <w:r>
      <w:fldChar w:fldCharType="end"/>
    </w:r>
  </w:p>
  <w:sdt>
    <w:sdtPr>
      <w:rPr>
        <w:rStyle w:val="PageNumber"/>
      </w:rPr>
      <w:id w:val="-713970886"/>
      <w:showingPlcHdr/>
      <w:docPartObj>
        <w:docPartGallery w:val="Page Numbers (Bottom of Page)"/>
        <w:docPartUnique/>
      </w:docPartObj>
    </w:sdtPr>
    <w:sdtEndPr>
      <w:rPr>
        <w:rStyle w:val="PageNumber"/>
      </w:rPr>
    </w:sdtEndPr>
    <w:sdtContent>
      <w:p w14:paraId="7BFA8166" w14:textId="73D2D035" w:rsidR="003D3A1C" w:rsidRDefault="2A89F126" w:rsidP="2A89F126">
        <w:pPr>
          <w:pStyle w:val="Footer"/>
          <w:framePr w:wrap="none" w:vAnchor="text" w:hAnchor="margin" w:xAlign="right" w:y="1"/>
          <w:rPr>
            <w:rStyle w:val="PageNumber"/>
            <w:noProof/>
          </w:rPr>
        </w:pPr>
        <w:r w:rsidRPr="2A89F126">
          <w:rPr>
            <w:rStyle w:val="PlaceholderText"/>
          </w:rPr>
          <w:t xml:space="preserve">     </w:t>
        </w:r>
      </w:p>
    </w:sdtContent>
  </w:sdt>
  <w:p w14:paraId="0DEAA195" w14:textId="77777777" w:rsidR="003D3A1C" w:rsidRDefault="003D3A1C" w:rsidP="003D3A1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456FC7" w14:textId="77777777" w:rsidR="006220F9" w:rsidRDefault="006220F9" w:rsidP="003D3A1C">
      <w:pPr>
        <w:spacing w:after="0" w:line="240" w:lineRule="auto"/>
      </w:pPr>
      <w:r>
        <w:separator/>
      </w:r>
    </w:p>
  </w:footnote>
  <w:footnote w:type="continuationSeparator" w:id="0">
    <w:p w14:paraId="5A9B062F" w14:textId="77777777" w:rsidR="006220F9" w:rsidRDefault="006220F9" w:rsidP="003D3A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A89F126" w14:paraId="031883F5" w14:textId="77777777" w:rsidTr="2A89F126">
      <w:trPr>
        <w:trHeight w:val="300"/>
      </w:trPr>
      <w:tc>
        <w:tcPr>
          <w:tcW w:w="3005" w:type="dxa"/>
        </w:tcPr>
        <w:p w14:paraId="55AC3A81" w14:textId="095B6473" w:rsidR="2A89F126" w:rsidRDefault="2A89F126" w:rsidP="2A89F126">
          <w:pPr>
            <w:pStyle w:val="Header"/>
            <w:ind w:left="-115"/>
          </w:pPr>
        </w:p>
      </w:tc>
      <w:tc>
        <w:tcPr>
          <w:tcW w:w="3005" w:type="dxa"/>
        </w:tcPr>
        <w:p w14:paraId="44E1FBA7" w14:textId="3C1D70EA" w:rsidR="2A89F126" w:rsidRDefault="2A89F126" w:rsidP="2A89F126">
          <w:pPr>
            <w:pStyle w:val="Header"/>
            <w:jc w:val="center"/>
          </w:pPr>
        </w:p>
      </w:tc>
      <w:tc>
        <w:tcPr>
          <w:tcW w:w="3005" w:type="dxa"/>
        </w:tcPr>
        <w:p w14:paraId="25A5D44F" w14:textId="5FED1297" w:rsidR="2A89F126" w:rsidRDefault="2A89F126" w:rsidP="2A89F126">
          <w:pPr>
            <w:pStyle w:val="Header"/>
            <w:ind w:right="-115"/>
            <w:jc w:val="right"/>
          </w:pPr>
        </w:p>
      </w:tc>
    </w:tr>
  </w:tbl>
  <w:p w14:paraId="148EDD85" w14:textId="77975D33" w:rsidR="2A89F126" w:rsidRDefault="2A89F126" w:rsidP="2A89F1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F235B4"/>
    <w:multiLevelType w:val="hybridMultilevel"/>
    <w:tmpl w:val="A40AAEE2"/>
    <w:lvl w:ilvl="0" w:tplc="60C6F27C">
      <w:start w:val="1"/>
      <w:numFmt w:val="decimal"/>
      <w:lvlText w:val="%1."/>
      <w:lvlJc w:val="left"/>
      <w:pPr>
        <w:ind w:left="720" w:hanging="360"/>
      </w:pPr>
      <w:rPr>
        <w:rFonts w:eastAsiaTheme="majorEastAsia"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4B0E7E"/>
    <w:multiLevelType w:val="hybridMultilevel"/>
    <w:tmpl w:val="7B0268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0611013">
    <w:abstractNumId w:val="1"/>
  </w:num>
  <w:num w:numId="2" w16cid:durableId="21433015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132"/>
    <w:rsid w:val="000363C5"/>
    <w:rsid w:val="00045966"/>
    <w:rsid w:val="000945D4"/>
    <w:rsid w:val="000B743B"/>
    <w:rsid w:val="00226B74"/>
    <w:rsid w:val="002A5235"/>
    <w:rsid w:val="002A6A5C"/>
    <w:rsid w:val="00340028"/>
    <w:rsid w:val="003D3A1C"/>
    <w:rsid w:val="00437888"/>
    <w:rsid w:val="00461624"/>
    <w:rsid w:val="00585E0C"/>
    <w:rsid w:val="005C1901"/>
    <w:rsid w:val="005D5473"/>
    <w:rsid w:val="006004A6"/>
    <w:rsid w:val="00621395"/>
    <w:rsid w:val="006220F9"/>
    <w:rsid w:val="00651010"/>
    <w:rsid w:val="006722B0"/>
    <w:rsid w:val="00690641"/>
    <w:rsid w:val="006C242B"/>
    <w:rsid w:val="006F45B9"/>
    <w:rsid w:val="0072557E"/>
    <w:rsid w:val="007E7035"/>
    <w:rsid w:val="00804503"/>
    <w:rsid w:val="00823DF7"/>
    <w:rsid w:val="00896467"/>
    <w:rsid w:val="009629CF"/>
    <w:rsid w:val="009B14D7"/>
    <w:rsid w:val="009D2416"/>
    <w:rsid w:val="00A33A21"/>
    <w:rsid w:val="00AB2BA0"/>
    <w:rsid w:val="00B17104"/>
    <w:rsid w:val="00B46F7C"/>
    <w:rsid w:val="00BE4882"/>
    <w:rsid w:val="00D04132"/>
    <w:rsid w:val="00D566DF"/>
    <w:rsid w:val="00D76F38"/>
    <w:rsid w:val="00D95A10"/>
    <w:rsid w:val="00E04B44"/>
    <w:rsid w:val="00E947F1"/>
    <w:rsid w:val="00EC25F9"/>
    <w:rsid w:val="00FB43CE"/>
    <w:rsid w:val="00FB5EBD"/>
    <w:rsid w:val="00FB6C67"/>
    <w:rsid w:val="0FC04274"/>
    <w:rsid w:val="110325AA"/>
    <w:rsid w:val="11E11A90"/>
    <w:rsid w:val="16C0E597"/>
    <w:rsid w:val="1AE89239"/>
    <w:rsid w:val="2A89F126"/>
    <w:rsid w:val="2AC8FD19"/>
    <w:rsid w:val="2E18A85D"/>
    <w:rsid w:val="321CC9CD"/>
    <w:rsid w:val="57296BBF"/>
    <w:rsid w:val="65961D6A"/>
    <w:rsid w:val="73D55482"/>
    <w:rsid w:val="771395E8"/>
    <w:rsid w:val="77728353"/>
    <w:rsid w:val="788AE869"/>
    <w:rsid w:val="7B10A6B6"/>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12A6E"/>
  <w15:chartTrackingRefBased/>
  <w15:docId w15:val="{D43B32B6-4328-0F42-A57F-74B60CDAA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5EBD"/>
    <w:pPr>
      <w:spacing w:line="360" w:lineRule="auto"/>
    </w:pPr>
    <w:rPr>
      <w:rFonts w:asciiTheme="minorBidi" w:hAnsiTheme="minorBidi"/>
      <w:sz w:val="22"/>
    </w:rPr>
  </w:style>
  <w:style w:type="paragraph" w:styleId="Heading1">
    <w:name w:val="heading 1"/>
    <w:basedOn w:val="Normal"/>
    <w:next w:val="Normal"/>
    <w:link w:val="Heading1Char"/>
    <w:uiPriority w:val="9"/>
    <w:qFormat/>
    <w:rsid w:val="00461624"/>
    <w:pPr>
      <w:keepNext/>
      <w:keepLines/>
      <w:spacing w:before="360" w:after="8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FB6C67"/>
    <w:pPr>
      <w:keepNext/>
      <w:keepLines/>
      <w:spacing w:before="160" w:after="8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unhideWhenUsed/>
    <w:qFormat/>
    <w:rsid w:val="00BE4882"/>
    <w:pPr>
      <w:keepNext/>
      <w:keepLines/>
      <w:spacing w:before="160" w:after="80"/>
      <w:outlineLvl w:val="2"/>
    </w:pPr>
    <w:rPr>
      <w:rFonts w:eastAsiaTheme="majorEastAsia" w:cstheme="majorBidi"/>
      <w:b/>
      <w:i/>
      <w:color w:val="0F4761" w:themeColor="accent1" w:themeShade="BF"/>
      <w:szCs w:val="28"/>
    </w:rPr>
  </w:style>
  <w:style w:type="paragraph" w:styleId="Heading4">
    <w:name w:val="heading 4"/>
    <w:basedOn w:val="Normal"/>
    <w:next w:val="Normal"/>
    <w:link w:val="Heading4Char"/>
    <w:uiPriority w:val="9"/>
    <w:semiHidden/>
    <w:unhideWhenUsed/>
    <w:qFormat/>
    <w:rsid w:val="00D0413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0413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0413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0413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0413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0413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624"/>
    <w:rPr>
      <w:rFonts w:asciiTheme="majorBidi" w:eastAsiaTheme="majorEastAsia" w:hAnsiTheme="majorBidi" w:cstheme="majorBidi"/>
      <w:b/>
      <w:color w:val="0F4761" w:themeColor="accent1" w:themeShade="BF"/>
      <w:sz w:val="28"/>
      <w:szCs w:val="40"/>
    </w:rPr>
  </w:style>
  <w:style w:type="character" w:customStyle="1" w:styleId="Heading2Char">
    <w:name w:val="Heading 2 Char"/>
    <w:basedOn w:val="DefaultParagraphFont"/>
    <w:link w:val="Heading2"/>
    <w:uiPriority w:val="9"/>
    <w:rsid w:val="00FB6C67"/>
    <w:rPr>
      <w:rFonts w:asciiTheme="majorBidi" w:eastAsiaTheme="majorEastAsia" w:hAnsiTheme="majorBidi" w:cstheme="majorBidi"/>
      <w:b/>
      <w:color w:val="0F4761" w:themeColor="accent1" w:themeShade="BF"/>
      <w:szCs w:val="32"/>
    </w:rPr>
  </w:style>
  <w:style w:type="character" w:customStyle="1" w:styleId="Heading3Char">
    <w:name w:val="Heading 3 Char"/>
    <w:basedOn w:val="DefaultParagraphFont"/>
    <w:link w:val="Heading3"/>
    <w:uiPriority w:val="9"/>
    <w:rsid w:val="00BE4882"/>
    <w:rPr>
      <w:rFonts w:asciiTheme="majorBidi" w:eastAsiaTheme="majorEastAsia" w:hAnsiTheme="majorBidi" w:cstheme="majorBidi"/>
      <w:b/>
      <w:i/>
      <w:color w:val="0F4761" w:themeColor="accent1" w:themeShade="BF"/>
      <w:szCs w:val="28"/>
    </w:rPr>
  </w:style>
  <w:style w:type="character" w:customStyle="1" w:styleId="Heading4Char">
    <w:name w:val="Heading 4 Char"/>
    <w:basedOn w:val="DefaultParagraphFont"/>
    <w:link w:val="Heading4"/>
    <w:uiPriority w:val="9"/>
    <w:semiHidden/>
    <w:rsid w:val="00D041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41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41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41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41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4132"/>
    <w:rPr>
      <w:rFonts w:eastAsiaTheme="majorEastAsia" w:cstheme="majorBidi"/>
      <w:color w:val="272727" w:themeColor="text1" w:themeTint="D8"/>
    </w:rPr>
  </w:style>
  <w:style w:type="paragraph" w:styleId="Title">
    <w:name w:val="Title"/>
    <w:basedOn w:val="Normal"/>
    <w:next w:val="Normal"/>
    <w:link w:val="TitleChar"/>
    <w:uiPriority w:val="10"/>
    <w:qFormat/>
    <w:rsid w:val="00D041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41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413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41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4132"/>
    <w:pPr>
      <w:spacing w:before="160"/>
      <w:jc w:val="center"/>
    </w:pPr>
    <w:rPr>
      <w:i/>
      <w:iCs/>
      <w:color w:val="404040" w:themeColor="text1" w:themeTint="BF"/>
    </w:rPr>
  </w:style>
  <w:style w:type="character" w:customStyle="1" w:styleId="QuoteChar">
    <w:name w:val="Quote Char"/>
    <w:basedOn w:val="DefaultParagraphFont"/>
    <w:link w:val="Quote"/>
    <w:uiPriority w:val="29"/>
    <w:rsid w:val="00D04132"/>
    <w:rPr>
      <w:rFonts w:asciiTheme="majorBidi" w:hAnsiTheme="majorBidi"/>
      <w:i/>
      <w:iCs/>
      <w:color w:val="404040" w:themeColor="text1" w:themeTint="BF"/>
    </w:rPr>
  </w:style>
  <w:style w:type="paragraph" w:styleId="ListParagraph">
    <w:name w:val="List Paragraph"/>
    <w:basedOn w:val="Normal"/>
    <w:uiPriority w:val="34"/>
    <w:qFormat/>
    <w:rsid w:val="00D04132"/>
    <w:pPr>
      <w:ind w:left="720"/>
      <w:contextualSpacing/>
    </w:pPr>
  </w:style>
  <w:style w:type="character" w:styleId="IntenseEmphasis">
    <w:name w:val="Intense Emphasis"/>
    <w:basedOn w:val="DefaultParagraphFont"/>
    <w:uiPriority w:val="21"/>
    <w:qFormat/>
    <w:rsid w:val="00D04132"/>
    <w:rPr>
      <w:i/>
      <w:iCs/>
      <w:color w:val="0F4761" w:themeColor="accent1" w:themeShade="BF"/>
    </w:rPr>
  </w:style>
  <w:style w:type="paragraph" w:styleId="IntenseQuote">
    <w:name w:val="Intense Quote"/>
    <w:basedOn w:val="Normal"/>
    <w:next w:val="Normal"/>
    <w:link w:val="IntenseQuoteChar"/>
    <w:uiPriority w:val="30"/>
    <w:qFormat/>
    <w:rsid w:val="00D041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4132"/>
    <w:rPr>
      <w:rFonts w:asciiTheme="majorBidi" w:hAnsiTheme="majorBidi"/>
      <w:i/>
      <w:iCs/>
      <w:color w:val="0F4761" w:themeColor="accent1" w:themeShade="BF"/>
    </w:rPr>
  </w:style>
  <w:style w:type="character" w:styleId="IntenseReference">
    <w:name w:val="Intense Reference"/>
    <w:basedOn w:val="DefaultParagraphFont"/>
    <w:uiPriority w:val="32"/>
    <w:qFormat/>
    <w:rsid w:val="00D04132"/>
    <w:rPr>
      <w:b/>
      <w:bCs/>
      <w:smallCaps/>
      <w:color w:val="0F4761" w:themeColor="accent1" w:themeShade="BF"/>
      <w:spacing w:val="5"/>
    </w:rPr>
  </w:style>
  <w:style w:type="paragraph" w:styleId="NormalWeb">
    <w:name w:val="Normal (Web)"/>
    <w:basedOn w:val="Normal"/>
    <w:uiPriority w:val="99"/>
    <w:semiHidden/>
    <w:unhideWhenUsed/>
    <w:rsid w:val="0069064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90641"/>
    <w:rPr>
      <w:b/>
      <w:bCs/>
    </w:rPr>
  </w:style>
  <w:style w:type="character" w:styleId="Emphasis">
    <w:name w:val="Emphasis"/>
    <w:basedOn w:val="DefaultParagraphFont"/>
    <w:uiPriority w:val="20"/>
    <w:qFormat/>
    <w:rsid w:val="00690641"/>
    <w:rPr>
      <w:i/>
      <w:iCs/>
    </w:rPr>
  </w:style>
  <w:style w:type="character" w:styleId="Hyperlink">
    <w:name w:val="Hyperlink"/>
    <w:basedOn w:val="DefaultParagraphFont"/>
    <w:uiPriority w:val="99"/>
    <w:semiHidden/>
    <w:unhideWhenUsed/>
    <w:rsid w:val="00690641"/>
    <w:rPr>
      <w:color w:val="0000FF"/>
      <w:u w:val="single"/>
    </w:rPr>
  </w:style>
  <w:style w:type="paragraph" w:styleId="Header">
    <w:name w:val="header"/>
    <w:basedOn w:val="Normal"/>
    <w:link w:val="HeaderChar"/>
    <w:uiPriority w:val="99"/>
    <w:unhideWhenUsed/>
    <w:rsid w:val="003D3A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3A1C"/>
    <w:rPr>
      <w:rFonts w:asciiTheme="minorBidi" w:hAnsiTheme="minorBidi"/>
      <w:sz w:val="22"/>
    </w:rPr>
  </w:style>
  <w:style w:type="paragraph" w:styleId="Footer">
    <w:name w:val="footer"/>
    <w:basedOn w:val="Normal"/>
    <w:link w:val="FooterChar"/>
    <w:uiPriority w:val="99"/>
    <w:unhideWhenUsed/>
    <w:rsid w:val="003D3A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3A1C"/>
    <w:rPr>
      <w:rFonts w:asciiTheme="minorBidi" w:hAnsiTheme="minorBidi"/>
      <w:sz w:val="22"/>
    </w:rPr>
  </w:style>
  <w:style w:type="character" w:styleId="PageNumber">
    <w:name w:val="page number"/>
    <w:basedOn w:val="DefaultParagraphFont"/>
    <w:uiPriority w:val="99"/>
    <w:semiHidden/>
    <w:unhideWhenUsed/>
    <w:rsid w:val="003D3A1C"/>
  </w:style>
  <w:style w:type="character" w:styleId="PlaceholderText">
    <w:name w:val="Placeholder Text"/>
    <w:basedOn w:val="DefaultParagraphFont"/>
    <w:uiPriority w:val="99"/>
    <w:semiHidden/>
    <w:rsid w:val="2A89F126"/>
    <w:rPr>
      <w:color w:val="66666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th.2019.01.005"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doi.org/10.1037/a0039875"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16/j.nedt.2020.104595" TargetMode="External"/><Relationship Id="rId4" Type="http://schemas.openxmlformats.org/officeDocument/2006/relationships/webSettings" Target="webSettings.xml"/><Relationship Id="rId9" Type="http://schemas.openxmlformats.org/officeDocument/2006/relationships/hyperlink" Target="https://doi.org/10.3389/fnins.2018.0000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1942</Words>
  <Characters>11076</Characters>
  <Application>Microsoft Office Word</Application>
  <DocSecurity>0</DocSecurity>
  <Lines>92</Lines>
  <Paragraphs>25</Paragraphs>
  <ScaleCrop>false</ScaleCrop>
  <Company/>
  <LinksUpToDate>false</LinksUpToDate>
  <CharactersWithSpaces>12993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WORD FILE</dc:creator>
  <cp:keywords/>
  <dc:description/>
  <cp:lastModifiedBy>Anisah Bi</cp:lastModifiedBy>
  <cp:revision>2</cp:revision>
  <dcterms:created xsi:type="dcterms:W3CDTF">2026-03-23T13:06:00Z</dcterms:created>
  <dcterms:modified xsi:type="dcterms:W3CDTF">2026-03-23T13:06:00Z</dcterms:modified>
</cp:coreProperties>
</file>