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244C" w:rsidRPr="00DE244C" w:rsidRDefault="00DE244C" w:rsidP="00DE244C">
      <w:pPr>
        <w:spacing w:after="0" w:line="240" w:lineRule="auto"/>
        <w:rPr>
          <w:rFonts w:ascii="Times New Roman" w:eastAsia="Times New Roman" w:hAnsi="Times New Roman" w:cs="Times New Roman"/>
          <w:sz w:val="24"/>
          <w:szCs w:val="24"/>
          <w:lang w:eastAsia="en-GB"/>
        </w:rPr>
      </w:pPr>
      <w:r w:rsidRPr="00DE244C">
        <w:rPr>
          <w:rFonts w:ascii="Helvetica" w:eastAsia="Times New Roman" w:hAnsi="Helvetica" w:cs="Helvetica"/>
          <w:b/>
          <w:bCs/>
          <w:color w:val="FFFFFF"/>
          <w:sz w:val="24"/>
          <w:szCs w:val="24"/>
          <w:shd w:val="clear" w:color="auto" w:fill="00A5A6"/>
          <w:lang w:eastAsia="en-GB"/>
        </w:rPr>
        <w:t>18 Apr 2019</w:t>
      </w:r>
    </w:p>
    <w:p w:rsidR="00DE244C" w:rsidRPr="00DE244C" w:rsidRDefault="00DE244C" w:rsidP="00DE244C">
      <w:pPr>
        <w:shd w:val="clear" w:color="auto" w:fill="00A5A6"/>
        <w:spacing w:before="100" w:beforeAutospacing="1" w:after="100" w:afterAutospacing="1" w:line="240" w:lineRule="auto"/>
        <w:jc w:val="center"/>
        <w:outlineLvl w:val="0"/>
        <w:rPr>
          <w:rFonts w:ascii="Helvetica" w:eastAsia="Times New Roman" w:hAnsi="Helvetica" w:cs="Helvetica"/>
          <w:b/>
          <w:bCs/>
          <w:color w:val="FFFFFF"/>
          <w:kern w:val="36"/>
          <w:sz w:val="48"/>
          <w:szCs w:val="48"/>
          <w:lang w:eastAsia="en-GB"/>
        </w:rPr>
      </w:pPr>
      <w:r w:rsidRPr="00DE244C">
        <w:rPr>
          <w:rFonts w:ascii="Helvetica" w:eastAsia="Times New Roman" w:hAnsi="Helvetica" w:cs="Helvetica"/>
          <w:b/>
          <w:bCs/>
          <w:color w:val="FFFFFF"/>
          <w:kern w:val="36"/>
          <w:sz w:val="48"/>
          <w:szCs w:val="48"/>
          <w:lang w:eastAsia="en-GB"/>
        </w:rPr>
        <w:t>Reverse mentoring: the motives</w:t>
      </w:r>
    </w:p>
    <w:p w:rsidR="00DE244C" w:rsidRPr="00DE244C" w:rsidRDefault="00DE244C" w:rsidP="00DE244C">
      <w:pPr>
        <w:shd w:val="clear" w:color="auto" w:fill="00A5A6"/>
        <w:spacing w:before="100" w:beforeAutospacing="1" w:after="100" w:afterAutospacing="1" w:line="240" w:lineRule="auto"/>
        <w:jc w:val="center"/>
        <w:rPr>
          <w:rFonts w:ascii="Helvetica" w:eastAsia="Times New Roman" w:hAnsi="Helvetica" w:cs="Helvetica"/>
          <w:b/>
          <w:bCs/>
          <w:color w:val="FFFFFF"/>
          <w:sz w:val="24"/>
          <w:szCs w:val="24"/>
          <w:lang w:eastAsia="en-GB"/>
        </w:rPr>
      </w:pPr>
      <w:r w:rsidRPr="00DE244C">
        <w:rPr>
          <w:rFonts w:ascii="Helvetica" w:eastAsia="Times New Roman" w:hAnsi="Helvetica" w:cs="Helvetica"/>
          <w:b/>
          <w:bCs/>
          <w:color w:val="FFFFFF"/>
          <w:sz w:val="24"/>
          <w:szCs w:val="24"/>
          <w:lang w:eastAsia="en-GB"/>
        </w:rPr>
        <w:t>Explore the motives behind reverse-mentoring</w:t>
      </w:r>
    </w:p>
    <w:p w:rsidR="00DE244C" w:rsidRDefault="00DE244C" w:rsidP="00DE244C">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p>
    <w:p w:rsidR="00DE244C" w:rsidRDefault="00DE244C" w:rsidP="00DE244C">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hyperlink r:id="rId5" w:history="1">
        <w:r>
          <w:rPr>
            <w:rStyle w:val="Hyperlink"/>
          </w:rPr>
          <w:t>https://www.cipd.co.uk/news-views/nutshell/issue-86/reverse-mentoring</w:t>
        </w:r>
      </w:hyperlink>
    </w:p>
    <w:p w:rsidR="00DE244C" w:rsidRPr="00DE244C" w:rsidRDefault="00DE244C" w:rsidP="00DE244C">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E244C">
        <w:rPr>
          <w:rFonts w:ascii="Helvetica" w:eastAsia="Times New Roman" w:hAnsi="Helvetica" w:cs="Helvetica"/>
          <w:b/>
          <w:bCs/>
          <w:color w:val="58595B"/>
          <w:sz w:val="24"/>
          <w:szCs w:val="24"/>
          <w:lang w:eastAsia="en-GB"/>
        </w:rPr>
        <w:t>Skills development in reverse mentoring: motivational processes of mentors and learners, R </w:t>
      </w:r>
      <w:proofErr w:type="spellStart"/>
      <w:r w:rsidRPr="00DE244C">
        <w:rPr>
          <w:rFonts w:ascii="Helvetica" w:eastAsia="Times New Roman" w:hAnsi="Helvetica" w:cs="Helvetica"/>
          <w:b/>
          <w:bCs/>
          <w:color w:val="58595B"/>
          <w:sz w:val="24"/>
          <w:szCs w:val="24"/>
          <w:lang w:eastAsia="en-GB"/>
        </w:rPr>
        <w:t>Kase</w:t>
      </w:r>
      <w:proofErr w:type="spellEnd"/>
      <w:r w:rsidRPr="00DE244C">
        <w:rPr>
          <w:rFonts w:ascii="Helvetica" w:eastAsia="Times New Roman" w:hAnsi="Helvetica" w:cs="Helvetica"/>
          <w:b/>
          <w:bCs/>
          <w:color w:val="58595B"/>
          <w:sz w:val="24"/>
          <w:szCs w:val="24"/>
          <w:lang w:eastAsia="en-GB"/>
        </w:rPr>
        <w:t xml:space="preserve">, T </w:t>
      </w:r>
      <w:proofErr w:type="spellStart"/>
      <w:r w:rsidRPr="00DE244C">
        <w:rPr>
          <w:rFonts w:ascii="Helvetica" w:eastAsia="Times New Roman" w:hAnsi="Helvetica" w:cs="Helvetica"/>
          <w:b/>
          <w:bCs/>
          <w:color w:val="58595B"/>
          <w:sz w:val="24"/>
          <w:szCs w:val="24"/>
          <w:lang w:eastAsia="en-GB"/>
        </w:rPr>
        <w:t>Saksida</w:t>
      </w:r>
      <w:proofErr w:type="spellEnd"/>
      <w:r w:rsidRPr="00DE244C">
        <w:rPr>
          <w:rFonts w:ascii="Helvetica" w:eastAsia="Times New Roman" w:hAnsi="Helvetica" w:cs="Helvetica"/>
          <w:b/>
          <w:bCs/>
          <w:color w:val="58595B"/>
          <w:sz w:val="24"/>
          <w:szCs w:val="24"/>
          <w:lang w:eastAsia="en-GB"/>
        </w:rPr>
        <w:t xml:space="preserve"> and K </w:t>
      </w:r>
      <w:proofErr w:type="spellStart"/>
      <w:r w:rsidRPr="00DE244C">
        <w:rPr>
          <w:rFonts w:ascii="Helvetica" w:eastAsia="Times New Roman" w:hAnsi="Helvetica" w:cs="Helvetica"/>
          <w:b/>
          <w:bCs/>
          <w:color w:val="58595B"/>
          <w:sz w:val="24"/>
          <w:szCs w:val="24"/>
          <w:lang w:eastAsia="en-GB"/>
        </w:rPr>
        <w:t>Mihelic</w:t>
      </w:r>
      <w:proofErr w:type="spellEnd"/>
      <w:r w:rsidRPr="00DE244C">
        <w:rPr>
          <w:rFonts w:ascii="Helvetica" w:eastAsia="Times New Roman" w:hAnsi="Helvetica" w:cs="Helvetica"/>
          <w:b/>
          <w:bCs/>
          <w:color w:val="58595B"/>
          <w:sz w:val="24"/>
          <w:szCs w:val="24"/>
          <w:lang w:eastAsia="en-GB"/>
        </w:rPr>
        <w:t>. Human Resource Management, January/February 2019, Vol 58, No 1. </w:t>
      </w:r>
    </w:p>
    <w:p w:rsidR="00DE244C" w:rsidRPr="00DE244C" w:rsidRDefault="00DE244C" w:rsidP="00DE244C">
      <w:pPr>
        <w:shd w:val="clear" w:color="auto" w:fill="FFFFFF"/>
        <w:spacing w:before="100" w:beforeAutospacing="1" w:after="100" w:afterAutospacing="1" w:line="240" w:lineRule="auto"/>
        <w:outlineLvl w:val="1"/>
        <w:rPr>
          <w:rFonts w:ascii="Helvetica" w:eastAsia="Times New Roman" w:hAnsi="Helvetica" w:cs="Helvetica"/>
          <w:b/>
          <w:bCs/>
          <w:color w:val="58595B"/>
          <w:sz w:val="36"/>
          <w:szCs w:val="36"/>
          <w:lang w:eastAsia="en-GB"/>
        </w:rPr>
      </w:pPr>
      <w:r w:rsidRPr="00DE244C">
        <w:rPr>
          <w:rFonts w:ascii="Helvetica" w:eastAsia="Times New Roman" w:hAnsi="Helvetica" w:cs="Helvetica"/>
          <w:b/>
          <w:bCs/>
          <w:color w:val="58595B"/>
          <w:sz w:val="36"/>
          <w:szCs w:val="36"/>
          <w:lang w:eastAsia="en-GB"/>
        </w:rPr>
        <w:t>Article review</w:t>
      </w:r>
    </w:p>
    <w:p w:rsidR="00DE244C" w:rsidRPr="00DE244C" w:rsidRDefault="00DE244C" w:rsidP="00DE244C">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E244C">
        <w:rPr>
          <w:rFonts w:ascii="Helvetica" w:eastAsia="Times New Roman" w:hAnsi="Helvetica" w:cs="Helvetica"/>
          <w:b/>
          <w:bCs/>
          <w:color w:val="58595B"/>
          <w:sz w:val="24"/>
          <w:szCs w:val="24"/>
          <w:lang w:eastAsia="en-GB"/>
        </w:rPr>
        <w:t>Reverse mentoring has become an increasingly popular HR practice. Many organisations are now sharing the knowledge and insights of younger workers with their older counterparts. Yet, while the practice itself is becoming much more widespread, it remains an under-researched area with little, or no, robust evidence to inform HR practitioners.  </w:t>
      </w:r>
    </w:p>
    <w:p w:rsidR="00DE244C" w:rsidRPr="00DE244C" w:rsidRDefault="00DE244C" w:rsidP="00DE244C">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E244C">
        <w:rPr>
          <w:rFonts w:ascii="Helvetica" w:eastAsia="Times New Roman" w:hAnsi="Helvetica" w:cs="Helvetica"/>
          <w:b/>
          <w:bCs/>
          <w:color w:val="58595B"/>
          <w:sz w:val="24"/>
          <w:szCs w:val="24"/>
          <w:lang w:eastAsia="en-GB"/>
        </w:rPr>
        <w:t>This article summarises the results of a new study which explores the motivation and skills development of individuals involved in a reverse mentoring initiative. It aims to help bridge the gap between evidence and practice.   </w:t>
      </w:r>
    </w:p>
    <w:p w:rsidR="00DE244C" w:rsidRPr="00DE244C" w:rsidRDefault="00DE244C" w:rsidP="00DE244C">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E244C">
        <w:rPr>
          <w:rFonts w:ascii="Helvetica" w:eastAsia="Times New Roman" w:hAnsi="Helvetica" w:cs="Helvetica"/>
          <w:b/>
          <w:bCs/>
          <w:color w:val="58595B"/>
          <w:sz w:val="24"/>
          <w:szCs w:val="24"/>
          <w:lang w:eastAsia="en-GB"/>
        </w:rPr>
        <w:t>Background and context</w:t>
      </w:r>
    </w:p>
    <w:p w:rsidR="00DE244C" w:rsidRPr="00DE244C" w:rsidRDefault="00DE244C" w:rsidP="00DE244C">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E244C">
        <w:rPr>
          <w:rFonts w:ascii="Helvetica" w:eastAsia="Times New Roman" w:hAnsi="Helvetica" w:cs="Helvetica"/>
          <w:b/>
          <w:bCs/>
          <w:color w:val="58595B"/>
          <w:sz w:val="24"/>
          <w:szCs w:val="24"/>
          <w:lang w:eastAsia="en-GB"/>
        </w:rPr>
        <w:t>In today’s workplaces older workers, who are less proficient in digital skills, work alongside young adults who have grown up in the digital age. The disparity in digital skills ability creates opportunities for younger workers to share their knowledge and help older workers adjust to technological change. This research explores the motivation and skills development of younger mentors and older learners within the context of a digital skills reverse-mentoring initiative.  </w:t>
      </w:r>
    </w:p>
    <w:p w:rsidR="00DE244C" w:rsidRPr="00DE244C" w:rsidRDefault="00DE244C" w:rsidP="00DE244C">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E244C">
        <w:rPr>
          <w:rFonts w:ascii="Helvetica" w:eastAsia="Times New Roman" w:hAnsi="Helvetica" w:cs="Helvetica"/>
          <w:b/>
          <w:bCs/>
          <w:color w:val="58595B"/>
          <w:sz w:val="24"/>
          <w:szCs w:val="24"/>
          <w:lang w:eastAsia="en-GB"/>
        </w:rPr>
        <w:t xml:space="preserve">Individuals </w:t>
      </w:r>
      <w:proofErr w:type="gramStart"/>
      <w:r w:rsidRPr="00DE244C">
        <w:rPr>
          <w:rFonts w:ascii="Helvetica" w:eastAsia="Times New Roman" w:hAnsi="Helvetica" w:cs="Helvetica"/>
          <w:b/>
          <w:bCs/>
          <w:color w:val="58595B"/>
          <w:sz w:val="24"/>
          <w:szCs w:val="24"/>
          <w:lang w:eastAsia="en-GB"/>
        </w:rPr>
        <w:t>are considered to be</w:t>
      </w:r>
      <w:proofErr w:type="gramEnd"/>
      <w:r w:rsidRPr="00DE244C">
        <w:rPr>
          <w:rFonts w:ascii="Helvetica" w:eastAsia="Times New Roman" w:hAnsi="Helvetica" w:cs="Helvetica"/>
          <w:b/>
          <w:bCs/>
          <w:color w:val="58595B"/>
          <w:sz w:val="24"/>
          <w:szCs w:val="24"/>
          <w:lang w:eastAsia="en-GB"/>
        </w:rPr>
        <w:t xml:space="preserve"> intrinsically motivated by something if they engage in work that is interesting, meaningful, challenging or fun. On the other hand, people are extrinsically motivated by something when they take part to achieve a goal that is separate from the activity itself, such as career enhancement. However, intrinsic and extrinsic motivation are not mutually exclusive and can be self-reinforcing. For example, in the context of skills development, research suggests that while intrinsic motivation is associated with higher engagement levels and quality learning outcomes, extrinsic motivation can also facilitate skills development, but only if the goal is important to the individual.     </w:t>
      </w:r>
    </w:p>
    <w:p w:rsidR="00DE244C" w:rsidRPr="00DE244C" w:rsidRDefault="00DE244C" w:rsidP="00DE244C">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E244C">
        <w:rPr>
          <w:rFonts w:ascii="Helvetica" w:eastAsia="Times New Roman" w:hAnsi="Helvetica" w:cs="Helvetica"/>
          <w:b/>
          <w:bCs/>
          <w:color w:val="58595B"/>
          <w:sz w:val="24"/>
          <w:szCs w:val="24"/>
          <w:lang w:eastAsia="en-GB"/>
        </w:rPr>
        <w:lastRenderedPageBreak/>
        <w:t>The reverse mentoring initiative  </w:t>
      </w:r>
    </w:p>
    <w:p w:rsidR="00DE244C" w:rsidRPr="00DE244C" w:rsidRDefault="00DE244C" w:rsidP="00DE244C">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E244C">
        <w:rPr>
          <w:rFonts w:ascii="Helvetica" w:eastAsia="Times New Roman" w:hAnsi="Helvetica" w:cs="Helvetica"/>
          <w:b/>
          <w:bCs/>
          <w:color w:val="58595B"/>
          <w:sz w:val="24"/>
          <w:szCs w:val="24"/>
          <w:lang w:eastAsia="en-GB"/>
        </w:rPr>
        <w:t>The study is based on a nationwide reverse-mentoring initiative which took place in a European country. The voluntary initiative sought to bring together younger mentors with older learners to support them by developing their digital skills. The support provided included mentors sharing their knowledge with learners through: guided practice, one-to-one sessions, feedback, hands-on assistance and general encouragement and support. Mentors were provided with online training and detailed instructions prior to the start of the programme. </w:t>
      </w:r>
    </w:p>
    <w:p w:rsidR="00DE244C" w:rsidRPr="00DE244C" w:rsidRDefault="00DE244C" w:rsidP="00DE244C">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E244C">
        <w:rPr>
          <w:rFonts w:ascii="Helvetica" w:eastAsia="Times New Roman" w:hAnsi="Helvetica" w:cs="Helvetica"/>
          <w:b/>
          <w:bCs/>
          <w:color w:val="58595B"/>
          <w:sz w:val="24"/>
          <w:szCs w:val="24"/>
          <w:lang w:eastAsia="en-GB"/>
        </w:rPr>
        <w:t>The results of the study are based on a questionnaire which achieved a sample of 457 mentors (28% response rate) and 293 learners (57% response rate). </w:t>
      </w:r>
    </w:p>
    <w:p w:rsidR="00DE244C" w:rsidRPr="00DE244C" w:rsidRDefault="00DE244C" w:rsidP="00DE244C">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E244C">
        <w:rPr>
          <w:rFonts w:ascii="Helvetica" w:eastAsia="Times New Roman" w:hAnsi="Helvetica" w:cs="Helvetica"/>
          <w:b/>
          <w:bCs/>
          <w:color w:val="58595B"/>
          <w:sz w:val="24"/>
          <w:szCs w:val="24"/>
          <w:lang w:eastAsia="en-GB"/>
        </w:rPr>
        <w:t>The results </w:t>
      </w:r>
    </w:p>
    <w:p w:rsidR="00DE244C" w:rsidRPr="00DE244C" w:rsidRDefault="00DE244C" w:rsidP="00DE244C">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E244C">
        <w:rPr>
          <w:rFonts w:ascii="Helvetica" w:eastAsia="Times New Roman" w:hAnsi="Helvetica" w:cs="Helvetica"/>
          <w:b/>
          <w:bCs/>
          <w:color w:val="58595B"/>
          <w:sz w:val="24"/>
          <w:szCs w:val="24"/>
          <w:lang w:eastAsia="en-GB"/>
        </w:rPr>
        <w:t>The research found that: ‘…both intrinsic and extrinsic motivation increased mentors’ and learners’ perceptions of skills development, though extrinsic motivation (relative to intrinsic) was a stronger driver of skills development for the younger group’. </w:t>
      </w:r>
    </w:p>
    <w:p w:rsidR="00DE244C" w:rsidRPr="00DE244C" w:rsidRDefault="00DE244C" w:rsidP="00DE244C">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E244C">
        <w:rPr>
          <w:rFonts w:ascii="Helvetica" w:eastAsia="Times New Roman" w:hAnsi="Helvetica" w:cs="Helvetica"/>
          <w:b/>
          <w:bCs/>
          <w:color w:val="58595B"/>
          <w:sz w:val="24"/>
          <w:szCs w:val="24"/>
          <w:lang w:eastAsia="en-GB"/>
        </w:rPr>
        <w:t xml:space="preserve">The research demonstrates that younger workers seek to improve their skills as a way of enhancing their career prospects, which reflects the results of previous studies which have shown that extrinsic values such as money and status are more prominent in younger generations. The study found that intrinsic motivation played a lesser role in perceived </w:t>
      </w:r>
      <w:proofErr w:type="gramStart"/>
      <w:r w:rsidRPr="00DE244C">
        <w:rPr>
          <w:rFonts w:ascii="Helvetica" w:eastAsia="Times New Roman" w:hAnsi="Helvetica" w:cs="Helvetica"/>
          <w:b/>
          <w:bCs/>
          <w:color w:val="58595B"/>
          <w:sz w:val="24"/>
          <w:szCs w:val="24"/>
          <w:lang w:eastAsia="en-GB"/>
        </w:rPr>
        <w:t>skills development, but</w:t>
      </w:r>
      <w:proofErr w:type="gramEnd"/>
      <w:r w:rsidRPr="00DE244C">
        <w:rPr>
          <w:rFonts w:ascii="Helvetica" w:eastAsia="Times New Roman" w:hAnsi="Helvetica" w:cs="Helvetica"/>
          <w:b/>
          <w:bCs/>
          <w:color w:val="58595B"/>
          <w:sz w:val="24"/>
          <w:szCs w:val="24"/>
          <w:lang w:eastAsia="en-GB"/>
        </w:rPr>
        <w:t xml:space="preserve"> was more pronounced for individuals who lacked confidence in their ability. Furthermore, positive feelings - such as enjoyment and pride gained from engaging in the activity - also supported skills development in individuals who had lower levels of self-confidence. </w:t>
      </w:r>
    </w:p>
    <w:p w:rsidR="00DE244C" w:rsidRPr="00DE244C" w:rsidRDefault="00DE244C" w:rsidP="00DE244C">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E244C">
        <w:rPr>
          <w:rFonts w:ascii="Helvetica" w:eastAsia="Times New Roman" w:hAnsi="Helvetica" w:cs="Helvetica"/>
          <w:b/>
          <w:bCs/>
          <w:color w:val="58595B"/>
          <w:sz w:val="24"/>
          <w:szCs w:val="24"/>
          <w:lang w:eastAsia="en-GB"/>
        </w:rPr>
        <w:t>The results for older learners were much more straightforward, with intrinsic motivation having a much more direct impact on perceived skills development. Older learners were primarily motivated to engage in the activities because of their rewarding nature, rather than for the attainment of some outside goal – such as earning more or becoming more employable.            </w:t>
      </w:r>
    </w:p>
    <w:p w:rsidR="00DE244C" w:rsidRPr="00DE244C" w:rsidRDefault="00DE244C" w:rsidP="00DE244C">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E244C">
        <w:rPr>
          <w:rFonts w:ascii="Helvetica" w:eastAsia="Times New Roman" w:hAnsi="Helvetica" w:cs="Helvetica"/>
          <w:b/>
          <w:bCs/>
          <w:color w:val="58595B"/>
          <w:sz w:val="24"/>
          <w:szCs w:val="24"/>
          <w:lang w:eastAsia="en-GB"/>
        </w:rPr>
        <w:t>Recommendations for practice: reverse mentoring</w:t>
      </w:r>
    </w:p>
    <w:p w:rsidR="00DE244C" w:rsidRPr="00DE244C" w:rsidRDefault="00DE244C" w:rsidP="00DE244C">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E244C">
        <w:rPr>
          <w:rFonts w:ascii="Helvetica" w:eastAsia="Times New Roman" w:hAnsi="Helvetica" w:cs="Helvetica"/>
          <w:b/>
          <w:bCs/>
          <w:color w:val="58595B"/>
          <w:sz w:val="24"/>
          <w:szCs w:val="24"/>
          <w:lang w:eastAsia="en-GB"/>
        </w:rPr>
        <w:t>The authors suggest several practical implications from their study:</w:t>
      </w:r>
    </w:p>
    <w:p w:rsidR="00DE244C" w:rsidRPr="00DE244C" w:rsidRDefault="00DE244C" w:rsidP="00DE244C">
      <w:pPr>
        <w:numPr>
          <w:ilvl w:val="0"/>
          <w:numId w:val="1"/>
        </w:numPr>
        <w:shd w:val="clear" w:color="auto" w:fill="FFFFFF"/>
        <w:spacing w:before="100" w:beforeAutospacing="1" w:after="100" w:afterAutospacing="1" w:line="240" w:lineRule="auto"/>
        <w:ind w:left="2325"/>
        <w:rPr>
          <w:rFonts w:ascii="Helvetica" w:eastAsia="Times New Roman" w:hAnsi="Helvetica" w:cs="Helvetica"/>
          <w:b/>
          <w:bCs/>
          <w:color w:val="58595B"/>
          <w:sz w:val="24"/>
          <w:szCs w:val="24"/>
          <w:lang w:eastAsia="en-GB"/>
        </w:rPr>
      </w:pPr>
      <w:r w:rsidRPr="00DE244C">
        <w:rPr>
          <w:rFonts w:ascii="Helvetica" w:eastAsia="Times New Roman" w:hAnsi="Helvetica" w:cs="Helvetica"/>
          <w:b/>
          <w:bCs/>
          <w:color w:val="58595B"/>
          <w:sz w:val="24"/>
          <w:szCs w:val="24"/>
          <w:lang w:eastAsia="en-GB"/>
        </w:rPr>
        <w:t xml:space="preserve">Younger workers skills development: When developing younger people’s skills, they are likely to benefit ‘from a pleasant atmosphere that facilitates the experience of positive </w:t>
      </w:r>
      <w:proofErr w:type="gramStart"/>
      <w:r w:rsidRPr="00DE244C">
        <w:rPr>
          <w:rFonts w:ascii="Helvetica" w:eastAsia="Times New Roman" w:hAnsi="Helvetica" w:cs="Helvetica"/>
          <w:b/>
          <w:bCs/>
          <w:color w:val="58595B"/>
          <w:sz w:val="24"/>
          <w:szCs w:val="24"/>
          <w:lang w:eastAsia="en-GB"/>
        </w:rPr>
        <w:t>emotions’</w:t>
      </w:r>
      <w:proofErr w:type="gramEnd"/>
      <w:r w:rsidRPr="00DE244C">
        <w:rPr>
          <w:rFonts w:ascii="Helvetica" w:eastAsia="Times New Roman" w:hAnsi="Helvetica" w:cs="Helvetica"/>
          <w:b/>
          <w:bCs/>
          <w:color w:val="58595B"/>
          <w:sz w:val="24"/>
          <w:szCs w:val="24"/>
          <w:lang w:eastAsia="en-GB"/>
        </w:rPr>
        <w:t xml:space="preserve">. However, individuals with higher levels of self-efficacy are more likely to respond positively to extrinsic incentives. To create the right environment for younger workers to flourish, managers should focus on the creation of positive moods as well as on career </w:t>
      </w:r>
      <w:r w:rsidRPr="00DE244C">
        <w:rPr>
          <w:rFonts w:ascii="Helvetica" w:eastAsia="Times New Roman" w:hAnsi="Helvetica" w:cs="Helvetica"/>
          <w:b/>
          <w:bCs/>
          <w:color w:val="58595B"/>
          <w:sz w:val="24"/>
          <w:szCs w:val="24"/>
          <w:lang w:eastAsia="en-GB"/>
        </w:rPr>
        <w:lastRenderedPageBreak/>
        <w:t>enhancement outcomes, such as recognition, rewards or promotion.   </w:t>
      </w:r>
    </w:p>
    <w:p w:rsidR="00DE244C" w:rsidRPr="00DE244C" w:rsidRDefault="00DE244C" w:rsidP="00DE244C">
      <w:pPr>
        <w:numPr>
          <w:ilvl w:val="0"/>
          <w:numId w:val="2"/>
        </w:numPr>
        <w:shd w:val="clear" w:color="auto" w:fill="FFFFFF"/>
        <w:spacing w:before="100" w:beforeAutospacing="1" w:after="100" w:afterAutospacing="1" w:line="240" w:lineRule="auto"/>
        <w:ind w:left="2325"/>
        <w:rPr>
          <w:rFonts w:ascii="Helvetica" w:eastAsia="Times New Roman" w:hAnsi="Helvetica" w:cs="Helvetica"/>
          <w:b/>
          <w:bCs/>
          <w:color w:val="58595B"/>
          <w:sz w:val="24"/>
          <w:szCs w:val="24"/>
          <w:lang w:eastAsia="en-GB"/>
        </w:rPr>
      </w:pPr>
      <w:r w:rsidRPr="00DE244C">
        <w:rPr>
          <w:rFonts w:ascii="Helvetica" w:eastAsia="Times New Roman" w:hAnsi="Helvetica" w:cs="Helvetica"/>
          <w:b/>
          <w:bCs/>
          <w:color w:val="58595B"/>
          <w:sz w:val="24"/>
          <w:szCs w:val="24"/>
          <w:lang w:eastAsia="en-GB"/>
        </w:rPr>
        <w:t xml:space="preserve">Older workers skills development: On the other hand, older workers ‘rely on intrinsic motivation when learning new </w:t>
      </w:r>
      <w:proofErr w:type="gramStart"/>
      <w:r w:rsidRPr="00DE244C">
        <w:rPr>
          <w:rFonts w:ascii="Helvetica" w:eastAsia="Times New Roman" w:hAnsi="Helvetica" w:cs="Helvetica"/>
          <w:b/>
          <w:bCs/>
          <w:color w:val="58595B"/>
          <w:sz w:val="24"/>
          <w:szCs w:val="24"/>
          <w:lang w:eastAsia="en-GB"/>
        </w:rPr>
        <w:t>skills’</w:t>
      </w:r>
      <w:proofErr w:type="gramEnd"/>
      <w:r w:rsidRPr="00DE244C">
        <w:rPr>
          <w:rFonts w:ascii="Helvetica" w:eastAsia="Times New Roman" w:hAnsi="Helvetica" w:cs="Helvetica"/>
          <w:b/>
          <w:bCs/>
          <w:color w:val="58595B"/>
          <w:sz w:val="24"/>
          <w:szCs w:val="24"/>
          <w:lang w:eastAsia="en-GB"/>
        </w:rPr>
        <w:t>. The authors state that this presents challenges for HR practitioners as traditional methods of rewards are likely to be ineffective. Instead they recommend that practitioners focus on creating an environment that is intrinsically motivating, ensuring that workers are engaged in tasks that are worthwhile and interesting, and that any training interventions are aligned to an employees’ interests. </w:t>
      </w:r>
    </w:p>
    <w:p w:rsidR="00DE244C" w:rsidRPr="00DE244C" w:rsidRDefault="00DE244C" w:rsidP="00DE244C">
      <w:pPr>
        <w:numPr>
          <w:ilvl w:val="0"/>
          <w:numId w:val="3"/>
        </w:numPr>
        <w:shd w:val="clear" w:color="auto" w:fill="FFFFFF"/>
        <w:spacing w:before="100" w:beforeAutospacing="1" w:after="100" w:afterAutospacing="1" w:line="240" w:lineRule="auto"/>
        <w:ind w:left="2325"/>
        <w:rPr>
          <w:rFonts w:ascii="Helvetica" w:eastAsia="Times New Roman" w:hAnsi="Helvetica" w:cs="Helvetica"/>
          <w:b/>
          <w:bCs/>
          <w:color w:val="58595B"/>
          <w:sz w:val="24"/>
          <w:szCs w:val="24"/>
          <w:lang w:eastAsia="en-GB"/>
        </w:rPr>
      </w:pPr>
      <w:r w:rsidRPr="00DE244C">
        <w:rPr>
          <w:rFonts w:ascii="Helvetica" w:eastAsia="Times New Roman" w:hAnsi="Helvetica" w:cs="Helvetica"/>
          <w:b/>
          <w:bCs/>
          <w:color w:val="58595B"/>
          <w:sz w:val="24"/>
          <w:szCs w:val="24"/>
          <w:lang w:eastAsia="en-GB"/>
        </w:rPr>
        <w:t>Reverse-mentoring initiatives: The authors recommend reverse-mentoring to build older workers digital skills. These initiatives should be formal in nature, highly structured, and engaging to support older workers’ skills development. Training should also be provided for mentors, and a system of rewards should be put in place to encourage younger workers. The authors also recommend that any initiative should be voluntary in nature. </w:t>
      </w:r>
    </w:p>
    <w:p w:rsidR="00FC1558" w:rsidRDefault="00FC1558">
      <w:bookmarkStart w:id="0" w:name="_GoBack"/>
      <w:bookmarkEnd w:id="0"/>
    </w:p>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E932A7"/>
    <w:multiLevelType w:val="multilevel"/>
    <w:tmpl w:val="E1AE7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322583"/>
    <w:multiLevelType w:val="multilevel"/>
    <w:tmpl w:val="851E3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135727"/>
    <w:multiLevelType w:val="multilevel"/>
    <w:tmpl w:val="8FCE3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44C"/>
    <w:rsid w:val="002B0FF5"/>
    <w:rsid w:val="00DE244C"/>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F44E2"/>
  <w15:chartTrackingRefBased/>
  <w15:docId w15:val="{37CB2771-B6CD-49FF-A3A6-185B7594B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E24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244C"/>
    <w:rPr>
      <w:rFonts w:ascii="Segoe UI" w:hAnsi="Segoe UI" w:cs="Segoe UI"/>
      <w:sz w:val="18"/>
      <w:szCs w:val="18"/>
    </w:rPr>
  </w:style>
  <w:style w:type="character" w:styleId="Hyperlink">
    <w:name w:val="Hyperlink"/>
    <w:basedOn w:val="DefaultParagraphFont"/>
    <w:uiPriority w:val="99"/>
    <w:semiHidden/>
    <w:unhideWhenUsed/>
    <w:rsid w:val="00DE244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2152194">
      <w:bodyDiv w:val="1"/>
      <w:marLeft w:val="0"/>
      <w:marRight w:val="0"/>
      <w:marTop w:val="0"/>
      <w:marBottom w:val="0"/>
      <w:divBdr>
        <w:top w:val="none" w:sz="0" w:space="0" w:color="auto"/>
        <w:left w:val="none" w:sz="0" w:space="0" w:color="auto"/>
        <w:bottom w:val="none" w:sz="0" w:space="0" w:color="auto"/>
        <w:right w:val="none" w:sz="0" w:space="0" w:color="auto"/>
      </w:divBdr>
      <w:divsChild>
        <w:div w:id="1030839112">
          <w:marLeft w:val="0"/>
          <w:marRight w:val="0"/>
          <w:marTop w:val="0"/>
          <w:marBottom w:val="0"/>
          <w:divBdr>
            <w:top w:val="none" w:sz="0" w:space="0" w:color="auto"/>
            <w:left w:val="none" w:sz="0" w:space="0" w:color="auto"/>
            <w:bottom w:val="none" w:sz="0" w:space="0" w:color="auto"/>
            <w:right w:val="none" w:sz="0" w:space="0" w:color="auto"/>
          </w:divBdr>
          <w:divsChild>
            <w:div w:id="1881044695">
              <w:marLeft w:val="0"/>
              <w:marRight w:val="0"/>
              <w:marTop w:val="0"/>
              <w:marBottom w:val="0"/>
              <w:divBdr>
                <w:top w:val="none" w:sz="0" w:space="0" w:color="auto"/>
                <w:left w:val="none" w:sz="0" w:space="0" w:color="auto"/>
                <w:bottom w:val="none" w:sz="0" w:space="0" w:color="auto"/>
                <w:right w:val="none" w:sz="0" w:space="0" w:color="auto"/>
              </w:divBdr>
              <w:divsChild>
                <w:div w:id="1997880857">
                  <w:marLeft w:val="0"/>
                  <w:marRight w:val="0"/>
                  <w:marTop w:val="0"/>
                  <w:marBottom w:val="0"/>
                  <w:divBdr>
                    <w:top w:val="none" w:sz="0" w:space="0" w:color="auto"/>
                    <w:left w:val="none" w:sz="0" w:space="0" w:color="auto"/>
                    <w:bottom w:val="none" w:sz="0" w:space="0" w:color="auto"/>
                    <w:right w:val="none" w:sz="0" w:space="0" w:color="auto"/>
                  </w:divBdr>
                  <w:divsChild>
                    <w:div w:id="1400595619">
                      <w:marLeft w:val="1605"/>
                      <w:marRight w:val="1605"/>
                      <w:marTop w:val="0"/>
                      <w:marBottom w:val="0"/>
                      <w:divBdr>
                        <w:top w:val="none" w:sz="0" w:space="0" w:color="auto"/>
                        <w:left w:val="none" w:sz="0" w:space="0" w:color="auto"/>
                        <w:bottom w:val="none" w:sz="0" w:space="0" w:color="auto"/>
                        <w:right w:val="none" w:sz="0" w:space="0" w:color="auto"/>
                      </w:divBdr>
                      <w:divsChild>
                        <w:div w:id="1259874142">
                          <w:marLeft w:val="0"/>
                          <w:marRight w:val="0"/>
                          <w:marTop w:val="0"/>
                          <w:marBottom w:val="0"/>
                          <w:divBdr>
                            <w:top w:val="none" w:sz="0" w:space="0" w:color="auto"/>
                            <w:left w:val="none" w:sz="0" w:space="0" w:color="auto"/>
                            <w:bottom w:val="none" w:sz="0" w:space="0" w:color="auto"/>
                            <w:right w:val="none" w:sz="0" w:space="0" w:color="auto"/>
                          </w:divBdr>
                          <w:divsChild>
                            <w:div w:id="1764185764">
                              <w:marLeft w:val="0"/>
                              <w:marRight w:val="0"/>
                              <w:marTop w:val="0"/>
                              <w:marBottom w:val="0"/>
                              <w:divBdr>
                                <w:top w:val="none" w:sz="0" w:space="0" w:color="auto"/>
                                <w:left w:val="none" w:sz="0" w:space="0" w:color="auto"/>
                                <w:bottom w:val="none" w:sz="0" w:space="0" w:color="auto"/>
                                <w:right w:val="none" w:sz="0" w:space="0" w:color="auto"/>
                              </w:divBdr>
                            </w:div>
                            <w:div w:id="1663848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3002813">
          <w:marLeft w:val="0"/>
          <w:marRight w:val="0"/>
          <w:marTop w:val="0"/>
          <w:marBottom w:val="0"/>
          <w:divBdr>
            <w:top w:val="none" w:sz="0" w:space="0" w:color="auto"/>
            <w:left w:val="none" w:sz="0" w:space="0" w:color="auto"/>
            <w:bottom w:val="none" w:sz="0" w:space="0" w:color="auto"/>
            <w:right w:val="none" w:sz="0" w:space="0" w:color="auto"/>
          </w:divBdr>
          <w:divsChild>
            <w:div w:id="996500154">
              <w:marLeft w:val="0"/>
              <w:marRight w:val="0"/>
              <w:marTop w:val="0"/>
              <w:marBottom w:val="0"/>
              <w:divBdr>
                <w:top w:val="none" w:sz="0" w:space="0" w:color="auto"/>
                <w:left w:val="none" w:sz="0" w:space="0" w:color="auto"/>
                <w:bottom w:val="none" w:sz="0" w:space="0" w:color="auto"/>
                <w:right w:val="none" w:sz="0" w:space="0" w:color="auto"/>
              </w:divBdr>
              <w:divsChild>
                <w:div w:id="549804253">
                  <w:marLeft w:val="0"/>
                  <w:marRight w:val="0"/>
                  <w:marTop w:val="0"/>
                  <w:marBottom w:val="0"/>
                  <w:divBdr>
                    <w:top w:val="none" w:sz="0" w:space="0" w:color="auto"/>
                    <w:left w:val="none" w:sz="0" w:space="0" w:color="auto"/>
                    <w:bottom w:val="none" w:sz="0" w:space="0" w:color="auto"/>
                    <w:right w:val="none" w:sz="0" w:space="0" w:color="auto"/>
                  </w:divBdr>
                  <w:divsChild>
                    <w:div w:id="934217192">
                      <w:marLeft w:val="0"/>
                      <w:marRight w:val="180"/>
                      <w:marTop w:val="0"/>
                      <w:marBottom w:val="0"/>
                      <w:divBdr>
                        <w:top w:val="none" w:sz="0" w:space="0" w:color="auto"/>
                        <w:left w:val="none" w:sz="0" w:space="0" w:color="auto"/>
                        <w:bottom w:val="none" w:sz="0" w:space="0" w:color="auto"/>
                        <w:right w:val="none" w:sz="0" w:space="0" w:color="auto"/>
                      </w:divBdr>
                      <w:divsChild>
                        <w:div w:id="2096591011">
                          <w:marLeft w:val="0"/>
                          <w:marRight w:val="0"/>
                          <w:marTop w:val="0"/>
                          <w:marBottom w:val="0"/>
                          <w:divBdr>
                            <w:top w:val="none" w:sz="0" w:space="0" w:color="auto"/>
                            <w:left w:val="none" w:sz="0" w:space="0" w:color="auto"/>
                            <w:bottom w:val="none" w:sz="0" w:space="0" w:color="auto"/>
                            <w:right w:val="none" w:sz="0" w:space="0" w:color="auto"/>
                          </w:divBdr>
                          <w:divsChild>
                            <w:div w:id="524638641">
                              <w:marLeft w:val="713"/>
                              <w:marRight w:val="0"/>
                              <w:marTop w:val="0"/>
                              <w:marBottom w:val="0"/>
                              <w:divBdr>
                                <w:top w:val="none" w:sz="0" w:space="0" w:color="auto"/>
                                <w:left w:val="none" w:sz="0" w:space="0" w:color="auto"/>
                                <w:bottom w:val="none" w:sz="0" w:space="0" w:color="auto"/>
                                <w:right w:val="none" w:sz="0" w:space="0" w:color="auto"/>
                              </w:divBdr>
                              <w:divsChild>
                                <w:div w:id="15619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5640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ipd.co.uk/news-views/nutshell/issue-86/reverse-mentor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872</Words>
  <Characters>4974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2019-10-10T15:36:00Z</dcterms:created>
  <dcterms:modified xsi:type="dcterms:W3CDTF">2019-10-10T15:39:00Z</dcterms:modified>
</cp:coreProperties>
</file>