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4BBFA014" w:rsidR="008D5999" w:rsidRDefault="008D5999" w:rsidP="00064063">
            <w:pPr>
              <w:jc w:val="both"/>
              <w:rPr>
                <w:sz w:val="24"/>
                <w:szCs w:val="24"/>
              </w:rPr>
            </w:pPr>
          </w:p>
          <w:p w14:paraId="116D04B9" w14:textId="44796456" w:rsidR="00802841" w:rsidRDefault="00802841" w:rsidP="00064063">
            <w:pPr>
              <w:jc w:val="both"/>
              <w:rPr>
                <w:sz w:val="24"/>
                <w:szCs w:val="24"/>
              </w:rPr>
            </w:pPr>
          </w:p>
          <w:p w14:paraId="0628D33B" w14:textId="34D3F2F9" w:rsidR="00802841" w:rsidRDefault="00802841" w:rsidP="00802841">
            <w:pPr>
              <w:rPr>
                <w:rFonts w:asciiTheme="minorHAnsi" w:hAnsiTheme="minorHAnsi" w:cstheme="minorHAnsi"/>
                <w:color w:val="auto"/>
                <w:sz w:val="24"/>
                <w:szCs w:val="24"/>
              </w:rPr>
            </w:pPr>
            <w:r w:rsidRPr="003F6B1D">
              <w:rPr>
                <w:rFonts w:asciiTheme="minorHAnsi" w:hAnsiTheme="minorHAnsi" w:cstheme="minorHAnsi"/>
                <w:color w:val="auto"/>
                <w:sz w:val="24"/>
                <w:szCs w:val="24"/>
                <w:u w:val="single"/>
              </w:rPr>
              <w:t>Introduction </w:t>
            </w:r>
          </w:p>
          <w:p w14:paraId="421CF773" w14:textId="77777777" w:rsidR="003F6B1D" w:rsidRPr="003F6B1D" w:rsidRDefault="003F6B1D" w:rsidP="00802841">
            <w:pPr>
              <w:rPr>
                <w:rFonts w:asciiTheme="minorHAnsi" w:hAnsiTheme="minorHAnsi" w:cstheme="minorHAnsi"/>
                <w:color w:val="auto"/>
                <w:sz w:val="24"/>
                <w:szCs w:val="24"/>
              </w:rPr>
            </w:pPr>
          </w:p>
          <w:p w14:paraId="673C44F0"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In this case study, I will discuss and critically reflect on a case that was allocated to me in my role in a long-term children’s services community team. I will discuss the assessment process when there are safeguarding concerns for the welfare of a child. The purpose of this case study will be to analyse the process that children’s social workers use when completing assessments. I will also reflect on safeguarding legislation, multi-agency working, making professional judgement in complex situations. The case study will have the Welsh context at the forefront and will aim to give an understanding of safeguarding practice in a children’s services team in Wales.  </w:t>
            </w:r>
          </w:p>
          <w:p w14:paraId="0E2DA879"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Safeguarding is a key component of social work it aims to ensure that children are protected from neglect, abuse and do not come to any harm. It is an approach that encompasses many factors such as multi-disciplinary interventions, prevention, early intervention, and long-term support. It is an essential part of ensuring the well-being of people particularly children and adults that are vulnerable.  </w:t>
            </w:r>
          </w:p>
          <w:p w14:paraId="08A4D20C"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The case study will examine all the relevant dimensions of safeguarding in Wales, it will demonstrate the interface between social work in Wales, the rest of the United Kingdom, the European Union and outside that as well. I will examine the critical role of safeguarding legislation in the protection of children and how important the ability of good professional judgement is in supporting people to achieve positive outcomes.  </w:t>
            </w:r>
          </w:p>
          <w:p w14:paraId="361AD0A8"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3DC37CA5"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xml:space="preserve">The case study will focus on a case that I have been working on, as I work in children’s services the focus will be on a child although in children’s social work often a lot of interactions are with parents’ </w:t>
            </w:r>
            <w:r w:rsidRPr="00802841">
              <w:rPr>
                <w:rFonts w:asciiTheme="minorHAnsi" w:hAnsiTheme="minorHAnsi" w:cstheme="minorHAnsi"/>
                <w:color w:val="auto"/>
                <w:sz w:val="24"/>
                <w:szCs w:val="24"/>
              </w:rPr>
              <w:lastRenderedPageBreak/>
              <w:t>particularly when the child is young. The child in this case study is under two years of age. The case was allocated to me after the police had attended the home of the family. The police had been called as neighbours had heard shouting coming from the property. When the police arrived, they noted that the condition of the flat was extremely poor, with numerous piles of rubbish on the floor and many piles of dirty nappies on the floor. Officers attempted to gain access via the back door but were unable to do so due to the piles of rubbish which obstructed their access. Person 1 eventually allowed officers into the home, and it was evident that home conditions were entirely inappropriate and dangerous for a child to live in. The Police then arrested person 1 for the neglect of a child and animal cruelty as there was also a dead puppy in the flat.  </w:t>
            </w:r>
          </w:p>
          <w:p w14:paraId="44B7243E" w14:textId="77777777" w:rsidR="003F6B1D" w:rsidRDefault="003F6B1D" w:rsidP="00802841">
            <w:pPr>
              <w:rPr>
                <w:rFonts w:asciiTheme="minorHAnsi" w:hAnsiTheme="minorHAnsi" w:cstheme="minorHAnsi"/>
                <w:color w:val="auto"/>
                <w:sz w:val="24"/>
                <w:szCs w:val="24"/>
              </w:rPr>
            </w:pPr>
          </w:p>
          <w:p w14:paraId="0F91A7F3" w14:textId="2377FAA2" w:rsidR="00802841" w:rsidRDefault="00802841" w:rsidP="00802841">
            <w:pPr>
              <w:rPr>
                <w:rFonts w:asciiTheme="minorHAnsi" w:hAnsiTheme="minorHAnsi" w:cstheme="minorHAnsi"/>
                <w:color w:val="auto"/>
                <w:sz w:val="24"/>
                <w:szCs w:val="24"/>
              </w:rPr>
            </w:pPr>
            <w:r w:rsidRPr="003F6B1D">
              <w:rPr>
                <w:rFonts w:asciiTheme="minorHAnsi" w:hAnsiTheme="minorHAnsi" w:cstheme="minorHAnsi"/>
                <w:color w:val="auto"/>
                <w:sz w:val="24"/>
                <w:szCs w:val="24"/>
                <w:u w:val="single"/>
              </w:rPr>
              <w:t>Case description </w:t>
            </w:r>
          </w:p>
          <w:p w14:paraId="4CD6DD1C" w14:textId="77777777" w:rsidR="003F6B1D" w:rsidRPr="003F6B1D" w:rsidRDefault="003F6B1D" w:rsidP="00802841">
            <w:pPr>
              <w:rPr>
                <w:rFonts w:asciiTheme="minorHAnsi" w:hAnsiTheme="minorHAnsi" w:cstheme="minorHAnsi"/>
                <w:color w:val="auto"/>
                <w:sz w:val="24"/>
                <w:szCs w:val="24"/>
              </w:rPr>
            </w:pPr>
          </w:p>
          <w:p w14:paraId="61E4DF3B"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When the police arrived at the property and gained entry it was noted that in the living room there were piles of rubbish floor was not at all visible due to the amount of rubbish and dirty nappies that had been discarded. The child’s toys were littered among the rubbish. When the officers entered the main bedroom, there was a mattress on the floor, uncovered and stained with no bedding. The rubbish, which is piled high with clothing and more used nappy bags, mountains of food cartons, pizza boxes and packaging; some of which still contained food. Towards the bottom of the bed was a child’s cot with a heavily stained mattress and no bedding or toys. </w:t>
            </w:r>
          </w:p>
          <w:p w14:paraId="2454BEFD"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622FC09B"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Officers then entered another room and discovered a deceased dog in a crate, which appeared emaciated. There was a pile of dog biscuits in the cage and there were also numerous piles of dog faeces in the cage which showed the dog had been in there for a while. There were dog food dishes in the cage, but these did not have any water in them. This room was also full of rubbish and items piled up.  </w:t>
            </w:r>
          </w:p>
          <w:p w14:paraId="5CFCEC33"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The bathroom had rubbish in the bath with dirty dishes thrown on top which was there for a prolonged period and there were no other washing facilities in the property. The sink and toilet were dirty but useable. The kitchen floor was completely covered with empty food packaging and clothing, so much so, that the rear door is inaccessible due to the piles of rubbish in front of it. The counter tops were piled high with rotting food on plates and empty food tins and boxes.  </w:t>
            </w:r>
          </w:p>
          <w:p w14:paraId="6DFE3DF6"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As a result of the home conditions the police arrested person 1. Child 1 was then safeguarded by the police. The police took child 1 to his grandparents to safeguard him from harm. As there were family members available to care for child 1 the police were not required to use their powers of protection where they ‘have the power to remove a child to a place of safety, where they have reasonable grounds to believe that he/she is at risk of significant harm under </w:t>
            </w:r>
            <w:hyperlink r:id="rId11" w:tgtFrame="_blank" w:history="1">
              <w:r w:rsidRPr="00802841">
                <w:rPr>
                  <w:rStyle w:val="Hyperlink"/>
                  <w:rFonts w:asciiTheme="minorHAnsi" w:hAnsiTheme="minorHAnsi" w:cstheme="minorHAnsi"/>
                  <w:color w:val="auto"/>
                  <w:sz w:val="24"/>
                  <w:szCs w:val="24"/>
                  <w:u w:val="none"/>
                </w:rPr>
                <w:t>s46 of the Children Act 1989</w:t>
              </w:r>
            </w:hyperlink>
            <w:r w:rsidRPr="00802841">
              <w:rPr>
                <w:rFonts w:asciiTheme="minorHAnsi" w:hAnsiTheme="minorHAnsi" w:cstheme="minorHAnsi"/>
                <w:color w:val="auto"/>
                <w:sz w:val="24"/>
                <w:szCs w:val="24"/>
              </w:rPr>
              <w:t>. (Wales Safeguarding Procedures, 2020). </w:t>
            </w:r>
          </w:p>
          <w:p w14:paraId="4D9BF39D"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This case is quite unusual as the family were not already known to social services and had never received any support from agencies. The only professional that had been visiting was the health visitor who had visited the house since the family has lived in the flat. The health visitor had been concerned that they were isolated and had offered early intervention support however this was not taken up. The health visitor had visited month before the police attended and noted that’ although the flat was messy it was still acceptable’ although she only went into the lounge.  </w:t>
            </w:r>
          </w:p>
          <w:p w14:paraId="72DDA194"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xml:space="preserve">On reflection this could have been seen as a missed opportunity, on speaking to the health visitor during the assessment process she stated that person 1 had not been engaging very well and that is </w:t>
            </w:r>
            <w:r w:rsidRPr="00802841">
              <w:rPr>
                <w:rFonts w:asciiTheme="minorHAnsi" w:hAnsiTheme="minorHAnsi" w:cstheme="minorHAnsi"/>
                <w:color w:val="auto"/>
                <w:sz w:val="24"/>
                <w:szCs w:val="24"/>
              </w:rPr>
              <w:lastRenderedPageBreak/>
              <w:t>why she asked if she wanted preventative services. On the visit the month earlier, she said that she had minor concerns, but the property was nothing like when the police attended. The health visitor had followed her own policies and procedures as early intervention is voluntary. The deterioration in home conditions had obviously happened in the month since the visit. This would be something to explore with person 1 when I spoke to her.  </w:t>
            </w:r>
          </w:p>
          <w:p w14:paraId="3B8C98E9"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1BD2FD16"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xml:space="preserve">As a result of the incident the Police notified children’s services and under section 3 part one of the Wales Safeguarding procedures 2020. The local authority has a duty to respond. Usually, the process for the local authority I work in is for the Single Point of Contact team to make initial contact however as they were experiencing an extremely high volume of referrals the case was referred to the team I work in, and it was allocated to me. As the situation was so serious the evidence indicated that child 1 could be at risk of significant harm at strategy or </w:t>
            </w:r>
            <w:proofErr w:type="spellStart"/>
            <w:r w:rsidRPr="00802841">
              <w:rPr>
                <w:rFonts w:asciiTheme="minorHAnsi" w:hAnsiTheme="minorHAnsi" w:cstheme="minorHAnsi"/>
                <w:color w:val="auto"/>
                <w:sz w:val="24"/>
                <w:szCs w:val="24"/>
              </w:rPr>
              <w:t>strat</w:t>
            </w:r>
            <w:proofErr w:type="spellEnd"/>
            <w:r w:rsidRPr="00802841">
              <w:rPr>
                <w:rFonts w:asciiTheme="minorHAnsi" w:hAnsiTheme="minorHAnsi" w:cstheme="minorHAnsi"/>
                <w:color w:val="auto"/>
                <w:sz w:val="24"/>
                <w:szCs w:val="24"/>
              </w:rPr>
              <w:t xml:space="preserve"> meeting was convened.  </w:t>
            </w:r>
          </w:p>
          <w:p w14:paraId="0843F1B0"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xml:space="preserve">A </w:t>
            </w:r>
            <w:proofErr w:type="spellStart"/>
            <w:r w:rsidRPr="00802841">
              <w:rPr>
                <w:rFonts w:asciiTheme="minorHAnsi" w:hAnsiTheme="minorHAnsi" w:cstheme="minorHAnsi"/>
                <w:color w:val="auto"/>
                <w:sz w:val="24"/>
                <w:szCs w:val="24"/>
              </w:rPr>
              <w:t>strat</w:t>
            </w:r>
            <w:proofErr w:type="spellEnd"/>
            <w:r w:rsidRPr="00802841">
              <w:rPr>
                <w:rFonts w:asciiTheme="minorHAnsi" w:hAnsiTheme="minorHAnsi" w:cstheme="minorHAnsi"/>
                <w:color w:val="auto"/>
                <w:sz w:val="24"/>
                <w:szCs w:val="24"/>
              </w:rPr>
              <w:t xml:space="preserve"> meeting as noted in section five of the Wales Safeguarding procedures 2020 aims to ascertain whether the safeguarding concerns for a child are substantiated, it considers the available evidence to evaluate the risk of harm to the child, what steps that need to be taken next and who’s responsibility it is to carry out enquiries. The meeting is attended by, a senior safeguarding children’s services manager, team manager, social worker, police, a representative from health and where appropriate other professionals however the professionals listed attended this Strat. The findings of this meeting were that immediate protection and urgent action was required. As a result of this Section 47 enquiries under the Children Act 1989 were initiated.  </w:t>
            </w:r>
          </w:p>
          <w:p w14:paraId="319BA55C"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I have completed many sections 47 enquiries and am confident in completing them. From the outset this was a serious situation. When I am allocated assessments such as this, I always ensure that I keep an open mind about what happened, often just looking at initial reports can cause people to form opinions about what happened. In this case we just had the initial police information. It is always important to use theory to underpin my practice. In this case I needed to use ecological systems theory (Bronfenbrenner, 1979) which would enable me to understand why the family had become so isolated and why family members, neighbours and professionals did not notice that they were struggling. To do this I would need to use a person centred and strengths-based approach as clearly something had been going right before things deteriorated.  </w:t>
            </w:r>
          </w:p>
          <w:p w14:paraId="3B238BA5"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For the Section 47 enquiries I visited child 1, his mother person 1, the grandparents and his dad. I also talked to all the other professionals involved. Such the police specifically the arresting officer and the health visitor who would be able to shed some light on how conditions became so bad. Initially the most important thing to do is see the child. As part of the section 47 enquiries the social worker must visit the child within 24 hours.  </w:t>
            </w:r>
          </w:p>
          <w:p w14:paraId="5DB10EE2" w14:textId="7B50067B" w:rsid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In the assessment I used a range of methods and theories, I have already listed some theories that I would apply in the enquiries I would conduct interviews with all relevant family members, I felt that when speaking to mum I would implement motivational interviewing as a tool as it is a person centred and strength based form of gaining information. When I reflected on the initial information, I was sure that something must have happened to person 1 for things to get so serious in a month. I wondered whether person 1 may have experienced trauma either in her past or recently. So, I would have to ensure I used a trauma informed approach. It was also important for me to use anti oppressive practice and be non-judgemental.  </w:t>
            </w:r>
          </w:p>
          <w:p w14:paraId="48159910" w14:textId="77777777" w:rsidR="003F6B1D" w:rsidRPr="00802841" w:rsidRDefault="003F6B1D" w:rsidP="00802841">
            <w:pPr>
              <w:rPr>
                <w:rFonts w:asciiTheme="minorHAnsi" w:hAnsiTheme="minorHAnsi" w:cstheme="minorHAnsi"/>
                <w:color w:val="auto"/>
                <w:sz w:val="24"/>
                <w:szCs w:val="24"/>
              </w:rPr>
            </w:pPr>
          </w:p>
          <w:p w14:paraId="6C94DB0D"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25A47198" w14:textId="1FDE5C20" w:rsidR="00802841" w:rsidRDefault="00802841" w:rsidP="00802841">
            <w:pPr>
              <w:rPr>
                <w:rFonts w:asciiTheme="minorHAnsi" w:hAnsiTheme="minorHAnsi" w:cstheme="minorHAnsi"/>
                <w:color w:val="auto"/>
                <w:sz w:val="24"/>
                <w:szCs w:val="24"/>
              </w:rPr>
            </w:pPr>
            <w:r w:rsidRPr="003F6B1D">
              <w:rPr>
                <w:rFonts w:asciiTheme="minorHAnsi" w:hAnsiTheme="minorHAnsi" w:cstheme="minorHAnsi"/>
                <w:color w:val="auto"/>
                <w:sz w:val="24"/>
                <w:szCs w:val="24"/>
                <w:u w:val="single"/>
              </w:rPr>
              <w:lastRenderedPageBreak/>
              <w:t>Safeguarding Legislation, Policies, and Procedures </w:t>
            </w:r>
          </w:p>
          <w:p w14:paraId="3080EE8C" w14:textId="77777777" w:rsidR="003F6B1D" w:rsidRPr="003F6B1D" w:rsidRDefault="003F6B1D" w:rsidP="00802841">
            <w:pPr>
              <w:rPr>
                <w:rFonts w:asciiTheme="minorHAnsi" w:hAnsiTheme="minorHAnsi" w:cstheme="minorHAnsi"/>
                <w:color w:val="auto"/>
                <w:sz w:val="24"/>
                <w:szCs w:val="24"/>
              </w:rPr>
            </w:pPr>
          </w:p>
          <w:p w14:paraId="30A68F0A"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It is essential for social worker to have a good understanding of law and there are many reasons for this. Most social workers work for a local authority which works within a legal framework. This legal framework governs social work practice and ensures that social workers comply with all legal standards. Legal requirements are there to protect people receiving services and social workers alike.  </w:t>
            </w:r>
          </w:p>
          <w:p w14:paraId="00CA3CAB"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Understanding and adhering to the law enables social workers to properly advocate for the people they are supporting. In my practice with children there are many protected rights that they must ensure they are kept safe from harm. These laws underpin practice and can often act as a guide. In my practice if I am struggling with a decision or a professional judgement on a difficult case, I can always go back to the default position of following procedure. In children’s social work there is many statutory laws to follow, and the guidance is always noticeably clear.  </w:t>
            </w:r>
          </w:p>
          <w:p w14:paraId="69860AEA"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The law informs decision making for social workers in assessing risk and planning interventions. For social workers to make good professional judgement they must understand the legal implications of every decision they make as every decision should be in the best interests of the child.  </w:t>
            </w:r>
          </w:p>
          <w:p w14:paraId="565DA5F3"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In Wales we have a Welsh Assembly which has some powers that have been devolved from the United Kingdom government, health and social care is one of these powers. The Social Services and Well-being Wales Act 2014 (SSWBA) Is the overarching legislation for social work practice in Wales. It provides the legislative framework for both children and adults in Wales. The SSWBA puts a duty on local authorities to promote the well-being of individuals or citizens of Wales. The Act has clearly laid out provisions for the safeguarding of children. The act was bought in to replace large elements of the Children Act 1989. Although some key parts of it still apply the main one that applies in this case study in this study is section 47. Which has been mentioned in the description of the case study.  </w:t>
            </w:r>
          </w:p>
          <w:p w14:paraId="61B432A4"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As mentioned, I find that having clear statutory guidelines to guide me in practice makes working in demanding situations a lot easier. The codes of professional practice for social workers (COPP) are issued in section 145 of the SSWBA. The code outlines the standard and conduct that is expected from social workers in their practice. The COPP sets clear expectations to ensure social workers practice in a manner that is always ethical and professional. Following the COPP also promotes accountability, improves outcomes for people receiving support, it promotes professional development and provides clear legal framework and ethical guidance. It also ensures that social workers are individually accountable for their own practice and the well-being of the people they support. </w:t>
            </w:r>
          </w:p>
          <w:p w14:paraId="5907B5D6"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The Wales Safeguarding procedures 2020 (WSP) for children and adults at risk of abuse and neglect. It was specifically produced to apply legislative and statutory guidance in the SSWBA. The procedures are regularly updated to ensure that they are current. In My practice I have found these especially useful. There is an app loaded onto all social workers work phones so they can be accessed at any time to provide guidance on decision making. I found them particularly useful when completing the section 47 in this case as they give timescales in the child protection process and outlines duties in the enquiry process.  </w:t>
            </w:r>
          </w:p>
          <w:p w14:paraId="17D7C10A"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xml:space="preserve">A range of other legislations apply in children’s social work. European Union legislation such as the EU strategy on the rights of the child which protects children’s rights and ensures that all children must rights to have access to basic services and are protected from violence. Also, the General Data </w:t>
            </w:r>
            <w:r w:rsidRPr="00802841">
              <w:rPr>
                <w:rFonts w:asciiTheme="minorHAnsi" w:hAnsiTheme="minorHAnsi" w:cstheme="minorHAnsi"/>
                <w:color w:val="auto"/>
                <w:sz w:val="24"/>
                <w:szCs w:val="24"/>
              </w:rPr>
              <w:lastRenderedPageBreak/>
              <w:t>Protection Regulation (GDPR) although this focusses on data protection part of it impacts on safeguarding regarding the handling and sharing of confidential information. In a wider context the four principles of the United Nations Convention on the rights of the child (UNRC) 1989. Still enshrines the right of every child everywhere. </w:t>
            </w:r>
          </w:p>
          <w:p w14:paraId="4B155E7F"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Legislation informs practice and therefore procedures. In Wales there is specific safeguarding procedures, which are informed by the principles of the SSWBA and the WSP. Following the initial meeting triggering the section 47. The procedures that needed to be followed would be completing the initial assessment, completing this would require initial information gathering which would require me to gather information from all relevant parties and speak to all professionals involved. Part of the section 47 procedures is risk assessing. There is a risk tool within the assessment which needs to be completed, this tool assesses the risks as they are, in this case study it is neglect, how serious the risks are, the potential for future harm and the protective or safe factors in chid 1’s life that would protect them from harm. </w:t>
            </w:r>
          </w:p>
          <w:p w14:paraId="0DD6FB04"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After gathering the information and reviewing it. The next step is to look at all the evidence and analyse it.  </w:t>
            </w:r>
          </w:p>
          <w:p w14:paraId="0B6889DE"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1A561F09" w14:textId="20CAE9F4" w:rsidR="003F6B1D" w:rsidRPr="003F6B1D" w:rsidRDefault="00802841" w:rsidP="00802841">
            <w:pPr>
              <w:rPr>
                <w:rFonts w:asciiTheme="minorHAnsi" w:hAnsiTheme="minorHAnsi" w:cstheme="minorHAnsi"/>
                <w:color w:val="auto"/>
                <w:sz w:val="24"/>
                <w:szCs w:val="24"/>
              </w:rPr>
            </w:pPr>
            <w:r w:rsidRPr="003F6B1D">
              <w:rPr>
                <w:rFonts w:asciiTheme="minorHAnsi" w:hAnsiTheme="minorHAnsi" w:cstheme="minorHAnsi"/>
                <w:color w:val="auto"/>
                <w:sz w:val="24"/>
                <w:szCs w:val="24"/>
                <w:u w:val="single"/>
              </w:rPr>
              <w:t>Analysis and Integration </w:t>
            </w:r>
          </w:p>
          <w:p w14:paraId="2A178068"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62A5DCF6"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In children’s social work good analysis is vital to understand the complexity of cases. When completing assessments, it helps the social worker to identify needs, strengths, and risks to the child. It is important to gather all the evidence from everyone involved. It is important to look at what happened holistically and not to let personal values affect judgement. In this case I needed to critically analyse how person 1 had got into this situation, I needed to evaluate the living conditions, the family dynamics and the why, what, where, who of child 1’s life. It is always imperative during analysis to keep the child at the centre. Thorough analysis in assessment improves accuracy and enables the social worker to use the most appropriate interventions to enable better outcomes for the child and their family.  </w:t>
            </w:r>
          </w:p>
          <w:p w14:paraId="101AB8A4"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Good assessment and analysis always should involve collaborative working, this is essential in social work as it brings together different professionals who have a range of skills and professional opinions. Different professionals bring different expertise and, in this case, where the police are involved liaising with child protection officers to view statements, historical evidence and pictures from officer’s body worn cameras has been key in forming a well-rounded and balanced professional opinion. Ensuring effective communication and collaborative decision making are essential in working with individuals to achieve their outcomes and to keep children safe from harm.  </w:t>
            </w:r>
          </w:p>
          <w:p w14:paraId="6C2A14F0"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25721F38"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On reflection, this case study however has shone a light on how vulnerable people can be missed. Person 1 was housed by a housing association in an area a long way from her support network. No referrals for support were received and the whole situation could have been avoided with proper support for a young family in their first property. For this situation to become so serious is a learning opportunity for all professionals involved as if the police had not received a complaint this situation would have been a lot more serious.  </w:t>
            </w:r>
          </w:p>
          <w:p w14:paraId="26246DB4"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xml:space="preserve">Professional judgements in social work are often complex and informed by knowledge of theory and legislation. Making decisions in complex situations must involve a substantial value base that </w:t>
            </w:r>
            <w:r w:rsidRPr="00802841">
              <w:rPr>
                <w:rFonts w:asciiTheme="minorHAnsi" w:hAnsiTheme="minorHAnsi" w:cstheme="minorHAnsi"/>
                <w:color w:val="auto"/>
                <w:sz w:val="24"/>
                <w:szCs w:val="24"/>
              </w:rPr>
              <w:lastRenderedPageBreak/>
              <w:t>considers ethical principles as in the case in this study, I took a multitude of issues and opinions into account. Sometimes social workers must act immediately to safeguard a child but in this case the police had already acted on this, and my team then further safeguarded child 1 by asking person 1 to sign the section 76 paperwork (SSWBA). This is a voluntary agreement between a parent and the local authority for a child to become looked after and temporarily prevented from living with their parent. Removing a child from their parent's care is a difficult decision which needs to be balanced with the safety of a child and the child’s long-term well-being. If I reflect on these decisions at the time, on this occasion it is the best decision for child 1 as it safeguarded him from harm while enquiries took place into why Person 1 was neglecting him and could not meet his needs at that time.  </w:t>
            </w:r>
          </w:p>
          <w:p w14:paraId="5E915B5F"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When families are in crisis these complex decisions need to be taken and continually reflecting on the magnitude of these decisions enables me to learn and improve my practice. An important part of reflection in analysis is seeing what went well or not so well and understanding how things may be done differently next time to ensure they are always in the best interest of the child. In my practice I am always mindful to keep the child at the centre of thinking when completing assessments and it is important when completing analysis to always be conscious that I am representing the child and their welfare.  </w:t>
            </w:r>
          </w:p>
          <w:p w14:paraId="096B2235"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As already noted in this case study, applying theory is crucial to understanding how people interact with their environment. Often assessment requires different theory and being able to reflect on what theories that have been used in the assessment process will enable me to continue improve practice. I have realised that as I have become more experienced, I am using theory naturally and automatically applying theory to complex situations. Theory now underpins my practice and upon reflection in this case I have realised that especially in crisis management no one theory can be used.  </w:t>
            </w:r>
          </w:p>
          <w:p w14:paraId="6E0C04CC"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Keeping children safe from harm of abuse is multi-faceted and requires the use of in-depth analysis. This requires the use of various theories, an excellent value base, a good knowledge of legislation and good multi-agency working. As I continue to develop as a social worker, I am beginning to see that these all fit together and implementing them in practice in a holistic manner is an important skill in my practice.  </w:t>
            </w:r>
          </w:p>
          <w:p w14:paraId="174997C1" w14:textId="20800A0B"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7D4F7C62" w14:textId="77777777" w:rsidR="00802841" w:rsidRPr="003F6B1D" w:rsidRDefault="00802841" w:rsidP="00802841">
            <w:pPr>
              <w:rPr>
                <w:rFonts w:asciiTheme="minorHAnsi" w:hAnsiTheme="minorHAnsi" w:cstheme="minorHAnsi"/>
                <w:color w:val="auto"/>
                <w:sz w:val="24"/>
                <w:szCs w:val="24"/>
              </w:rPr>
            </w:pPr>
            <w:r w:rsidRPr="003F6B1D">
              <w:rPr>
                <w:rFonts w:asciiTheme="minorHAnsi" w:hAnsiTheme="minorHAnsi" w:cstheme="minorHAnsi"/>
                <w:color w:val="auto"/>
                <w:sz w:val="24"/>
                <w:szCs w:val="24"/>
                <w:u w:val="single"/>
              </w:rPr>
              <w:t>Specific dimensions of working in Wales  </w:t>
            </w:r>
          </w:p>
          <w:p w14:paraId="6D63C16C"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Practicing social work in Wales requires workers to adhere to specific legislative frameworks that frame Welsh social work practice. The SSWBA is a particularly important piece of legislation in those focusses on the well-being people and the importance of their voice being heard. In the local authority I work in all social workers are required to work within the outcome focussed model of social work. The SSWBA requires social workers to focus on individual outcomes being strength based and person centred. In the case of child 1 even though they are a young child and cannot express their outcomes verbally, if they need care and support social workers must work to meet the outcomes that are identified in assessment.  </w:t>
            </w:r>
          </w:p>
          <w:p w14:paraId="270035F6"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In Wales, the active offer is a key principle of social care. It means that all services need to be offered in Welsh, it is designed to give Welsh speakers the right to access services in their preferred language ensuring that they are cultural identity is respected and promoted. This provision is a proactive provision and is legally supported by the SSWBA to ensure social workers adhere to the guidelines.  </w:t>
            </w:r>
          </w:p>
          <w:p w14:paraId="4E22DD3B"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lastRenderedPageBreak/>
              <w:t>Wales has a mix of urban and rural areas each has its own challenges and resources. In the context of the case study, person 1 grew up in a semi-rural town which, although it has issues with poverty has good local amenities and excellent transport links. This however cannot be said for where Person 1 found herself living with her young child. Has poor amenities and poor transport links. The issue for Person 1 was that due to housing issues in the area she was from she became very socially isolated. This undoubtedly contributed to the resulting neglect of child 1. The ability to understand and critically reflect on the specific environment us crucial for managing cases effectively and fairly. That is not to say that this issue is just a Welsh issue as it is important to understand that these are United Kingdom issues however, they a currently more keenly felt in Wales. A report by the children’s commissioner for Wales found that ‘around 30% of children in Wales are living in poverty’ (Children's Commissioner for Wales, 2024). </w:t>
            </w:r>
          </w:p>
          <w:p w14:paraId="2A8E097C"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260EA6DA" w14:textId="77777777" w:rsidR="00802841" w:rsidRPr="003F6B1D" w:rsidRDefault="00802841" w:rsidP="00802841">
            <w:pPr>
              <w:rPr>
                <w:rFonts w:asciiTheme="minorHAnsi" w:hAnsiTheme="minorHAnsi" w:cstheme="minorHAnsi"/>
                <w:color w:val="auto"/>
                <w:sz w:val="24"/>
                <w:szCs w:val="24"/>
              </w:rPr>
            </w:pPr>
            <w:r w:rsidRPr="003F6B1D">
              <w:rPr>
                <w:rFonts w:asciiTheme="minorHAnsi" w:hAnsiTheme="minorHAnsi" w:cstheme="minorHAnsi"/>
                <w:color w:val="auto"/>
                <w:sz w:val="24"/>
                <w:szCs w:val="24"/>
                <w:u w:val="single"/>
              </w:rPr>
              <w:t>Conclusion </w:t>
            </w:r>
            <w:bookmarkStart w:id="0" w:name="_GoBack"/>
            <w:bookmarkEnd w:id="0"/>
          </w:p>
          <w:p w14:paraId="1B23B3A4"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To conclude, this case study has described has reflected an active case that has been allocated to me. It shows how important it is in children’s social work to have specific legislation to work to when safeguarding children. In a previous role there was not the same process as statutory work, the SSBA informs the WSP which in turn informs social work practice this and the COPP sets out the duties of social workers in doing what can be a difficult job. When social workers are required to make professional judgements in complex situations legislation, theory, procedures, and training provide a good guide to follow. This along with being a reflective practitioner is essential in completing good assessments when children are at risk. It enables social workers to use critical thinking in assessments to ensure that families get the right support and can achieve their personal outcomes.  </w:t>
            </w:r>
          </w:p>
          <w:p w14:paraId="43AF6821"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3B3A93C1"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This case has been a complex case that I have needed to use all the skills and tools listed in this conclusion. I have found it challenging but I am making progress with the family. I believe that being person centred and using the strengths-based model has enabled me to build a good working relationship with Person 1 and helped me to understand how things happen to families. Originally this case looked like a case of wilful neglect however, due to good collaborative working between all professionals it could be more situational neglect. That is not to say that the situation does not remain a complex one with many factors to consider. But Person 1 may achieve her outcome of having her child home with her.  </w:t>
            </w:r>
          </w:p>
          <w:p w14:paraId="51431DD1"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This is an often occurrence in Wales specifically in rural counties where amenities are spread out. A more pro-active approach to collaborative working between housing and support services may be required in the future as there appears to be a gap in communication and a massive gap in housing for families at risk of homelessness.  </w:t>
            </w:r>
          </w:p>
          <w:p w14:paraId="16DBB870"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063F6E8B" w14:textId="77777777" w:rsidR="00802841" w:rsidRPr="00802841" w:rsidRDefault="00802841" w:rsidP="00802841">
            <w:pPr>
              <w:rPr>
                <w:rFonts w:asciiTheme="minorHAnsi" w:hAnsiTheme="minorHAnsi" w:cstheme="minorHAnsi"/>
                <w:color w:val="auto"/>
                <w:sz w:val="24"/>
                <w:szCs w:val="24"/>
              </w:rPr>
            </w:pPr>
            <w:r w:rsidRPr="00802841">
              <w:rPr>
                <w:rFonts w:asciiTheme="minorHAnsi" w:hAnsiTheme="minorHAnsi" w:cstheme="minorHAnsi"/>
                <w:color w:val="auto"/>
                <w:sz w:val="24"/>
                <w:szCs w:val="24"/>
              </w:rPr>
              <w:t> </w:t>
            </w:r>
          </w:p>
          <w:p w14:paraId="4A807368" w14:textId="77777777" w:rsidR="00802841" w:rsidRDefault="00802841" w:rsidP="00802841">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sz w:val="22"/>
                <w:szCs w:val="22"/>
                <w:lang w:val="en-US"/>
              </w:rPr>
              <w:t> </w:t>
            </w:r>
          </w:p>
          <w:p w14:paraId="3CD83D5D" w14:textId="77777777" w:rsidR="00802841" w:rsidRDefault="00802841" w:rsidP="00802841">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lang w:val="en-US"/>
              </w:rPr>
              <w:t> </w:t>
            </w:r>
          </w:p>
          <w:p w14:paraId="000B1249" w14:textId="77777777" w:rsidR="00802841" w:rsidRDefault="00802841"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56160" w14:textId="77777777" w:rsidR="008B1E97" w:rsidRDefault="008B1E97">
      <w:r>
        <w:separator/>
      </w:r>
    </w:p>
  </w:endnote>
  <w:endnote w:type="continuationSeparator" w:id="0">
    <w:p w14:paraId="02E680FA" w14:textId="77777777" w:rsidR="008B1E97" w:rsidRDefault="008B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725D75E" w:rsidR="00A5656A" w:rsidRDefault="00A5656A">
    <w:pPr>
      <w:pStyle w:val="Footer"/>
      <w:jc w:val="right"/>
    </w:pPr>
    <w:r>
      <w:fldChar w:fldCharType="begin"/>
    </w:r>
    <w:r>
      <w:instrText xml:space="preserve"> PAGE   \* MERGEFORMAT </w:instrText>
    </w:r>
    <w:r>
      <w:fldChar w:fldCharType="separate"/>
    </w:r>
    <w:r w:rsidR="003F6B1D">
      <w:rPr>
        <w:noProof/>
      </w:rPr>
      <w:t>7</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2F904" w14:textId="77777777" w:rsidR="008B1E97" w:rsidRDefault="008B1E97">
      <w:r>
        <w:separator/>
      </w:r>
    </w:p>
  </w:footnote>
  <w:footnote w:type="continuationSeparator" w:id="0">
    <w:p w14:paraId="5CE37E4A" w14:textId="77777777" w:rsidR="008B1E97" w:rsidRDefault="008B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1201"/>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6B1D"/>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284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1E97"/>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F78"/>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8028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802841"/>
  </w:style>
  <w:style w:type="character" w:customStyle="1" w:styleId="eop">
    <w:name w:val="eop"/>
    <w:basedOn w:val="DefaultParagraphFont"/>
    <w:rsid w:val="00802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535353">
      <w:bodyDiv w:val="1"/>
      <w:marLeft w:val="0"/>
      <w:marRight w:val="0"/>
      <w:marTop w:val="0"/>
      <w:marBottom w:val="0"/>
      <w:divBdr>
        <w:top w:val="none" w:sz="0" w:space="0" w:color="auto"/>
        <w:left w:val="none" w:sz="0" w:space="0" w:color="auto"/>
        <w:bottom w:val="none" w:sz="0" w:space="0" w:color="auto"/>
        <w:right w:val="none" w:sz="0" w:space="0" w:color="auto"/>
      </w:divBdr>
      <w:divsChild>
        <w:div w:id="1989750546">
          <w:marLeft w:val="0"/>
          <w:marRight w:val="0"/>
          <w:marTop w:val="0"/>
          <w:marBottom w:val="0"/>
          <w:divBdr>
            <w:top w:val="none" w:sz="0" w:space="0" w:color="auto"/>
            <w:left w:val="none" w:sz="0" w:space="0" w:color="auto"/>
            <w:bottom w:val="none" w:sz="0" w:space="0" w:color="auto"/>
            <w:right w:val="none" w:sz="0" w:space="0" w:color="auto"/>
          </w:divBdr>
        </w:div>
        <w:div w:id="1301496137">
          <w:marLeft w:val="0"/>
          <w:marRight w:val="0"/>
          <w:marTop w:val="0"/>
          <w:marBottom w:val="0"/>
          <w:divBdr>
            <w:top w:val="none" w:sz="0" w:space="0" w:color="auto"/>
            <w:left w:val="none" w:sz="0" w:space="0" w:color="auto"/>
            <w:bottom w:val="none" w:sz="0" w:space="0" w:color="auto"/>
            <w:right w:val="none" w:sz="0" w:space="0" w:color="auto"/>
          </w:divBdr>
        </w:div>
        <w:div w:id="394931551">
          <w:marLeft w:val="0"/>
          <w:marRight w:val="0"/>
          <w:marTop w:val="0"/>
          <w:marBottom w:val="0"/>
          <w:divBdr>
            <w:top w:val="none" w:sz="0" w:space="0" w:color="auto"/>
            <w:left w:val="none" w:sz="0" w:space="0" w:color="auto"/>
            <w:bottom w:val="none" w:sz="0" w:space="0" w:color="auto"/>
            <w:right w:val="none" w:sz="0" w:space="0" w:color="auto"/>
          </w:divBdr>
        </w:div>
        <w:div w:id="678973678">
          <w:marLeft w:val="0"/>
          <w:marRight w:val="0"/>
          <w:marTop w:val="0"/>
          <w:marBottom w:val="0"/>
          <w:divBdr>
            <w:top w:val="none" w:sz="0" w:space="0" w:color="auto"/>
            <w:left w:val="none" w:sz="0" w:space="0" w:color="auto"/>
            <w:bottom w:val="none" w:sz="0" w:space="0" w:color="auto"/>
            <w:right w:val="none" w:sz="0" w:space="0" w:color="auto"/>
          </w:divBdr>
        </w:div>
        <w:div w:id="1828937340">
          <w:marLeft w:val="0"/>
          <w:marRight w:val="0"/>
          <w:marTop w:val="0"/>
          <w:marBottom w:val="0"/>
          <w:divBdr>
            <w:top w:val="none" w:sz="0" w:space="0" w:color="auto"/>
            <w:left w:val="none" w:sz="0" w:space="0" w:color="auto"/>
            <w:bottom w:val="none" w:sz="0" w:space="0" w:color="auto"/>
            <w:right w:val="none" w:sz="0" w:space="0" w:color="auto"/>
          </w:divBdr>
        </w:div>
        <w:div w:id="1627857345">
          <w:marLeft w:val="0"/>
          <w:marRight w:val="0"/>
          <w:marTop w:val="0"/>
          <w:marBottom w:val="0"/>
          <w:divBdr>
            <w:top w:val="none" w:sz="0" w:space="0" w:color="auto"/>
            <w:left w:val="none" w:sz="0" w:space="0" w:color="auto"/>
            <w:bottom w:val="none" w:sz="0" w:space="0" w:color="auto"/>
            <w:right w:val="none" w:sz="0" w:space="0" w:color="auto"/>
          </w:divBdr>
        </w:div>
        <w:div w:id="86778394">
          <w:marLeft w:val="0"/>
          <w:marRight w:val="0"/>
          <w:marTop w:val="0"/>
          <w:marBottom w:val="0"/>
          <w:divBdr>
            <w:top w:val="none" w:sz="0" w:space="0" w:color="auto"/>
            <w:left w:val="none" w:sz="0" w:space="0" w:color="auto"/>
            <w:bottom w:val="none" w:sz="0" w:space="0" w:color="auto"/>
            <w:right w:val="none" w:sz="0" w:space="0" w:color="auto"/>
          </w:divBdr>
        </w:div>
        <w:div w:id="1649090164">
          <w:marLeft w:val="0"/>
          <w:marRight w:val="0"/>
          <w:marTop w:val="0"/>
          <w:marBottom w:val="0"/>
          <w:divBdr>
            <w:top w:val="none" w:sz="0" w:space="0" w:color="auto"/>
            <w:left w:val="none" w:sz="0" w:space="0" w:color="auto"/>
            <w:bottom w:val="none" w:sz="0" w:space="0" w:color="auto"/>
            <w:right w:val="none" w:sz="0" w:space="0" w:color="auto"/>
          </w:divBdr>
        </w:div>
        <w:div w:id="1367832597">
          <w:marLeft w:val="0"/>
          <w:marRight w:val="0"/>
          <w:marTop w:val="0"/>
          <w:marBottom w:val="0"/>
          <w:divBdr>
            <w:top w:val="none" w:sz="0" w:space="0" w:color="auto"/>
            <w:left w:val="none" w:sz="0" w:space="0" w:color="auto"/>
            <w:bottom w:val="none" w:sz="0" w:space="0" w:color="auto"/>
            <w:right w:val="none" w:sz="0" w:space="0" w:color="auto"/>
          </w:divBdr>
        </w:div>
        <w:div w:id="2086025860">
          <w:marLeft w:val="0"/>
          <w:marRight w:val="0"/>
          <w:marTop w:val="0"/>
          <w:marBottom w:val="0"/>
          <w:divBdr>
            <w:top w:val="none" w:sz="0" w:space="0" w:color="auto"/>
            <w:left w:val="none" w:sz="0" w:space="0" w:color="auto"/>
            <w:bottom w:val="none" w:sz="0" w:space="0" w:color="auto"/>
            <w:right w:val="none" w:sz="0" w:space="0" w:color="auto"/>
          </w:divBdr>
        </w:div>
        <w:div w:id="2000495724">
          <w:marLeft w:val="0"/>
          <w:marRight w:val="0"/>
          <w:marTop w:val="0"/>
          <w:marBottom w:val="0"/>
          <w:divBdr>
            <w:top w:val="none" w:sz="0" w:space="0" w:color="auto"/>
            <w:left w:val="none" w:sz="0" w:space="0" w:color="auto"/>
            <w:bottom w:val="none" w:sz="0" w:space="0" w:color="auto"/>
            <w:right w:val="none" w:sz="0" w:space="0" w:color="auto"/>
          </w:divBdr>
        </w:div>
        <w:div w:id="1546091310">
          <w:marLeft w:val="0"/>
          <w:marRight w:val="0"/>
          <w:marTop w:val="0"/>
          <w:marBottom w:val="0"/>
          <w:divBdr>
            <w:top w:val="none" w:sz="0" w:space="0" w:color="auto"/>
            <w:left w:val="none" w:sz="0" w:space="0" w:color="auto"/>
            <w:bottom w:val="none" w:sz="0" w:space="0" w:color="auto"/>
            <w:right w:val="none" w:sz="0" w:space="0" w:color="auto"/>
          </w:divBdr>
        </w:div>
        <w:div w:id="1266039223">
          <w:marLeft w:val="0"/>
          <w:marRight w:val="0"/>
          <w:marTop w:val="0"/>
          <w:marBottom w:val="0"/>
          <w:divBdr>
            <w:top w:val="none" w:sz="0" w:space="0" w:color="auto"/>
            <w:left w:val="none" w:sz="0" w:space="0" w:color="auto"/>
            <w:bottom w:val="none" w:sz="0" w:space="0" w:color="auto"/>
            <w:right w:val="none" w:sz="0" w:space="0" w:color="auto"/>
          </w:divBdr>
        </w:div>
        <w:div w:id="1195774791">
          <w:marLeft w:val="0"/>
          <w:marRight w:val="0"/>
          <w:marTop w:val="0"/>
          <w:marBottom w:val="0"/>
          <w:divBdr>
            <w:top w:val="none" w:sz="0" w:space="0" w:color="auto"/>
            <w:left w:val="none" w:sz="0" w:space="0" w:color="auto"/>
            <w:bottom w:val="none" w:sz="0" w:space="0" w:color="auto"/>
            <w:right w:val="none" w:sz="0" w:space="0" w:color="auto"/>
          </w:divBdr>
        </w:div>
        <w:div w:id="538588985">
          <w:marLeft w:val="0"/>
          <w:marRight w:val="0"/>
          <w:marTop w:val="0"/>
          <w:marBottom w:val="0"/>
          <w:divBdr>
            <w:top w:val="none" w:sz="0" w:space="0" w:color="auto"/>
            <w:left w:val="none" w:sz="0" w:space="0" w:color="auto"/>
            <w:bottom w:val="none" w:sz="0" w:space="0" w:color="auto"/>
            <w:right w:val="none" w:sz="0" w:space="0" w:color="auto"/>
          </w:divBdr>
        </w:div>
        <w:div w:id="825318880">
          <w:marLeft w:val="0"/>
          <w:marRight w:val="0"/>
          <w:marTop w:val="0"/>
          <w:marBottom w:val="0"/>
          <w:divBdr>
            <w:top w:val="none" w:sz="0" w:space="0" w:color="auto"/>
            <w:left w:val="none" w:sz="0" w:space="0" w:color="auto"/>
            <w:bottom w:val="none" w:sz="0" w:space="0" w:color="auto"/>
            <w:right w:val="none" w:sz="0" w:space="0" w:color="auto"/>
          </w:divBdr>
        </w:div>
        <w:div w:id="63798375">
          <w:marLeft w:val="0"/>
          <w:marRight w:val="0"/>
          <w:marTop w:val="0"/>
          <w:marBottom w:val="0"/>
          <w:divBdr>
            <w:top w:val="none" w:sz="0" w:space="0" w:color="auto"/>
            <w:left w:val="none" w:sz="0" w:space="0" w:color="auto"/>
            <w:bottom w:val="none" w:sz="0" w:space="0" w:color="auto"/>
            <w:right w:val="none" w:sz="0" w:space="0" w:color="auto"/>
          </w:divBdr>
        </w:div>
        <w:div w:id="551188993">
          <w:marLeft w:val="0"/>
          <w:marRight w:val="0"/>
          <w:marTop w:val="0"/>
          <w:marBottom w:val="0"/>
          <w:divBdr>
            <w:top w:val="none" w:sz="0" w:space="0" w:color="auto"/>
            <w:left w:val="none" w:sz="0" w:space="0" w:color="auto"/>
            <w:bottom w:val="none" w:sz="0" w:space="0" w:color="auto"/>
            <w:right w:val="none" w:sz="0" w:space="0" w:color="auto"/>
          </w:divBdr>
        </w:div>
        <w:div w:id="907035663">
          <w:marLeft w:val="0"/>
          <w:marRight w:val="0"/>
          <w:marTop w:val="0"/>
          <w:marBottom w:val="0"/>
          <w:divBdr>
            <w:top w:val="none" w:sz="0" w:space="0" w:color="auto"/>
            <w:left w:val="none" w:sz="0" w:space="0" w:color="auto"/>
            <w:bottom w:val="none" w:sz="0" w:space="0" w:color="auto"/>
            <w:right w:val="none" w:sz="0" w:space="0" w:color="auto"/>
          </w:divBdr>
        </w:div>
        <w:div w:id="234626970">
          <w:marLeft w:val="0"/>
          <w:marRight w:val="0"/>
          <w:marTop w:val="0"/>
          <w:marBottom w:val="0"/>
          <w:divBdr>
            <w:top w:val="none" w:sz="0" w:space="0" w:color="auto"/>
            <w:left w:val="none" w:sz="0" w:space="0" w:color="auto"/>
            <w:bottom w:val="none" w:sz="0" w:space="0" w:color="auto"/>
            <w:right w:val="none" w:sz="0" w:space="0" w:color="auto"/>
          </w:divBdr>
        </w:div>
        <w:div w:id="2047027833">
          <w:marLeft w:val="0"/>
          <w:marRight w:val="0"/>
          <w:marTop w:val="0"/>
          <w:marBottom w:val="0"/>
          <w:divBdr>
            <w:top w:val="none" w:sz="0" w:space="0" w:color="auto"/>
            <w:left w:val="none" w:sz="0" w:space="0" w:color="auto"/>
            <w:bottom w:val="none" w:sz="0" w:space="0" w:color="auto"/>
            <w:right w:val="none" w:sz="0" w:space="0" w:color="auto"/>
          </w:divBdr>
        </w:div>
        <w:div w:id="1745452244">
          <w:marLeft w:val="0"/>
          <w:marRight w:val="0"/>
          <w:marTop w:val="0"/>
          <w:marBottom w:val="0"/>
          <w:divBdr>
            <w:top w:val="none" w:sz="0" w:space="0" w:color="auto"/>
            <w:left w:val="none" w:sz="0" w:space="0" w:color="auto"/>
            <w:bottom w:val="none" w:sz="0" w:space="0" w:color="auto"/>
            <w:right w:val="none" w:sz="0" w:space="0" w:color="auto"/>
          </w:divBdr>
        </w:div>
        <w:div w:id="173344010">
          <w:marLeft w:val="0"/>
          <w:marRight w:val="0"/>
          <w:marTop w:val="0"/>
          <w:marBottom w:val="0"/>
          <w:divBdr>
            <w:top w:val="none" w:sz="0" w:space="0" w:color="auto"/>
            <w:left w:val="none" w:sz="0" w:space="0" w:color="auto"/>
            <w:bottom w:val="none" w:sz="0" w:space="0" w:color="auto"/>
            <w:right w:val="none" w:sz="0" w:space="0" w:color="auto"/>
          </w:divBdr>
        </w:div>
        <w:div w:id="1389374829">
          <w:marLeft w:val="0"/>
          <w:marRight w:val="0"/>
          <w:marTop w:val="0"/>
          <w:marBottom w:val="0"/>
          <w:divBdr>
            <w:top w:val="none" w:sz="0" w:space="0" w:color="auto"/>
            <w:left w:val="none" w:sz="0" w:space="0" w:color="auto"/>
            <w:bottom w:val="none" w:sz="0" w:space="0" w:color="auto"/>
            <w:right w:val="none" w:sz="0" w:space="0" w:color="auto"/>
          </w:divBdr>
        </w:div>
        <w:div w:id="1302344767">
          <w:marLeft w:val="0"/>
          <w:marRight w:val="0"/>
          <w:marTop w:val="0"/>
          <w:marBottom w:val="0"/>
          <w:divBdr>
            <w:top w:val="none" w:sz="0" w:space="0" w:color="auto"/>
            <w:left w:val="none" w:sz="0" w:space="0" w:color="auto"/>
            <w:bottom w:val="none" w:sz="0" w:space="0" w:color="auto"/>
            <w:right w:val="none" w:sz="0" w:space="0" w:color="auto"/>
          </w:divBdr>
        </w:div>
        <w:div w:id="1853374854">
          <w:marLeft w:val="0"/>
          <w:marRight w:val="0"/>
          <w:marTop w:val="0"/>
          <w:marBottom w:val="0"/>
          <w:divBdr>
            <w:top w:val="none" w:sz="0" w:space="0" w:color="auto"/>
            <w:left w:val="none" w:sz="0" w:space="0" w:color="auto"/>
            <w:bottom w:val="none" w:sz="0" w:space="0" w:color="auto"/>
            <w:right w:val="none" w:sz="0" w:space="0" w:color="auto"/>
          </w:divBdr>
        </w:div>
        <w:div w:id="1340766415">
          <w:marLeft w:val="0"/>
          <w:marRight w:val="0"/>
          <w:marTop w:val="0"/>
          <w:marBottom w:val="0"/>
          <w:divBdr>
            <w:top w:val="none" w:sz="0" w:space="0" w:color="auto"/>
            <w:left w:val="none" w:sz="0" w:space="0" w:color="auto"/>
            <w:bottom w:val="none" w:sz="0" w:space="0" w:color="auto"/>
            <w:right w:val="none" w:sz="0" w:space="0" w:color="auto"/>
          </w:divBdr>
        </w:div>
        <w:div w:id="1116221578">
          <w:marLeft w:val="0"/>
          <w:marRight w:val="0"/>
          <w:marTop w:val="0"/>
          <w:marBottom w:val="0"/>
          <w:divBdr>
            <w:top w:val="none" w:sz="0" w:space="0" w:color="auto"/>
            <w:left w:val="none" w:sz="0" w:space="0" w:color="auto"/>
            <w:bottom w:val="none" w:sz="0" w:space="0" w:color="auto"/>
            <w:right w:val="none" w:sz="0" w:space="0" w:color="auto"/>
          </w:divBdr>
        </w:div>
        <w:div w:id="592782065">
          <w:marLeft w:val="0"/>
          <w:marRight w:val="0"/>
          <w:marTop w:val="0"/>
          <w:marBottom w:val="0"/>
          <w:divBdr>
            <w:top w:val="none" w:sz="0" w:space="0" w:color="auto"/>
            <w:left w:val="none" w:sz="0" w:space="0" w:color="auto"/>
            <w:bottom w:val="none" w:sz="0" w:space="0" w:color="auto"/>
            <w:right w:val="none" w:sz="0" w:space="0" w:color="auto"/>
          </w:divBdr>
        </w:div>
        <w:div w:id="2012483200">
          <w:marLeft w:val="0"/>
          <w:marRight w:val="0"/>
          <w:marTop w:val="0"/>
          <w:marBottom w:val="0"/>
          <w:divBdr>
            <w:top w:val="none" w:sz="0" w:space="0" w:color="auto"/>
            <w:left w:val="none" w:sz="0" w:space="0" w:color="auto"/>
            <w:bottom w:val="none" w:sz="0" w:space="0" w:color="auto"/>
            <w:right w:val="none" w:sz="0" w:space="0" w:color="auto"/>
          </w:divBdr>
        </w:div>
        <w:div w:id="1401556559">
          <w:marLeft w:val="0"/>
          <w:marRight w:val="0"/>
          <w:marTop w:val="0"/>
          <w:marBottom w:val="0"/>
          <w:divBdr>
            <w:top w:val="none" w:sz="0" w:space="0" w:color="auto"/>
            <w:left w:val="none" w:sz="0" w:space="0" w:color="auto"/>
            <w:bottom w:val="none" w:sz="0" w:space="0" w:color="auto"/>
            <w:right w:val="none" w:sz="0" w:space="0" w:color="auto"/>
          </w:divBdr>
        </w:div>
        <w:div w:id="1919091758">
          <w:marLeft w:val="0"/>
          <w:marRight w:val="0"/>
          <w:marTop w:val="0"/>
          <w:marBottom w:val="0"/>
          <w:divBdr>
            <w:top w:val="none" w:sz="0" w:space="0" w:color="auto"/>
            <w:left w:val="none" w:sz="0" w:space="0" w:color="auto"/>
            <w:bottom w:val="none" w:sz="0" w:space="0" w:color="auto"/>
            <w:right w:val="none" w:sz="0" w:space="0" w:color="auto"/>
          </w:divBdr>
        </w:div>
        <w:div w:id="1767849092">
          <w:marLeft w:val="0"/>
          <w:marRight w:val="0"/>
          <w:marTop w:val="0"/>
          <w:marBottom w:val="0"/>
          <w:divBdr>
            <w:top w:val="none" w:sz="0" w:space="0" w:color="auto"/>
            <w:left w:val="none" w:sz="0" w:space="0" w:color="auto"/>
            <w:bottom w:val="none" w:sz="0" w:space="0" w:color="auto"/>
            <w:right w:val="none" w:sz="0" w:space="0" w:color="auto"/>
          </w:divBdr>
        </w:div>
        <w:div w:id="713383017">
          <w:marLeft w:val="0"/>
          <w:marRight w:val="0"/>
          <w:marTop w:val="0"/>
          <w:marBottom w:val="0"/>
          <w:divBdr>
            <w:top w:val="none" w:sz="0" w:space="0" w:color="auto"/>
            <w:left w:val="none" w:sz="0" w:space="0" w:color="auto"/>
            <w:bottom w:val="none" w:sz="0" w:space="0" w:color="auto"/>
            <w:right w:val="none" w:sz="0" w:space="0" w:color="auto"/>
          </w:divBdr>
        </w:div>
        <w:div w:id="1152217533">
          <w:marLeft w:val="0"/>
          <w:marRight w:val="0"/>
          <w:marTop w:val="0"/>
          <w:marBottom w:val="0"/>
          <w:divBdr>
            <w:top w:val="none" w:sz="0" w:space="0" w:color="auto"/>
            <w:left w:val="none" w:sz="0" w:space="0" w:color="auto"/>
            <w:bottom w:val="none" w:sz="0" w:space="0" w:color="auto"/>
            <w:right w:val="none" w:sz="0" w:space="0" w:color="auto"/>
          </w:divBdr>
        </w:div>
        <w:div w:id="257714024">
          <w:marLeft w:val="0"/>
          <w:marRight w:val="0"/>
          <w:marTop w:val="0"/>
          <w:marBottom w:val="0"/>
          <w:divBdr>
            <w:top w:val="none" w:sz="0" w:space="0" w:color="auto"/>
            <w:left w:val="none" w:sz="0" w:space="0" w:color="auto"/>
            <w:bottom w:val="none" w:sz="0" w:space="0" w:color="auto"/>
            <w:right w:val="none" w:sz="0" w:space="0" w:color="auto"/>
          </w:divBdr>
        </w:div>
        <w:div w:id="811217440">
          <w:marLeft w:val="0"/>
          <w:marRight w:val="0"/>
          <w:marTop w:val="0"/>
          <w:marBottom w:val="0"/>
          <w:divBdr>
            <w:top w:val="none" w:sz="0" w:space="0" w:color="auto"/>
            <w:left w:val="none" w:sz="0" w:space="0" w:color="auto"/>
            <w:bottom w:val="none" w:sz="0" w:space="0" w:color="auto"/>
            <w:right w:val="none" w:sz="0" w:space="0" w:color="auto"/>
          </w:divBdr>
        </w:div>
        <w:div w:id="2058971758">
          <w:marLeft w:val="0"/>
          <w:marRight w:val="0"/>
          <w:marTop w:val="0"/>
          <w:marBottom w:val="0"/>
          <w:divBdr>
            <w:top w:val="none" w:sz="0" w:space="0" w:color="auto"/>
            <w:left w:val="none" w:sz="0" w:space="0" w:color="auto"/>
            <w:bottom w:val="none" w:sz="0" w:space="0" w:color="auto"/>
            <w:right w:val="none" w:sz="0" w:space="0" w:color="auto"/>
          </w:divBdr>
        </w:div>
        <w:div w:id="911542299">
          <w:marLeft w:val="0"/>
          <w:marRight w:val="0"/>
          <w:marTop w:val="0"/>
          <w:marBottom w:val="0"/>
          <w:divBdr>
            <w:top w:val="none" w:sz="0" w:space="0" w:color="auto"/>
            <w:left w:val="none" w:sz="0" w:space="0" w:color="auto"/>
            <w:bottom w:val="none" w:sz="0" w:space="0" w:color="auto"/>
            <w:right w:val="none" w:sz="0" w:space="0" w:color="auto"/>
          </w:divBdr>
        </w:div>
        <w:div w:id="1897545275">
          <w:marLeft w:val="0"/>
          <w:marRight w:val="0"/>
          <w:marTop w:val="0"/>
          <w:marBottom w:val="0"/>
          <w:divBdr>
            <w:top w:val="none" w:sz="0" w:space="0" w:color="auto"/>
            <w:left w:val="none" w:sz="0" w:space="0" w:color="auto"/>
            <w:bottom w:val="none" w:sz="0" w:space="0" w:color="auto"/>
            <w:right w:val="none" w:sz="0" w:space="0" w:color="auto"/>
          </w:divBdr>
        </w:div>
        <w:div w:id="1733457391">
          <w:marLeft w:val="0"/>
          <w:marRight w:val="0"/>
          <w:marTop w:val="0"/>
          <w:marBottom w:val="0"/>
          <w:divBdr>
            <w:top w:val="none" w:sz="0" w:space="0" w:color="auto"/>
            <w:left w:val="none" w:sz="0" w:space="0" w:color="auto"/>
            <w:bottom w:val="none" w:sz="0" w:space="0" w:color="auto"/>
            <w:right w:val="none" w:sz="0" w:space="0" w:color="auto"/>
          </w:divBdr>
        </w:div>
        <w:div w:id="1776634230">
          <w:marLeft w:val="0"/>
          <w:marRight w:val="0"/>
          <w:marTop w:val="0"/>
          <w:marBottom w:val="0"/>
          <w:divBdr>
            <w:top w:val="none" w:sz="0" w:space="0" w:color="auto"/>
            <w:left w:val="none" w:sz="0" w:space="0" w:color="auto"/>
            <w:bottom w:val="none" w:sz="0" w:space="0" w:color="auto"/>
            <w:right w:val="none" w:sz="0" w:space="0" w:color="auto"/>
          </w:divBdr>
        </w:div>
        <w:div w:id="1174876650">
          <w:marLeft w:val="0"/>
          <w:marRight w:val="0"/>
          <w:marTop w:val="0"/>
          <w:marBottom w:val="0"/>
          <w:divBdr>
            <w:top w:val="none" w:sz="0" w:space="0" w:color="auto"/>
            <w:left w:val="none" w:sz="0" w:space="0" w:color="auto"/>
            <w:bottom w:val="none" w:sz="0" w:space="0" w:color="auto"/>
            <w:right w:val="none" w:sz="0" w:space="0" w:color="auto"/>
          </w:divBdr>
        </w:div>
        <w:div w:id="1760128818">
          <w:marLeft w:val="0"/>
          <w:marRight w:val="0"/>
          <w:marTop w:val="0"/>
          <w:marBottom w:val="0"/>
          <w:divBdr>
            <w:top w:val="none" w:sz="0" w:space="0" w:color="auto"/>
            <w:left w:val="none" w:sz="0" w:space="0" w:color="auto"/>
            <w:bottom w:val="none" w:sz="0" w:space="0" w:color="auto"/>
            <w:right w:val="none" w:sz="0" w:space="0" w:color="auto"/>
          </w:divBdr>
        </w:div>
        <w:div w:id="1812478295">
          <w:marLeft w:val="0"/>
          <w:marRight w:val="0"/>
          <w:marTop w:val="0"/>
          <w:marBottom w:val="0"/>
          <w:divBdr>
            <w:top w:val="none" w:sz="0" w:space="0" w:color="auto"/>
            <w:left w:val="none" w:sz="0" w:space="0" w:color="auto"/>
            <w:bottom w:val="none" w:sz="0" w:space="0" w:color="auto"/>
            <w:right w:val="none" w:sz="0" w:space="0" w:color="auto"/>
          </w:divBdr>
        </w:div>
        <w:div w:id="1489899945">
          <w:marLeft w:val="0"/>
          <w:marRight w:val="0"/>
          <w:marTop w:val="0"/>
          <w:marBottom w:val="0"/>
          <w:divBdr>
            <w:top w:val="none" w:sz="0" w:space="0" w:color="auto"/>
            <w:left w:val="none" w:sz="0" w:space="0" w:color="auto"/>
            <w:bottom w:val="none" w:sz="0" w:space="0" w:color="auto"/>
            <w:right w:val="none" w:sz="0" w:space="0" w:color="auto"/>
          </w:divBdr>
        </w:div>
        <w:div w:id="106706574">
          <w:marLeft w:val="0"/>
          <w:marRight w:val="0"/>
          <w:marTop w:val="0"/>
          <w:marBottom w:val="0"/>
          <w:divBdr>
            <w:top w:val="none" w:sz="0" w:space="0" w:color="auto"/>
            <w:left w:val="none" w:sz="0" w:space="0" w:color="auto"/>
            <w:bottom w:val="none" w:sz="0" w:space="0" w:color="auto"/>
            <w:right w:val="none" w:sz="0" w:space="0" w:color="auto"/>
          </w:divBdr>
        </w:div>
        <w:div w:id="1940720241">
          <w:marLeft w:val="0"/>
          <w:marRight w:val="0"/>
          <w:marTop w:val="0"/>
          <w:marBottom w:val="0"/>
          <w:divBdr>
            <w:top w:val="none" w:sz="0" w:space="0" w:color="auto"/>
            <w:left w:val="none" w:sz="0" w:space="0" w:color="auto"/>
            <w:bottom w:val="none" w:sz="0" w:space="0" w:color="auto"/>
            <w:right w:val="none" w:sz="0" w:space="0" w:color="auto"/>
          </w:divBdr>
        </w:div>
        <w:div w:id="280692965">
          <w:marLeft w:val="0"/>
          <w:marRight w:val="0"/>
          <w:marTop w:val="0"/>
          <w:marBottom w:val="0"/>
          <w:divBdr>
            <w:top w:val="none" w:sz="0" w:space="0" w:color="auto"/>
            <w:left w:val="none" w:sz="0" w:space="0" w:color="auto"/>
            <w:bottom w:val="none" w:sz="0" w:space="0" w:color="auto"/>
            <w:right w:val="none" w:sz="0" w:space="0" w:color="auto"/>
          </w:divBdr>
        </w:div>
        <w:div w:id="1147090709">
          <w:marLeft w:val="0"/>
          <w:marRight w:val="0"/>
          <w:marTop w:val="0"/>
          <w:marBottom w:val="0"/>
          <w:divBdr>
            <w:top w:val="none" w:sz="0" w:space="0" w:color="auto"/>
            <w:left w:val="none" w:sz="0" w:space="0" w:color="auto"/>
            <w:bottom w:val="none" w:sz="0" w:space="0" w:color="auto"/>
            <w:right w:val="none" w:sz="0" w:space="0" w:color="auto"/>
          </w:divBdr>
        </w:div>
        <w:div w:id="1080912043">
          <w:marLeft w:val="0"/>
          <w:marRight w:val="0"/>
          <w:marTop w:val="0"/>
          <w:marBottom w:val="0"/>
          <w:divBdr>
            <w:top w:val="none" w:sz="0" w:space="0" w:color="auto"/>
            <w:left w:val="none" w:sz="0" w:space="0" w:color="auto"/>
            <w:bottom w:val="none" w:sz="0" w:space="0" w:color="auto"/>
            <w:right w:val="none" w:sz="0" w:space="0" w:color="auto"/>
          </w:divBdr>
        </w:div>
        <w:div w:id="380248243">
          <w:marLeft w:val="0"/>
          <w:marRight w:val="0"/>
          <w:marTop w:val="0"/>
          <w:marBottom w:val="0"/>
          <w:divBdr>
            <w:top w:val="none" w:sz="0" w:space="0" w:color="auto"/>
            <w:left w:val="none" w:sz="0" w:space="0" w:color="auto"/>
            <w:bottom w:val="none" w:sz="0" w:space="0" w:color="auto"/>
            <w:right w:val="none" w:sz="0" w:space="0" w:color="auto"/>
          </w:divBdr>
        </w:div>
        <w:div w:id="2075545705">
          <w:marLeft w:val="0"/>
          <w:marRight w:val="0"/>
          <w:marTop w:val="0"/>
          <w:marBottom w:val="0"/>
          <w:divBdr>
            <w:top w:val="none" w:sz="0" w:space="0" w:color="auto"/>
            <w:left w:val="none" w:sz="0" w:space="0" w:color="auto"/>
            <w:bottom w:val="none" w:sz="0" w:space="0" w:color="auto"/>
            <w:right w:val="none" w:sz="0" w:space="0" w:color="auto"/>
          </w:divBdr>
        </w:div>
        <w:div w:id="1958104700">
          <w:marLeft w:val="0"/>
          <w:marRight w:val="0"/>
          <w:marTop w:val="0"/>
          <w:marBottom w:val="0"/>
          <w:divBdr>
            <w:top w:val="none" w:sz="0" w:space="0" w:color="auto"/>
            <w:left w:val="none" w:sz="0" w:space="0" w:color="auto"/>
            <w:bottom w:val="none" w:sz="0" w:space="0" w:color="auto"/>
            <w:right w:val="none" w:sz="0" w:space="0" w:color="auto"/>
          </w:divBdr>
        </w:div>
        <w:div w:id="18941705">
          <w:marLeft w:val="0"/>
          <w:marRight w:val="0"/>
          <w:marTop w:val="0"/>
          <w:marBottom w:val="0"/>
          <w:divBdr>
            <w:top w:val="none" w:sz="0" w:space="0" w:color="auto"/>
            <w:left w:val="none" w:sz="0" w:space="0" w:color="auto"/>
            <w:bottom w:val="none" w:sz="0" w:space="0" w:color="auto"/>
            <w:right w:val="none" w:sz="0" w:space="0" w:color="auto"/>
          </w:divBdr>
        </w:div>
        <w:div w:id="1990789235">
          <w:marLeft w:val="0"/>
          <w:marRight w:val="0"/>
          <w:marTop w:val="0"/>
          <w:marBottom w:val="0"/>
          <w:divBdr>
            <w:top w:val="none" w:sz="0" w:space="0" w:color="auto"/>
            <w:left w:val="none" w:sz="0" w:space="0" w:color="auto"/>
            <w:bottom w:val="none" w:sz="0" w:space="0" w:color="auto"/>
            <w:right w:val="none" w:sz="0" w:space="0" w:color="auto"/>
          </w:divBdr>
        </w:div>
        <w:div w:id="564875040">
          <w:marLeft w:val="0"/>
          <w:marRight w:val="0"/>
          <w:marTop w:val="0"/>
          <w:marBottom w:val="0"/>
          <w:divBdr>
            <w:top w:val="none" w:sz="0" w:space="0" w:color="auto"/>
            <w:left w:val="none" w:sz="0" w:space="0" w:color="auto"/>
            <w:bottom w:val="none" w:sz="0" w:space="0" w:color="auto"/>
            <w:right w:val="none" w:sz="0" w:space="0" w:color="auto"/>
          </w:divBdr>
        </w:div>
        <w:div w:id="517742972">
          <w:marLeft w:val="0"/>
          <w:marRight w:val="0"/>
          <w:marTop w:val="0"/>
          <w:marBottom w:val="0"/>
          <w:divBdr>
            <w:top w:val="none" w:sz="0" w:space="0" w:color="auto"/>
            <w:left w:val="none" w:sz="0" w:space="0" w:color="auto"/>
            <w:bottom w:val="none" w:sz="0" w:space="0" w:color="auto"/>
            <w:right w:val="none" w:sz="0" w:space="0" w:color="auto"/>
          </w:divBdr>
        </w:div>
        <w:div w:id="849560369">
          <w:marLeft w:val="0"/>
          <w:marRight w:val="0"/>
          <w:marTop w:val="0"/>
          <w:marBottom w:val="0"/>
          <w:divBdr>
            <w:top w:val="none" w:sz="0" w:space="0" w:color="auto"/>
            <w:left w:val="none" w:sz="0" w:space="0" w:color="auto"/>
            <w:bottom w:val="none" w:sz="0" w:space="0" w:color="auto"/>
            <w:right w:val="none" w:sz="0" w:space="0" w:color="auto"/>
          </w:divBdr>
        </w:div>
        <w:div w:id="1168210480">
          <w:marLeft w:val="0"/>
          <w:marRight w:val="0"/>
          <w:marTop w:val="0"/>
          <w:marBottom w:val="0"/>
          <w:divBdr>
            <w:top w:val="none" w:sz="0" w:space="0" w:color="auto"/>
            <w:left w:val="none" w:sz="0" w:space="0" w:color="auto"/>
            <w:bottom w:val="none" w:sz="0" w:space="0" w:color="auto"/>
            <w:right w:val="none" w:sz="0" w:space="0" w:color="auto"/>
          </w:divBdr>
        </w:div>
        <w:div w:id="904098285">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conten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F0933F8D-58BC-4165-A17A-9A97C19A5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3710</Words>
  <Characters>21147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Dafydd Ball</cp:lastModifiedBy>
  <cp:revision>3</cp:revision>
  <cp:lastPrinted>2020-02-11T19:20:00Z</cp:lastPrinted>
  <dcterms:created xsi:type="dcterms:W3CDTF">2024-10-07T15:10:00Z</dcterms:created>
  <dcterms:modified xsi:type="dcterms:W3CDTF">2024-10-07T16:33:00Z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