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8AB3F" w14:textId="77777777" w:rsidR="0045647E" w:rsidRDefault="0045647E">
      <w:pPr>
        <w:rPr>
          <w:rFonts w:ascii="Times New Roman" w:hAnsi="Times New Roman"/>
          <w:b/>
          <w:bCs/>
          <w:sz w:val="32"/>
          <w:szCs w:val="32"/>
        </w:rPr>
      </w:pPr>
    </w:p>
    <w:p w14:paraId="798E884B" w14:textId="77777777" w:rsidR="0045647E" w:rsidRDefault="0045647E">
      <w:pPr>
        <w:rPr>
          <w:rFonts w:ascii="Times New Roman" w:hAnsi="Times New Roman"/>
          <w:b/>
          <w:bCs/>
          <w:sz w:val="32"/>
          <w:szCs w:val="32"/>
        </w:rPr>
      </w:pPr>
    </w:p>
    <w:p w14:paraId="6C0FA17A" w14:textId="77777777" w:rsidR="0045647E" w:rsidRDefault="00B82765">
      <w:pPr>
        <w:jc w:val="center"/>
        <w:rPr>
          <w:rFonts w:ascii="Times New Roman" w:hAnsi="Times New Roman"/>
          <w:b/>
          <w:bCs/>
          <w:sz w:val="32"/>
          <w:szCs w:val="32"/>
        </w:rPr>
      </w:pPr>
      <w:r>
        <w:rPr>
          <w:rFonts w:ascii="Times New Roman" w:hAnsi="Times New Roman"/>
          <w:b/>
          <w:bCs/>
          <w:sz w:val="32"/>
          <w:szCs w:val="32"/>
        </w:rPr>
        <w:t>A Literature Review of the Use of Sport-Specific Netball Trainers Versus Regular Minimalist Trainers in Reducing the Risk of Injury.</w:t>
      </w:r>
    </w:p>
    <w:p w14:paraId="2EB2A574" w14:textId="77777777" w:rsidR="0045647E" w:rsidRDefault="0045647E">
      <w:pPr>
        <w:jc w:val="center"/>
        <w:rPr>
          <w:rFonts w:ascii="Times New Roman" w:hAnsi="Times New Roman"/>
          <w:b/>
          <w:bCs/>
          <w:sz w:val="32"/>
          <w:szCs w:val="32"/>
        </w:rPr>
      </w:pPr>
    </w:p>
    <w:p w14:paraId="16822EC8" w14:textId="77777777" w:rsidR="0045647E" w:rsidRDefault="0045647E">
      <w:pPr>
        <w:rPr>
          <w:rFonts w:ascii="Times New Roman" w:hAnsi="Times New Roman"/>
          <w:b/>
          <w:bCs/>
          <w:sz w:val="32"/>
          <w:szCs w:val="32"/>
        </w:rPr>
      </w:pPr>
    </w:p>
    <w:p w14:paraId="1B4967C1" w14:textId="77777777" w:rsidR="0045647E" w:rsidRDefault="0045647E">
      <w:pPr>
        <w:jc w:val="center"/>
        <w:rPr>
          <w:rFonts w:ascii="Times New Roman" w:hAnsi="Times New Roman"/>
          <w:b/>
          <w:bCs/>
          <w:sz w:val="32"/>
          <w:szCs w:val="32"/>
        </w:rPr>
      </w:pPr>
    </w:p>
    <w:p w14:paraId="6A1E1A52" w14:textId="77777777" w:rsidR="0045647E" w:rsidRDefault="00B82765">
      <w:pPr>
        <w:jc w:val="center"/>
        <w:rPr>
          <w:rFonts w:ascii="Times New Roman" w:hAnsi="Times New Roman"/>
          <w:b/>
          <w:bCs/>
          <w:sz w:val="32"/>
          <w:szCs w:val="32"/>
        </w:rPr>
      </w:pPr>
      <w:r>
        <w:rPr>
          <w:rFonts w:ascii="Times New Roman" w:hAnsi="Times New Roman"/>
          <w:b/>
          <w:bCs/>
          <w:sz w:val="32"/>
          <w:szCs w:val="32"/>
        </w:rPr>
        <w:t xml:space="preserve">1803025  </w:t>
      </w:r>
    </w:p>
    <w:p w14:paraId="1FE4B95F" w14:textId="77777777" w:rsidR="0045647E" w:rsidRDefault="00B82765">
      <w:pPr>
        <w:jc w:val="center"/>
        <w:rPr>
          <w:rFonts w:ascii="Times New Roman" w:hAnsi="Times New Roman"/>
          <w:b/>
          <w:bCs/>
          <w:sz w:val="32"/>
          <w:szCs w:val="32"/>
        </w:rPr>
      </w:pPr>
      <w:r>
        <w:rPr>
          <w:rFonts w:ascii="Times New Roman" w:hAnsi="Times New Roman"/>
          <w:b/>
          <w:bCs/>
          <w:sz w:val="32"/>
          <w:szCs w:val="32"/>
        </w:rPr>
        <w:t>Taya-George Gibbons</w:t>
      </w:r>
    </w:p>
    <w:p w14:paraId="24A83579" w14:textId="77777777" w:rsidR="0045647E" w:rsidRDefault="00B82765">
      <w:pPr>
        <w:jc w:val="center"/>
        <w:rPr>
          <w:rFonts w:ascii="Times New Roman" w:hAnsi="Times New Roman"/>
          <w:b/>
          <w:bCs/>
          <w:sz w:val="32"/>
          <w:szCs w:val="32"/>
        </w:rPr>
      </w:pPr>
      <w:r>
        <w:rPr>
          <w:rFonts w:ascii="Times New Roman" w:hAnsi="Times New Roman"/>
          <w:b/>
          <w:bCs/>
          <w:sz w:val="32"/>
          <w:szCs w:val="32"/>
        </w:rPr>
        <w:t xml:space="preserve">Sport and Exercise Therapy </w:t>
      </w:r>
    </w:p>
    <w:p w14:paraId="64183321" w14:textId="77777777" w:rsidR="0045647E" w:rsidRDefault="00B82765">
      <w:pPr>
        <w:jc w:val="center"/>
        <w:rPr>
          <w:rFonts w:ascii="Times New Roman" w:hAnsi="Times New Roman"/>
          <w:b/>
          <w:bCs/>
          <w:sz w:val="32"/>
          <w:szCs w:val="32"/>
        </w:rPr>
      </w:pPr>
      <w:r>
        <w:rPr>
          <w:rFonts w:ascii="Times New Roman" w:hAnsi="Times New Roman"/>
          <w:b/>
          <w:bCs/>
          <w:sz w:val="32"/>
          <w:szCs w:val="32"/>
        </w:rPr>
        <w:t xml:space="preserve">School of Health and Outdoor </w:t>
      </w:r>
      <w:r>
        <w:rPr>
          <w:rFonts w:ascii="Times New Roman" w:hAnsi="Times New Roman"/>
          <w:b/>
          <w:bCs/>
          <w:sz w:val="32"/>
          <w:szCs w:val="32"/>
        </w:rPr>
        <w:t>Education</w:t>
      </w:r>
    </w:p>
    <w:p w14:paraId="0F6E6078" w14:textId="77777777" w:rsidR="0045647E" w:rsidRDefault="00B82765">
      <w:pPr>
        <w:jc w:val="center"/>
        <w:rPr>
          <w:rFonts w:ascii="Times New Roman" w:hAnsi="Times New Roman"/>
          <w:b/>
          <w:bCs/>
          <w:sz w:val="32"/>
          <w:szCs w:val="32"/>
        </w:rPr>
      </w:pPr>
      <w:r>
        <w:rPr>
          <w:rFonts w:ascii="Times New Roman" w:hAnsi="Times New Roman"/>
          <w:b/>
          <w:bCs/>
          <w:sz w:val="32"/>
          <w:szCs w:val="32"/>
        </w:rPr>
        <w:t>Institute of Management and Health</w:t>
      </w:r>
    </w:p>
    <w:p w14:paraId="18778927" w14:textId="77777777" w:rsidR="0045647E" w:rsidRDefault="0045647E">
      <w:pPr>
        <w:jc w:val="center"/>
        <w:rPr>
          <w:rFonts w:ascii="Times New Roman" w:hAnsi="Times New Roman"/>
          <w:b/>
          <w:bCs/>
          <w:sz w:val="32"/>
          <w:szCs w:val="32"/>
        </w:rPr>
      </w:pPr>
    </w:p>
    <w:p w14:paraId="3CD5616E" w14:textId="77777777" w:rsidR="0045647E" w:rsidRDefault="00B82765">
      <w:pPr>
        <w:jc w:val="center"/>
        <w:rPr>
          <w:rFonts w:ascii="Times New Roman" w:hAnsi="Times New Roman"/>
          <w:b/>
          <w:bCs/>
          <w:sz w:val="32"/>
          <w:szCs w:val="32"/>
        </w:rPr>
      </w:pPr>
      <w:r>
        <w:rPr>
          <w:rFonts w:ascii="Times New Roman" w:hAnsi="Times New Roman"/>
          <w:b/>
          <w:bCs/>
          <w:sz w:val="32"/>
          <w:szCs w:val="32"/>
        </w:rPr>
        <w:t>Word Count: 7198</w:t>
      </w:r>
    </w:p>
    <w:p w14:paraId="61077EA4" w14:textId="77777777" w:rsidR="0045647E" w:rsidRDefault="0045647E">
      <w:pPr>
        <w:jc w:val="center"/>
        <w:rPr>
          <w:rFonts w:ascii="Times New Roman" w:hAnsi="Times New Roman"/>
          <w:b/>
          <w:bCs/>
          <w:sz w:val="32"/>
          <w:szCs w:val="32"/>
        </w:rPr>
      </w:pPr>
    </w:p>
    <w:p w14:paraId="779256EE" w14:textId="77777777" w:rsidR="0045647E" w:rsidRDefault="00B82765">
      <w:pPr>
        <w:jc w:val="center"/>
      </w:pPr>
      <w:r>
        <w:rPr>
          <w:noProof/>
        </w:rPr>
        <w:drawing>
          <wp:inline distT="0" distB="0" distL="0" distR="0" wp14:anchorId="528FD4A5" wp14:editId="72DD8CFD">
            <wp:extent cx="3333746" cy="3295653"/>
            <wp:effectExtent l="0" t="0" r="4" b="0"/>
            <wp:docPr id="381196944" name="Picture 70792057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333746" cy="3295653"/>
                    </a:xfrm>
                    <a:prstGeom prst="rect">
                      <a:avLst/>
                    </a:prstGeom>
                    <a:noFill/>
                    <a:ln>
                      <a:noFill/>
                      <a:prstDash/>
                    </a:ln>
                  </pic:spPr>
                </pic:pic>
              </a:graphicData>
            </a:graphic>
          </wp:inline>
        </w:drawing>
      </w:r>
    </w:p>
    <w:p w14:paraId="441DE43E" w14:textId="77777777" w:rsidR="0045647E" w:rsidRDefault="0045647E">
      <w:pPr>
        <w:jc w:val="center"/>
        <w:rPr>
          <w:rFonts w:ascii="Times New Roman" w:hAnsi="Times New Roman"/>
          <w:b/>
          <w:bCs/>
          <w:sz w:val="32"/>
          <w:szCs w:val="32"/>
        </w:rPr>
      </w:pPr>
    </w:p>
    <w:p w14:paraId="49C9FB0F" w14:textId="77777777" w:rsidR="0045647E" w:rsidRDefault="00B82765">
      <w:pPr>
        <w:rPr>
          <w:rFonts w:ascii="Times New Roman" w:hAnsi="Times New Roman"/>
          <w:b/>
          <w:bCs/>
          <w:sz w:val="28"/>
          <w:szCs w:val="28"/>
        </w:rPr>
      </w:pPr>
      <w:r>
        <w:rPr>
          <w:rFonts w:ascii="Times New Roman" w:hAnsi="Times New Roman"/>
          <w:b/>
          <w:bCs/>
          <w:sz w:val="28"/>
          <w:szCs w:val="28"/>
        </w:rPr>
        <w:t>Declaration</w:t>
      </w:r>
    </w:p>
    <w:p w14:paraId="64B154CD" w14:textId="77777777" w:rsidR="0045647E" w:rsidRDefault="0045647E">
      <w:pPr>
        <w:rPr>
          <w:rFonts w:ascii="Times New Roman" w:hAnsi="Times New Roman"/>
          <w:sz w:val="24"/>
          <w:szCs w:val="24"/>
        </w:rPr>
      </w:pPr>
    </w:p>
    <w:p w14:paraId="020F1AF6" w14:textId="77777777" w:rsidR="0045647E" w:rsidRDefault="0045647E">
      <w:pPr>
        <w:rPr>
          <w:rFonts w:ascii="Times New Roman" w:hAnsi="Times New Roman"/>
          <w:sz w:val="24"/>
          <w:szCs w:val="24"/>
        </w:rPr>
      </w:pPr>
    </w:p>
    <w:p w14:paraId="188A04B8" w14:textId="77777777" w:rsidR="0045647E" w:rsidRDefault="0045647E">
      <w:pPr>
        <w:rPr>
          <w:rFonts w:ascii="Times New Roman" w:hAnsi="Times New Roman"/>
          <w:sz w:val="24"/>
          <w:szCs w:val="24"/>
        </w:rPr>
      </w:pPr>
    </w:p>
    <w:p w14:paraId="01E3C6EA" w14:textId="77777777" w:rsidR="0045647E" w:rsidRDefault="00B82765">
      <w:r>
        <w:rPr>
          <w:noProof/>
        </w:rPr>
        <w:drawing>
          <wp:inline distT="0" distB="0" distL="0" distR="0" wp14:anchorId="3876B7F4" wp14:editId="3D7BD0CD">
            <wp:extent cx="5556936" cy="6105521"/>
            <wp:effectExtent l="0" t="0" r="5664" b="0"/>
            <wp:docPr id="1361578216" name="Picture 16535178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556936" cy="6105521"/>
                    </a:xfrm>
                    <a:prstGeom prst="rect">
                      <a:avLst/>
                    </a:prstGeom>
                    <a:noFill/>
                    <a:ln>
                      <a:noFill/>
                      <a:prstDash/>
                    </a:ln>
                  </pic:spPr>
                </pic:pic>
              </a:graphicData>
            </a:graphic>
          </wp:inline>
        </w:drawing>
      </w:r>
    </w:p>
    <w:p w14:paraId="1A52AEBD" w14:textId="77777777" w:rsidR="0045647E" w:rsidRDefault="0045647E">
      <w:pPr>
        <w:rPr>
          <w:rFonts w:ascii="Times New Roman" w:eastAsia="Times New Roman" w:hAnsi="Times New Roman"/>
          <w:sz w:val="24"/>
          <w:szCs w:val="24"/>
        </w:rPr>
      </w:pPr>
    </w:p>
    <w:p w14:paraId="7106572F" w14:textId="77777777" w:rsidR="0045647E" w:rsidRDefault="00B82765">
      <w:pPr>
        <w:rPr>
          <w:rFonts w:ascii="Times New Roman" w:eastAsia="Times New Roman" w:hAnsi="Times New Roman"/>
          <w:sz w:val="24"/>
          <w:szCs w:val="24"/>
        </w:rPr>
      </w:pPr>
      <w:r>
        <w:rPr>
          <w:rFonts w:ascii="Times New Roman" w:eastAsia="Times New Roman" w:hAnsi="Times New Roman"/>
          <w:sz w:val="24"/>
          <w:szCs w:val="24"/>
        </w:rPr>
        <w:t xml:space="preserve">I confirm that I have not used any AI tools in the research and creation of this assignment. I confirm that I have not presented any AI generated materials as my own </w:t>
      </w:r>
      <w:r>
        <w:rPr>
          <w:rFonts w:ascii="Times New Roman" w:eastAsia="Times New Roman" w:hAnsi="Times New Roman"/>
          <w:sz w:val="24"/>
          <w:szCs w:val="24"/>
        </w:rPr>
        <w:t>work. I confirm I have copies of my drafts, notes, and other resources I used, which I may be asked to provide in evidence.</w:t>
      </w:r>
    </w:p>
    <w:p w14:paraId="1B4BA4B5" w14:textId="77777777" w:rsidR="0045647E" w:rsidRDefault="0045647E"/>
    <w:p w14:paraId="3FFA6655" w14:textId="77777777" w:rsidR="0045647E" w:rsidRDefault="0045647E"/>
    <w:p w14:paraId="043495A9" w14:textId="77777777" w:rsidR="0045647E" w:rsidRDefault="0045647E"/>
    <w:p w14:paraId="705E3282" w14:textId="77777777" w:rsidR="0045647E" w:rsidRDefault="0045647E"/>
    <w:p w14:paraId="68C49551" w14:textId="77777777" w:rsidR="0045647E" w:rsidRDefault="00B82765">
      <w:pPr>
        <w:rPr>
          <w:rFonts w:ascii="Times New Roman" w:hAnsi="Times New Roman"/>
          <w:b/>
          <w:bCs/>
          <w:sz w:val="28"/>
          <w:szCs w:val="28"/>
        </w:rPr>
      </w:pPr>
      <w:r>
        <w:rPr>
          <w:rFonts w:ascii="Times New Roman" w:hAnsi="Times New Roman"/>
          <w:b/>
          <w:bCs/>
          <w:sz w:val="28"/>
          <w:szCs w:val="28"/>
        </w:rPr>
        <w:t>Contents Page</w:t>
      </w:r>
    </w:p>
    <w:p w14:paraId="58A13A70" w14:textId="77777777" w:rsidR="0045647E" w:rsidRDefault="0045647E">
      <w:pPr>
        <w:rPr>
          <w:rFonts w:ascii="Times New Roman" w:hAnsi="Times New Roman"/>
          <w:b/>
          <w:bCs/>
          <w:sz w:val="28"/>
          <w:szCs w:val="28"/>
        </w:rPr>
      </w:pPr>
    </w:p>
    <w:p w14:paraId="3C4BB7C0" w14:textId="77777777" w:rsidR="0045647E" w:rsidRDefault="00B82765">
      <w:pPr>
        <w:rPr>
          <w:rFonts w:ascii="Times New Roman" w:hAnsi="Times New Roman"/>
          <w:sz w:val="28"/>
          <w:szCs w:val="28"/>
        </w:rPr>
      </w:pPr>
      <w:r>
        <w:rPr>
          <w:rFonts w:ascii="Times New Roman" w:hAnsi="Times New Roman"/>
          <w:sz w:val="28"/>
          <w:szCs w:val="28"/>
        </w:rPr>
        <w:t>Abstract - Page 4</w:t>
      </w:r>
    </w:p>
    <w:p w14:paraId="3FD50B27" w14:textId="77777777" w:rsidR="0045647E" w:rsidRDefault="00B82765">
      <w:pPr>
        <w:rPr>
          <w:rFonts w:ascii="Times New Roman" w:hAnsi="Times New Roman"/>
          <w:sz w:val="28"/>
          <w:szCs w:val="28"/>
        </w:rPr>
      </w:pPr>
      <w:r>
        <w:rPr>
          <w:rFonts w:ascii="Times New Roman" w:hAnsi="Times New Roman"/>
          <w:sz w:val="28"/>
          <w:szCs w:val="28"/>
        </w:rPr>
        <w:t>Introduction – Pages 5-9</w:t>
      </w:r>
    </w:p>
    <w:p w14:paraId="6B19BF2B" w14:textId="77777777" w:rsidR="0045647E" w:rsidRDefault="00B82765">
      <w:pPr>
        <w:rPr>
          <w:rFonts w:ascii="Times New Roman" w:hAnsi="Times New Roman"/>
          <w:sz w:val="28"/>
          <w:szCs w:val="28"/>
        </w:rPr>
      </w:pPr>
      <w:r>
        <w:rPr>
          <w:rFonts w:ascii="Times New Roman" w:hAnsi="Times New Roman"/>
          <w:sz w:val="28"/>
          <w:szCs w:val="28"/>
        </w:rPr>
        <w:t>Literature Review – Pages 10-12</w:t>
      </w:r>
    </w:p>
    <w:p w14:paraId="55C7B2F4" w14:textId="77777777" w:rsidR="0045647E" w:rsidRDefault="00B82765">
      <w:pPr>
        <w:rPr>
          <w:rFonts w:ascii="Times New Roman" w:hAnsi="Times New Roman"/>
          <w:sz w:val="28"/>
          <w:szCs w:val="28"/>
        </w:rPr>
      </w:pPr>
      <w:r>
        <w:rPr>
          <w:rFonts w:ascii="Times New Roman" w:hAnsi="Times New Roman"/>
          <w:sz w:val="28"/>
          <w:szCs w:val="28"/>
        </w:rPr>
        <w:t>Method – Pages 13-16</w:t>
      </w:r>
    </w:p>
    <w:p w14:paraId="69292EDA" w14:textId="77777777" w:rsidR="0045647E" w:rsidRDefault="00B82765">
      <w:pPr>
        <w:rPr>
          <w:rFonts w:ascii="Times New Roman" w:hAnsi="Times New Roman"/>
          <w:sz w:val="28"/>
          <w:szCs w:val="28"/>
        </w:rPr>
      </w:pPr>
      <w:r>
        <w:rPr>
          <w:rFonts w:ascii="Times New Roman" w:hAnsi="Times New Roman"/>
          <w:sz w:val="28"/>
          <w:szCs w:val="28"/>
        </w:rPr>
        <w:t xml:space="preserve">Results – </w:t>
      </w:r>
      <w:r>
        <w:rPr>
          <w:rFonts w:ascii="Times New Roman" w:hAnsi="Times New Roman"/>
          <w:sz w:val="28"/>
          <w:szCs w:val="28"/>
        </w:rPr>
        <w:t>Pages 17-22</w:t>
      </w:r>
    </w:p>
    <w:p w14:paraId="6BF756D5" w14:textId="77777777" w:rsidR="0045647E" w:rsidRDefault="00B82765">
      <w:pPr>
        <w:rPr>
          <w:rFonts w:ascii="Times New Roman" w:hAnsi="Times New Roman"/>
          <w:sz w:val="28"/>
          <w:szCs w:val="28"/>
        </w:rPr>
      </w:pPr>
      <w:r>
        <w:rPr>
          <w:rFonts w:ascii="Times New Roman" w:hAnsi="Times New Roman"/>
          <w:sz w:val="28"/>
          <w:szCs w:val="28"/>
        </w:rPr>
        <w:t>Discussion – Pages 23-27</w:t>
      </w:r>
    </w:p>
    <w:p w14:paraId="0ACB09F7" w14:textId="77777777" w:rsidR="0045647E" w:rsidRDefault="00B82765">
      <w:pPr>
        <w:rPr>
          <w:rFonts w:ascii="Times New Roman" w:hAnsi="Times New Roman"/>
          <w:sz w:val="28"/>
          <w:szCs w:val="28"/>
        </w:rPr>
      </w:pPr>
      <w:r>
        <w:rPr>
          <w:rFonts w:ascii="Times New Roman" w:hAnsi="Times New Roman"/>
          <w:sz w:val="28"/>
          <w:szCs w:val="28"/>
        </w:rPr>
        <w:t>Conclusion – Pages 28-29</w:t>
      </w:r>
    </w:p>
    <w:p w14:paraId="2A4A0174" w14:textId="77777777" w:rsidR="0045647E" w:rsidRDefault="00B82765">
      <w:pPr>
        <w:rPr>
          <w:rFonts w:ascii="Times New Roman" w:hAnsi="Times New Roman"/>
          <w:sz w:val="28"/>
          <w:szCs w:val="28"/>
        </w:rPr>
      </w:pPr>
      <w:r>
        <w:rPr>
          <w:rFonts w:ascii="Times New Roman" w:hAnsi="Times New Roman"/>
          <w:sz w:val="28"/>
          <w:szCs w:val="28"/>
        </w:rPr>
        <w:t>Summary – Page 30</w:t>
      </w:r>
    </w:p>
    <w:p w14:paraId="742685DF" w14:textId="77777777" w:rsidR="0045647E" w:rsidRDefault="00B82765">
      <w:pPr>
        <w:rPr>
          <w:rFonts w:ascii="Times New Roman" w:hAnsi="Times New Roman"/>
          <w:sz w:val="28"/>
          <w:szCs w:val="28"/>
        </w:rPr>
      </w:pPr>
      <w:r>
        <w:rPr>
          <w:rFonts w:ascii="Times New Roman" w:hAnsi="Times New Roman"/>
          <w:sz w:val="28"/>
          <w:szCs w:val="28"/>
        </w:rPr>
        <w:t>References – Pages 31-33</w:t>
      </w:r>
    </w:p>
    <w:p w14:paraId="04EAA7D6" w14:textId="77777777" w:rsidR="0045647E" w:rsidRDefault="00B82765">
      <w:pPr>
        <w:rPr>
          <w:rFonts w:ascii="Times New Roman" w:hAnsi="Times New Roman"/>
          <w:sz w:val="28"/>
          <w:szCs w:val="28"/>
        </w:rPr>
      </w:pPr>
      <w:r>
        <w:rPr>
          <w:rFonts w:ascii="Times New Roman" w:hAnsi="Times New Roman"/>
          <w:sz w:val="28"/>
          <w:szCs w:val="28"/>
        </w:rPr>
        <w:t>Appendices – Page 34</w:t>
      </w:r>
    </w:p>
    <w:p w14:paraId="39357EE8" w14:textId="77777777" w:rsidR="0045647E" w:rsidRDefault="0045647E">
      <w:pPr>
        <w:rPr>
          <w:rFonts w:ascii="Times New Roman" w:hAnsi="Times New Roman"/>
          <w:b/>
          <w:bCs/>
          <w:sz w:val="28"/>
          <w:szCs w:val="28"/>
        </w:rPr>
      </w:pPr>
    </w:p>
    <w:p w14:paraId="54524CAB" w14:textId="77777777" w:rsidR="0045647E" w:rsidRDefault="0045647E">
      <w:pPr>
        <w:rPr>
          <w:rFonts w:ascii="Times New Roman" w:hAnsi="Times New Roman"/>
          <w:b/>
          <w:bCs/>
          <w:sz w:val="28"/>
          <w:szCs w:val="28"/>
        </w:rPr>
      </w:pPr>
    </w:p>
    <w:p w14:paraId="74541369" w14:textId="77777777" w:rsidR="0045647E" w:rsidRDefault="0045647E">
      <w:pPr>
        <w:rPr>
          <w:rFonts w:ascii="Times New Roman" w:hAnsi="Times New Roman"/>
          <w:b/>
          <w:bCs/>
          <w:sz w:val="28"/>
          <w:szCs w:val="28"/>
        </w:rPr>
      </w:pPr>
    </w:p>
    <w:p w14:paraId="5879946F" w14:textId="77777777" w:rsidR="0045647E" w:rsidRDefault="0045647E">
      <w:pPr>
        <w:rPr>
          <w:rFonts w:ascii="Times New Roman" w:hAnsi="Times New Roman"/>
          <w:b/>
          <w:bCs/>
          <w:sz w:val="28"/>
          <w:szCs w:val="28"/>
        </w:rPr>
      </w:pPr>
    </w:p>
    <w:p w14:paraId="4B4058BD" w14:textId="77777777" w:rsidR="0045647E" w:rsidRDefault="0045647E">
      <w:pPr>
        <w:rPr>
          <w:rFonts w:ascii="Times New Roman" w:hAnsi="Times New Roman"/>
          <w:b/>
          <w:bCs/>
          <w:sz w:val="28"/>
          <w:szCs w:val="28"/>
        </w:rPr>
      </w:pPr>
    </w:p>
    <w:p w14:paraId="7E993282" w14:textId="77777777" w:rsidR="0045647E" w:rsidRDefault="0045647E">
      <w:pPr>
        <w:rPr>
          <w:rFonts w:ascii="Times New Roman" w:hAnsi="Times New Roman"/>
          <w:b/>
          <w:bCs/>
          <w:sz w:val="28"/>
          <w:szCs w:val="28"/>
        </w:rPr>
      </w:pPr>
    </w:p>
    <w:p w14:paraId="56339BFD" w14:textId="77777777" w:rsidR="0045647E" w:rsidRDefault="0045647E">
      <w:pPr>
        <w:rPr>
          <w:rFonts w:ascii="Times New Roman" w:hAnsi="Times New Roman"/>
          <w:b/>
          <w:bCs/>
          <w:sz w:val="28"/>
          <w:szCs w:val="28"/>
        </w:rPr>
      </w:pPr>
    </w:p>
    <w:p w14:paraId="14F40F01" w14:textId="77777777" w:rsidR="0045647E" w:rsidRDefault="0045647E">
      <w:pPr>
        <w:rPr>
          <w:rFonts w:ascii="Times New Roman" w:hAnsi="Times New Roman"/>
          <w:b/>
          <w:bCs/>
          <w:sz w:val="28"/>
          <w:szCs w:val="28"/>
        </w:rPr>
      </w:pPr>
    </w:p>
    <w:p w14:paraId="71F067E3" w14:textId="77777777" w:rsidR="0045647E" w:rsidRDefault="0045647E">
      <w:pPr>
        <w:rPr>
          <w:rFonts w:ascii="Times New Roman" w:hAnsi="Times New Roman"/>
          <w:b/>
          <w:bCs/>
          <w:sz w:val="28"/>
          <w:szCs w:val="28"/>
        </w:rPr>
      </w:pPr>
    </w:p>
    <w:p w14:paraId="2ECE5718" w14:textId="77777777" w:rsidR="0045647E" w:rsidRDefault="0045647E">
      <w:pPr>
        <w:rPr>
          <w:rFonts w:ascii="Times New Roman" w:hAnsi="Times New Roman"/>
          <w:b/>
          <w:bCs/>
          <w:sz w:val="28"/>
          <w:szCs w:val="28"/>
        </w:rPr>
      </w:pPr>
    </w:p>
    <w:p w14:paraId="3CEFEF4A" w14:textId="77777777" w:rsidR="0045647E" w:rsidRDefault="0045647E">
      <w:pPr>
        <w:rPr>
          <w:rFonts w:ascii="Times New Roman" w:hAnsi="Times New Roman"/>
          <w:b/>
          <w:bCs/>
          <w:sz w:val="28"/>
          <w:szCs w:val="28"/>
        </w:rPr>
      </w:pPr>
    </w:p>
    <w:p w14:paraId="5BBBACDE" w14:textId="77777777" w:rsidR="0045647E" w:rsidRDefault="0045647E">
      <w:pPr>
        <w:rPr>
          <w:rFonts w:ascii="Times New Roman" w:hAnsi="Times New Roman"/>
          <w:b/>
          <w:bCs/>
          <w:sz w:val="28"/>
          <w:szCs w:val="28"/>
        </w:rPr>
      </w:pPr>
    </w:p>
    <w:p w14:paraId="49E3A953" w14:textId="77777777" w:rsidR="0045647E" w:rsidRDefault="00B82765">
      <w:pPr>
        <w:rPr>
          <w:rFonts w:ascii="Times New Roman" w:hAnsi="Times New Roman"/>
          <w:b/>
          <w:bCs/>
          <w:sz w:val="28"/>
          <w:szCs w:val="28"/>
        </w:rPr>
      </w:pPr>
      <w:r>
        <w:rPr>
          <w:rFonts w:ascii="Times New Roman" w:hAnsi="Times New Roman"/>
          <w:b/>
          <w:bCs/>
          <w:sz w:val="28"/>
          <w:szCs w:val="28"/>
        </w:rPr>
        <w:lastRenderedPageBreak/>
        <w:t>Abstract</w:t>
      </w:r>
    </w:p>
    <w:p w14:paraId="3DE3A57A" w14:textId="77777777" w:rsidR="0045647E" w:rsidRDefault="0045647E">
      <w:pPr>
        <w:rPr>
          <w:rFonts w:ascii="Times New Roman" w:hAnsi="Times New Roman"/>
          <w:b/>
          <w:bCs/>
          <w:sz w:val="28"/>
          <w:szCs w:val="28"/>
        </w:rPr>
      </w:pPr>
    </w:p>
    <w:p w14:paraId="6150085E" w14:textId="77777777" w:rsidR="0045647E" w:rsidRDefault="00B82765">
      <w:pPr>
        <w:spacing w:line="360" w:lineRule="auto"/>
        <w:rPr>
          <w:rFonts w:ascii="Times New Roman" w:hAnsi="Times New Roman"/>
          <w:sz w:val="24"/>
          <w:szCs w:val="24"/>
        </w:rPr>
      </w:pPr>
      <w:r>
        <w:rPr>
          <w:rFonts w:ascii="Times New Roman" w:hAnsi="Times New Roman"/>
          <w:sz w:val="24"/>
          <w:szCs w:val="24"/>
        </w:rPr>
        <w:t xml:space="preserve">Netball is a sport with a large participation base with over 20 million players worldwide and </w:t>
      </w:r>
      <w:r>
        <w:rPr>
          <w:rFonts w:ascii="Times New Roman" w:hAnsi="Times New Roman"/>
          <w:sz w:val="24"/>
          <w:szCs w:val="24"/>
        </w:rPr>
        <w:t>increasing high risk of injuries recorded within the sport. This literature review aims to identify and review existing literature relating to sport specific and minimalist footwear and injury prevalence in netball, to inform future recommendations for research.</w:t>
      </w:r>
    </w:p>
    <w:p w14:paraId="565DF030"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A literature search was conducted using electronic databases/search engines: Science Direct, Google Scholar, and Research Gate to identify research fitting inclusion criteria of the study. Relevant studies were identified until March 2024 with no proposed historical date for collection of research.</w:t>
      </w:r>
    </w:p>
    <w:p w14:paraId="6CD44CCF"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Studies were included that fit the inclusion criteria outlined in the method. Kinematic testing, questionnaire and observational based studies were identified within research that produced literature regarding the research topic. </w:t>
      </w:r>
    </w:p>
    <w:p w14:paraId="27938634"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A vast gap in research was identified and to establish an accurate injury evidence base in netball, future research should prioritise reliable, relevant surveillance systems (kinematic testing, video analysis) to understand the complex relationship between injury prevalence in the sport and appropriate selection and recommendation of netball-specific footwear versus regular minimalist footwear. </w:t>
      </w:r>
    </w:p>
    <w:p w14:paraId="61904D09" w14:textId="77777777" w:rsidR="0045647E" w:rsidRDefault="0045647E">
      <w:pPr>
        <w:spacing w:line="360" w:lineRule="auto"/>
        <w:rPr>
          <w:rFonts w:ascii="Times New Roman" w:hAnsi="Times New Roman"/>
          <w:sz w:val="24"/>
          <w:szCs w:val="24"/>
        </w:rPr>
      </w:pPr>
    </w:p>
    <w:p w14:paraId="77E82B6E" w14:textId="77777777" w:rsidR="0045647E" w:rsidRDefault="0045647E">
      <w:pPr>
        <w:rPr>
          <w:rFonts w:ascii="Times New Roman" w:hAnsi="Times New Roman"/>
          <w:sz w:val="24"/>
          <w:szCs w:val="24"/>
        </w:rPr>
      </w:pPr>
    </w:p>
    <w:p w14:paraId="20D72103" w14:textId="77777777" w:rsidR="0045647E" w:rsidRDefault="0045647E">
      <w:pPr>
        <w:rPr>
          <w:rFonts w:ascii="Times New Roman" w:hAnsi="Times New Roman"/>
          <w:sz w:val="24"/>
          <w:szCs w:val="24"/>
        </w:rPr>
      </w:pPr>
    </w:p>
    <w:p w14:paraId="781A21EA" w14:textId="77777777" w:rsidR="0045647E" w:rsidRDefault="0045647E">
      <w:pPr>
        <w:rPr>
          <w:rFonts w:ascii="Times New Roman" w:hAnsi="Times New Roman"/>
          <w:sz w:val="24"/>
          <w:szCs w:val="24"/>
        </w:rPr>
      </w:pPr>
    </w:p>
    <w:p w14:paraId="1D940632" w14:textId="77777777" w:rsidR="0045647E" w:rsidRDefault="0045647E">
      <w:pPr>
        <w:rPr>
          <w:rFonts w:ascii="Times New Roman" w:hAnsi="Times New Roman"/>
          <w:sz w:val="24"/>
          <w:szCs w:val="24"/>
        </w:rPr>
      </w:pPr>
    </w:p>
    <w:p w14:paraId="52BE6D20" w14:textId="77777777" w:rsidR="0045647E" w:rsidRDefault="0045647E">
      <w:pPr>
        <w:rPr>
          <w:rFonts w:ascii="Times New Roman" w:hAnsi="Times New Roman"/>
          <w:sz w:val="24"/>
          <w:szCs w:val="24"/>
        </w:rPr>
      </w:pPr>
    </w:p>
    <w:p w14:paraId="6E6D50F8" w14:textId="77777777" w:rsidR="0045647E" w:rsidRDefault="0045647E">
      <w:pPr>
        <w:rPr>
          <w:rFonts w:ascii="Times New Roman" w:hAnsi="Times New Roman"/>
          <w:sz w:val="24"/>
          <w:szCs w:val="24"/>
        </w:rPr>
      </w:pPr>
    </w:p>
    <w:p w14:paraId="72C82CF5" w14:textId="77777777" w:rsidR="0045647E" w:rsidRDefault="0045647E">
      <w:pPr>
        <w:rPr>
          <w:rFonts w:ascii="Times New Roman" w:hAnsi="Times New Roman"/>
          <w:sz w:val="24"/>
          <w:szCs w:val="24"/>
        </w:rPr>
      </w:pPr>
    </w:p>
    <w:p w14:paraId="04719E61" w14:textId="77777777" w:rsidR="0045647E" w:rsidRDefault="0045647E">
      <w:pPr>
        <w:rPr>
          <w:rFonts w:ascii="Times New Roman" w:hAnsi="Times New Roman"/>
          <w:sz w:val="24"/>
          <w:szCs w:val="24"/>
        </w:rPr>
      </w:pPr>
    </w:p>
    <w:p w14:paraId="15D5ADF5" w14:textId="77777777" w:rsidR="0045647E" w:rsidRDefault="0045647E">
      <w:pPr>
        <w:spacing w:line="360" w:lineRule="auto"/>
        <w:rPr>
          <w:rFonts w:ascii="Times New Roman" w:hAnsi="Times New Roman"/>
          <w:sz w:val="24"/>
          <w:szCs w:val="24"/>
        </w:rPr>
      </w:pPr>
    </w:p>
    <w:p w14:paraId="417F44C1" w14:textId="77777777" w:rsidR="0045647E" w:rsidRDefault="0045647E">
      <w:pPr>
        <w:spacing w:line="360" w:lineRule="auto"/>
        <w:rPr>
          <w:rFonts w:ascii="Times New Roman" w:hAnsi="Times New Roman"/>
          <w:sz w:val="24"/>
          <w:szCs w:val="24"/>
        </w:rPr>
      </w:pPr>
    </w:p>
    <w:p w14:paraId="4A7D7528" w14:textId="77777777" w:rsidR="0045647E" w:rsidRDefault="0045647E">
      <w:pPr>
        <w:spacing w:line="360" w:lineRule="auto"/>
        <w:rPr>
          <w:rFonts w:ascii="Times New Roman" w:hAnsi="Times New Roman"/>
          <w:sz w:val="24"/>
          <w:szCs w:val="24"/>
        </w:rPr>
      </w:pPr>
    </w:p>
    <w:p w14:paraId="4A045F97" w14:textId="77777777"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lastRenderedPageBreak/>
        <w:t>Introduction</w:t>
      </w:r>
    </w:p>
    <w:p w14:paraId="24D3F874" w14:textId="77777777" w:rsidR="0045647E" w:rsidRDefault="0045647E">
      <w:pPr>
        <w:rPr>
          <w:rFonts w:ascii="Times New Roman" w:eastAsia="Times New Roman" w:hAnsi="Times New Roman"/>
          <w:b/>
          <w:bCs/>
          <w:sz w:val="28"/>
          <w:szCs w:val="28"/>
        </w:rPr>
      </w:pPr>
    </w:p>
    <w:p w14:paraId="72EF3063" w14:textId="77777777" w:rsidR="0045647E" w:rsidRDefault="00B82765">
      <w:pPr>
        <w:spacing w:line="360" w:lineRule="auto"/>
      </w:pPr>
      <w:r>
        <w:rPr>
          <w:rFonts w:ascii="Times New Roman" w:eastAsia="Times New Roman" w:hAnsi="Times New Roman"/>
          <w:sz w:val="24"/>
          <w:szCs w:val="24"/>
        </w:rPr>
        <w:t>Women's Basketball was termed and created in England in 1895 as an adaptation to be more ‘appropriate’, involving less physical contact and restricted movement, from men's basketball, created in 1891</w:t>
      </w:r>
      <w:r>
        <w:rPr>
          <w:rFonts w:ascii="Times New Roman" w:eastAsia="Times New Roman" w:hAnsi="Times New Roman"/>
          <w:color w:val="FF0000"/>
          <w:sz w:val="24"/>
          <w:szCs w:val="24"/>
        </w:rPr>
        <w:t xml:space="preserve"> </w:t>
      </w:r>
      <w:r>
        <w:rPr>
          <w:rFonts w:ascii="Times New Roman" w:eastAsia="Times New Roman" w:hAnsi="Times New Roman"/>
          <w:sz w:val="24"/>
          <w:szCs w:val="24"/>
        </w:rPr>
        <w:t xml:space="preserve">(Why is Netball a female Dominated </w:t>
      </w:r>
      <w:proofErr w:type="gramStart"/>
      <w:r>
        <w:rPr>
          <w:rFonts w:ascii="Times New Roman" w:eastAsia="Times New Roman" w:hAnsi="Times New Roman"/>
          <w:sz w:val="24"/>
          <w:szCs w:val="24"/>
        </w:rPr>
        <w:t>Sport?,</w:t>
      </w:r>
      <w:proofErr w:type="gramEnd"/>
      <w:r>
        <w:rPr>
          <w:rFonts w:ascii="Times New Roman" w:eastAsia="Times New Roman" w:hAnsi="Times New Roman"/>
          <w:sz w:val="24"/>
          <w:szCs w:val="24"/>
        </w:rPr>
        <w:t xml:space="preserve"> 2025 (online)</w:t>
      </w:r>
      <w:proofErr w:type="gramStart"/>
      <w:r>
        <w:rPr>
          <w:rFonts w:ascii="Times New Roman" w:eastAsia="Times New Roman" w:hAnsi="Times New Roman"/>
          <w:sz w:val="24"/>
          <w:szCs w:val="24"/>
        </w:rPr>
        <w:t>).These</w:t>
      </w:r>
      <w:proofErr w:type="gramEnd"/>
      <w:r>
        <w:rPr>
          <w:rFonts w:ascii="Times New Roman" w:eastAsia="Times New Roman" w:hAnsi="Times New Roman"/>
          <w:sz w:val="24"/>
          <w:szCs w:val="24"/>
        </w:rPr>
        <w:t xml:space="preserve"> foundations were laid for what would later become and eventually be known as netball. The 20</w:t>
      </w:r>
      <w:r>
        <w:rPr>
          <w:rFonts w:ascii="Times New Roman" w:eastAsia="Times New Roman" w:hAnsi="Times New Roman"/>
          <w:sz w:val="24"/>
          <w:szCs w:val="24"/>
          <w:vertAlign w:val="superscript"/>
        </w:rPr>
        <w:t>th</w:t>
      </w:r>
      <w:r>
        <w:rPr>
          <w:rFonts w:ascii="Times New Roman" w:eastAsia="Times New Roman" w:hAnsi="Times New Roman"/>
          <w:sz w:val="24"/>
          <w:szCs w:val="24"/>
        </w:rPr>
        <w:t xml:space="preserve"> century saw netball gain traction, where representatives from England, South Africa, Australia, New Zealand, and the West Indies came together in 1960 to create a standardised set of rules for the sport (Why is Netball a female Dominated </w:t>
      </w:r>
      <w:proofErr w:type="gramStart"/>
      <w:r>
        <w:rPr>
          <w:rFonts w:ascii="Times New Roman" w:eastAsia="Times New Roman" w:hAnsi="Times New Roman"/>
          <w:sz w:val="24"/>
          <w:szCs w:val="24"/>
        </w:rPr>
        <w:t>Sport?,</w:t>
      </w:r>
      <w:proofErr w:type="gramEnd"/>
      <w:r>
        <w:rPr>
          <w:rFonts w:ascii="Times New Roman" w:eastAsia="Times New Roman" w:hAnsi="Times New Roman"/>
          <w:sz w:val="24"/>
          <w:szCs w:val="24"/>
        </w:rPr>
        <w:t xml:space="preserve"> 2025 (online)). This created the formerly known International Netball Federation (INF), now known as World</w:t>
      </w:r>
      <w:r>
        <w:rPr>
          <w:rFonts w:ascii="Times New Roman" w:eastAsia="Times New Roman" w:hAnsi="Times New Roman"/>
          <w:sz w:val="24"/>
          <w:szCs w:val="24"/>
        </w:rPr>
        <w:t xml:space="preserve"> Netball, the overarching global governing body for the sport. </w:t>
      </w:r>
    </w:p>
    <w:p w14:paraId="5D203349" w14:textId="77777777" w:rsidR="0045647E" w:rsidRDefault="00B82765">
      <w:pPr>
        <w:spacing w:line="360" w:lineRule="auto"/>
      </w:pPr>
      <w:r>
        <w:rPr>
          <w:rFonts w:ascii="Times New Roman" w:eastAsia="Times New Roman" w:hAnsi="Times New Roman"/>
          <w:sz w:val="24"/>
          <w:szCs w:val="24"/>
        </w:rPr>
        <w:t xml:space="preserve">Injuries are an unfortunate part of every sport, </w:t>
      </w:r>
      <w:r>
        <w:rPr>
          <w:rFonts w:ascii="Times New Roman" w:eastAsia="Times New Roman" w:hAnsi="Times New Roman"/>
          <w:sz w:val="24"/>
          <w:szCs w:val="24"/>
        </w:rPr>
        <w:t>with high participation rates within netball come high injury rates. Consequently, injury rates are high at both participation/community and elite levels, with up to 54.8 injuries per 1000 playing hours at the elite level, reported at the 2019 World Cup (Simpson et al., 2022). Still, they are of particular concern within netball and remain an area in which World Netball is keen to implement effective injury prevention and management strategies.</w:t>
      </w:r>
    </w:p>
    <w:p w14:paraId="375C51F5"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It is important to thoroughly understand the types of injuries and the methodologies in which they occur by synthesising all relevant published data to identify any associated risk factors, especially within player characteristics of injuries within the sport. Netball carries a level of intrinsic risk seen among other female elite sports, however, there are multiple extrinsic factors regarding the rulings of the sport that force rapid deceleration and stopping patterns that place added emphasis on the mecha</w:t>
      </w:r>
      <w:r>
        <w:rPr>
          <w:rFonts w:ascii="Times New Roman" w:eastAsia="Times New Roman" w:hAnsi="Times New Roman"/>
          <w:sz w:val="24"/>
          <w:szCs w:val="24"/>
        </w:rPr>
        <w:t xml:space="preserve">nisms that cause ankle and knee injuries.  </w:t>
      </w:r>
    </w:p>
    <w:p w14:paraId="6BC1070F" w14:textId="77777777" w:rsidR="0045647E" w:rsidRDefault="00B82765">
      <w:pPr>
        <w:spacing w:line="360" w:lineRule="auto"/>
      </w:pPr>
      <w:r>
        <w:rPr>
          <w:rFonts w:ascii="Times New Roman" w:eastAsia="Times New Roman" w:hAnsi="Times New Roman"/>
          <w:sz w:val="24"/>
          <w:szCs w:val="24"/>
        </w:rPr>
        <w:t xml:space="preserve">Hopper 1986 </w:t>
      </w:r>
      <w:r>
        <w:rPr>
          <w:rFonts w:ascii="Times New Roman" w:eastAsia="Times New Roman" w:hAnsi="Times New Roman"/>
          <w:sz w:val="24"/>
          <w:szCs w:val="24"/>
        </w:rPr>
        <w:t>suggested that the ankle is the most reported injured part of the lower limb with up to 58.2% of all injuries occurring, followed secondly by the knee at 15.2% of all injuries occurred (Hopper, 1986).</w:t>
      </w:r>
      <w:r>
        <w:rPr>
          <w:rFonts w:ascii="Times New Roman" w:eastAsia="Times New Roman" w:hAnsi="Times New Roman"/>
          <w:color w:val="FF0000"/>
          <w:sz w:val="24"/>
          <w:szCs w:val="24"/>
        </w:rPr>
        <w:t xml:space="preserve"> </w:t>
      </w:r>
      <w:r>
        <w:rPr>
          <w:rFonts w:ascii="Times New Roman" w:eastAsia="Times New Roman" w:hAnsi="Times New Roman"/>
          <w:sz w:val="24"/>
          <w:szCs w:val="24"/>
        </w:rPr>
        <w:t>Upper limb injuries are less common among elite athletes and usually associated within the lower age categories due to slips and falls. Lower limb injuries are most associated with landing mechanisms, and the ground reaction forces (Hopper, 1986). Although this source is old, research reflects that this is sti</w:t>
      </w:r>
      <w:r>
        <w:rPr>
          <w:rFonts w:ascii="Times New Roman" w:eastAsia="Times New Roman" w:hAnsi="Times New Roman"/>
          <w:sz w:val="24"/>
          <w:szCs w:val="24"/>
        </w:rPr>
        <w:t xml:space="preserve">ll relevant and consistently shows ankle then knee injuries reported. </w:t>
      </w:r>
    </w:p>
    <w:p w14:paraId="6738A93B" w14:textId="77777777" w:rsidR="0045647E" w:rsidRDefault="00B82765">
      <w:pPr>
        <w:spacing w:line="360" w:lineRule="auto"/>
      </w:pPr>
      <w:r>
        <w:rPr>
          <w:rFonts w:ascii="Times New Roman" w:eastAsia="Times New Roman" w:hAnsi="Times New Roman"/>
          <w:sz w:val="24"/>
          <w:szCs w:val="24"/>
        </w:rPr>
        <w:lastRenderedPageBreak/>
        <w:t xml:space="preserve">Van </w:t>
      </w:r>
      <w:proofErr w:type="spellStart"/>
      <w:r>
        <w:rPr>
          <w:rFonts w:ascii="Times New Roman" w:eastAsia="Times New Roman" w:hAnsi="Times New Roman"/>
          <w:sz w:val="24"/>
          <w:szCs w:val="24"/>
        </w:rPr>
        <w:t>Mechelen</w:t>
      </w:r>
      <w:proofErr w:type="spellEnd"/>
      <w:r>
        <w:rPr>
          <w:rFonts w:ascii="Times New Roman" w:eastAsia="Times New Roman" w:hAnsi="Times New Roman"/>
          <w:sz w:val="24"/>
          <w:szCs w:val="24"/>
        </w:rPr>
        <w:t xml:space="preserve"> et al.’s. ‘sequence of prevention’ and the Translating Research into Injury Prevention Practice (TRIPP) models emphasise the importance of understanding and identifying the injury evidence base to inform injury prevention and management strategies (Finch, 2006).</w:t>
      </w:r>
    </w:p>
    <w:p w14:paraId="03C13419" w14:textId="77777777" w:rsidR="0045647E" w:rsidRDefault="00B82765">
      <w:pPr>
        <w:spacing w:line="360" w:lineRule="auto"/>
      </w:pPr>
      <w:r>
        <w:rPr>
          <w:rFonts w:ascii="Times New Roman" w:eastAsia="Times New Roman" w:hAnsi="Times New Roman"/>
          <w:sz w:val="24"/>
          <w:szCs w:val="24"/>
        </w:rPr>
        <w:t>Currently, there is limited evidence review of the characteristics and methodologies surrounding netball injury occurrence. There is an urgent need for a review of methodologies that cause injury to establish the research evidence base to provide a framework and future recommendations on injury occurrence within the sport. Injury surveillance is a crucial step in understanding the sports injury risk problems. Identification around mechanisms and risk factors are essential to being identified through collect</w:t>
      </w:r>
      <w:r>
        <w:rPr>
          <w:rFonts w:ascii="Times New Roman" w:eastAsia="Times New Roman" w:hAnsi="Times New Roman"/>
          <w:sz w:val="24"/>
          <w:szCs w:val="24"/>
        </w:rPr>
        <w:t>ing accurate evidence and robust data collection methods. Continued systematic collection of high volumes of data surveillance with a multifactorial approach to understanding the complex nature between risk factors and mechanisms</w:t>
      </w:r>
      <w:r>
        <w:rPr>
          <w:rFonts w:ascii="Times New Roman" w:eastAsia="Times New Roman" w:hAnsi="Times New Roman"/>
          <w:b/>
          <w:bCs/>
          <w:color w:val="0070C0"/>
          <w:sz w:val="24"/>
          <w:szCs w:val="24"/>
        </w:rPr>
        <w:t xml:space="preserve"> </w:t>
      </w:r>
      <w:r>
        <w:rPr>
          <w:rFonts w:ascii="Times New Roman" w:eastAsia="Times New Roman" w:hAnsi="Times New Roman"/>
          <w:sz w:val="24"/>
          <w:szCs w:val="24"/>
        </w:rPr>
        <w:t>(Bahr and Holme, 2003).</w:t>
      </w:r>
    </w:p>
    <w:p w14:paraId="25F859A2" w14:textId="77777777" w:rsidR="0045647E" w:rsidRDefault="00B82765">
      <w:pPr>
        <w:spacing w:line="360" w:lineRule="auto"/>
      </w:pPr>
      <w:r>
        <w:rPr>
          <w:rFonts w:ascii="Times New Roman" w:eastAsia="Times New Roman" w:hAnsi="Times New Roman"/>
          <w:color w:val="000000"/>
          <w:sz w:val="24"/>
          <w:szCs w:val="24"/>
        </w:rPr>
        <w:t>The importance of specialised footwear came a while after the development of the sport, later in the 19</w:t>
      </w:r>
      <w:r>
        <w:rPr>
          <w:rFonts w:ascii="Times New Roman" w:eastAsia="Times New Roman" w:hAnsi="Times New Roman"/>
          <w:color w:val="000000"/>
          <w:sz w:val="24"/>
          <w:szCs w:val="24"/>
          <w:vertAlign w:val="superscript"/>
        </w:rPr>
        <w:t>th</w:t>
      </w:r>
      <w:r>
        <w:rPr>
          <w:rFonts w:ascii="Times New Roman" w:eastAsia="Times New Roman" w:hAnsi="Times New Roman"/>
          <w:color w:val="000000"/>
          <w:sz w:val="24"/>
          <w:szCs w:val="24"/>
        </w:rPr>
        <w:t xml:space="preserve"> century as netball gained recognition for its unique demands involving quick pivoting, excessive lateral movements, and sudden changes in direction. These movements highlighted the need for footwear that would provide stability and the necessary support and grip on the hard-court indoor surface netball is played. Early creation of netball-specific shoes mimicked the high-top designs created for high ankle support, within the early 1900s, for basketball participants. Originally made from leather with the </w:t>
      </w:r>
      <w:r>
        <w:rPr>
          <w:rFonts w:ascii="Times New Roman" w:eastAsia="Times New Roman" w:hAnsi="Times New Roman"/>
          <w:color w:val="000000"/>
          <w:sz w:val="24"/>
          <w:szCs w:val="24"/>
        </w:rPr>
        <w:t>sole design purpose to provide ankle stability and protection, as the participation demands for the sport increased, the realisation that footwear advances needed to be made with the need for technology to evolve became apparent</w:t>
      </w:r>
      <w:r>
        <w:rPr>
          <w:rFonts w:ascii="Times New Roman" w:eastAsia="Times New Roman" w:hAnsi="Times New Roman"/>
          <w:sz w:val="24"/>
          <w:szCs w:val="24"/>
        </w:rPr>
        <w:t xml:space="preserve"> (thesportreviewer.com (2024)).</w:t>
      </w:r>
    </w:p>
    <w:p w14:paraId="43935852" w14:textId="77777777" w:rsidR="0045647E" w:rsidRDefault="00B82765">
      <w:pPr>
        <w:spacing w:line="360" w:lineRule="auto"/>
      </w:pPr>
      <w:r>
        <w:rPr>
          <w:rFonts w:ascii="Times New Roman" w:eastAsia="Times New Roman" w:hAnsi="Times New Roman"/>
          <w:color w:val="000000"/>
          <w:sz w:val="24"/>
          <w:szCs w:val="24"/>
        </w:rPr>
        <w:t xml:space="preserve">Further advancements into the materials and design used to enhance lightweight properties (compared to leather), breathability, and flexibility to cater to the abilities demanded of the game. </w:t>
      </w:r>
      <w:r>
        <w:rPr>
          <w:rFonts w:ascii="Times New Roman" w:eastAsia="Times New Roman" w:hAnsi="Times New Roman"/>
          <w:sz w:val="24"/>
          <w:szCs w:val="24"/>
        </w:rPr>
        <w:t>Where regular minimalist trainers lacked stability and grip on the hard-court indoor surfaces where netball is played, in stepped the development of rubber-soled netball-specific trainers to enhance traction. Rubber soles have proven to provide stability when making quick directional changes, pivots, and cuts without fear of slipping and losing balance (thesportreviewer.com (2024)).</w:t>
      </w:r>
    </w:p>
    <w:p w14:paraId="06B00BAC" w14:textId="77777777" w:rsidR="0045647E" w:rsidRDefault="00B82765">
      <w:pPr>
        <w:spacing w:line="360" w:lineRule="auto"/>
      </w:pPr>
      <w:r>
        <w:rPr>
          <w:rFonts w:ascii="Times New Roman" w:eastAsia="Times New Roman" w:hAnsi="Times New Roman"/>
          <w:sz w:val="24"/>
          <w:szCs w:val="24"/>
        </w:rPr>
        <w:t xml:space="preserve">Lateral movements proved the need for ankle cushioning technology, such as gel inserts and reinforced heel counters, where advanced cushioning technology and specialised foam </w:t>
      </w:r>
      <w:r>
        <w:rPr>
          <w:rFonts w:ascii="Times New Roman" w:eastAsia="Times New Roman" w:hAnsi="Times New Roman"/>
          <w:sz w:val="24"/>
          <w:szCs w:val="24"/>
        </w:rPr>
        <w:lastRenderedPageBreak/>
        <w:t>material in the midsoles of netball-specific shoes enforce the cushioning needed when jumping and landing repetitively (thesportreviewer.com (2024)). Manufacturers have worked to create breathability in the lightweight netball shoes created nowadays, where increased speed and agility wouldn’t have been possible in the leather shoes' original design in the 1900s. The reduction in weight with these new technologies increases the overall flexibility of the shoes, combined with the reinforced heel, ankle cushio</w:t>
      </w:r>
      <w:r>
        <w:rPr>
          <w:rFonts w:ascii="Times New Roman" w:eastAsia="Times New Roman" w:hAnsi="Times New Roman"/>
          <w:sz w:val="24"/>
          <w:szCs w:val="24"/>
        </w:rPr>
        <w:t>ning, and arch support to mould the shoes to the player's feet, creating the most comfortable shoe to play in (thesportreviewer.com (2024)).</w:t>
      </w:r>
    </w:p>
    <w:p w14:paraId="2ABC7CB5" w14:textId="77777777" w:rsidR="0045647E" w:rsidRDefault="00B82765">
      <w:pPr>
        <w:spacing w:line="360" w:lineRule="auto"/>
      </w:pPr>
      <w:r>
        <w:rPr>
          <w:rFonts w:ascii="Times New Roman" w:eastAsia="Times New Roman" w:hAnsi="Times New Roman"/>
          <w:sz w:val="24"/>
          <w:szCs w:val="24"/>
        </w:rPr>
        <w:t>Breathable materials help keep the feet cool and dry in conditions where a build-up of sweat is natural, as the sport involves high levels of physicality activity, providing better air circulation through the shoes and feet, allowing players to focus on their game rather than the heaviness of their feet. The input and expertise from professional netball athletes have been crucial in the development of top-tier supported netball-specific shoes. Overall performance, fit, comfort, breathability, and design hav</w:t>
      </w:r>
      <w:r>
        <w:rPr>
          <w:rFonts w:ascii="Times New Roman" w:eastAsia="Times New Roman" w:hAnsi="Times New Roman"/>
          <w:sz w:val="24"/>
          <w:szCs w:val="24"/>
        </w:rPr>
        <w:t>e all been areas that have benefited from athletes' input, providing optimal support from the most elite level right the way to participation level.</w:t>
      </w:r>
    </w:p>
    <w:p w14:paraId="1C090093" w14:textId="77777777" w:rsidR="0045647E" w:rsidRDefault="00B82765">
      <w:pPr>
        <w:spacing w:line="360" w:lineRule="auto"/>
      </w:pPr>
      <w:r>
        <w:rPr>
          <w:rFonts w:ascii="Times New Roman" w:eastAsia="Times New Roman" w:hAnsi="Times New Roman"/>
          <w:sz w:val="24"/>
          <w:szCs w:val="24"/>
        </w:rPr>
        <w:t>Although the sport is increasing in popularity globally, there is a lack of biomechanical analyses into the skills needed for the game, which could inform correct technique building from a non-elite competitive age. Changings to the footwork rulings and material properties of appropriate footwear choices could in effect, reduce stress placed upon the musculoskeletal system</w:t>
      </w:r>
      <w:r>
        <w:rPr>
          <w:rFonts w:ascii="Times New Roman" w:eastAsia="Times New Roman" w:hAnsi="Times New Roman"/>
          <w:b/>
          <w:bCs/>
          <w:color w:val="0070C0"/>
          <w:sz w:val="24"/>
          <w:szCs w:val="24"/>
        </w:rPr>
        <w:t xml:space="preserve"> </w:t>
      </w:r>
      <w:r>
        <w:rPr>
          <w:rFonts w:ascii="Times New Roman" w:eastAsia="Times New Roman" w:hAnsi="Times New Roman"/>
          <w:sz w:val="24"/>
          <w:szCs w:val="24"/>
        </w:rPr>
        <w:t>(thesportreviewer.com (2024)).</w:t>
      </w:r>
      <w:r>
        <w:rPr>
          <w:rFonts w:ascii="Times New Roman" w:eastAsia="Times New Roman" w:hAnsi="Times New Roman"/>
          <w:b/>
          <w:bCs/>
          <w:color w:val="0070C0"/>
          <w:sz w:val="24"/>
          <w:szCs w:val="24"/>
        </w:rPr>
        <w:t xml:space="preserve"> </w:t>
      </w:r>
      <w:r>
        <w:rPr>
          <w:rFonts w:ascii="Times New Roman" w:eastAsia="Times New Roman" w:hAnsi="Times New Roman"/>
          <w:sz w:val="24"/>
          <w:szCs w:val="24"/>
        </w:rPr>
        <w:t>The relationship between injury risk factors and appropriate footwear choices has been a complex narrative within research. The inception of the sport is deeply rooted within female history, where the change in evolution from basic leather-heavy shoes to lightweight breathable supportive shoes and the technology provided within them to adapt to players' abilities is an important part of the backstory to the sport</w:t>
      </w:r>
      <w:r>
        <w:rPr>
          <w:rFonts w:ascii="Times New Roman" w:eastAsia="Times New Roman" w:hAnsi="Times New Roman"/>
          <w:b/>
          <w:bCs/>
          <w:color w:val="0070C0"/>
          <w:sz w:val="24"/>
          <w:szCs w:val="24"/>
        </w:rPr>
        <w:t xml:space="preserve"> </w:t>
      </w:r>
      <w:r>
        <w:rPr>
          <w:rFonts w:ascii="Times New Roman" w:eastAsia="Times New Roman" w:hAnsi="Times New Roman"/>
          <w:sz w:val="24"/>
          <w:szCs w:val="24"/>
        </w:rPr>
        <w:t>(thesportreviewer.com (2024))</w:t>
      </w:r>
    </w:p>
    <w:p w14:paraId="2067D28F" w14:textId="77777777" w:rsidR="0045647E" w:rsidRDefault="00B82765">
      <w:pPr>
        <w:spacing w:line="360" w:lineRule="auto"/>
      </w:pPr>
      <w:r>
        <w:rPr>
          <w:rFonts w:ascii="Times New Roman" w:eastAsia="Times New Roman" w:hAnsi="Times New Roman"/>
          <w:sz w:val="24"/>
          <w:szCs w:val="24"/>
        </w:rPr>
        <w:t>Player safety in a sport plagued by injury is a constant, repetitive topic of interest within literature. The history and evolution of netball-specific footwear suggests that regular minimalistic footwear compromises player safety, with the lack of grip and stability provided by the non-rubber soles. Regular minimalist footwear has been typically designed to cope with forward movements, leaving a big safety gap in the lateral movements that netball players make consistently (Hamil et al., 1984).</w:t>
      </w:r>
      <w:r>
        <w:rPr>
          <w:rFonts w:ascii="Times New Roman" w:eastAsia="Times New Roman" w:hAnsi="Times New Roman"/>
          <w:b/>
          <w:bCs/>
          <w:color w:val="0070C0"/>
          <w:sz w:val="24"/>
          <w:szCs w:val="24"/>
        </w:rPr>
        <w:t xml:space="preserve"> </w:t>
      </w:r>
      <w:r>
        <w:rPr>
          <w:rFonts w:ascii="Times New Roman" w:eastAsia="Times New Roman" w:hAnsi="Times New Roman"/>
          <w:sz w:val="24"/>
          <w:szCs w:val="24"/>
        </w:rPr>
        <w:t>Trying to pivot or decelerate and stop quickly in regular shoes will cause issues such as slipping and tripping and ultimately create lower-</w:t>
      </w:r>
      <w:r>
        <w:rPr>
          <w:rFonts w:ascii="Times New Roman" w:eastAsia="Times New Roman" w:hAnsi="Times New Roman"/>
          <w:sz w:val="24"/>
          <w:szCs w:val="24"/>
        </w:rPr>
        <w:lastRenderedPageBreak/>
        <w:t>limb injuries. With the continued growth and development of the sport, so will the innovative technologies produced to create player safety, reducing and minimising the risk of injury to the players (Hamil et al., 1984).</w:t>
      </w:r>
    </w:p>
    <w:p w14:paraId="4A05728B" w14:textId="77777777" w:rsidR="0045647E" w:rsidRDefault="00B82765">
      <w:pPr>
        <w:spacing w:line="360" w:lineRule="auto"/>
      </w:pPr>
      <w:r>
        <w:rPr>
          <w:rFonts w:ascii="Times New Roman" w:eastAsia="Times New Roman" w:hAnsi="Times New Roman"/>
          <w:sz w:val="24"/>
          <w:szCs w:val="24"/>
        </w:rPr>
        <w:t>A suggested primary cause of lower-body injury occurrence in netball, has been the bodies exposure to high ground reaction forces (GRF’s) and incorrect/poor technique during landing mechanisms (leaping, bounding, landing) to avoid footwork violations. Elite netball players produce GRF’s between 3.9-4.3 times their body weight when completing vertical movements and 4.2-4.6 times their body weight for horizonal reactions</w:t>
      </w:r>
      <w:r>
        <w:rPr>
          <w:rFonts w:ascii="Times New Roman" w:eastAsia="Times New Roman" w:hAnsi="Times New Roman"/>
          <w:b/>
          <w:bCs/>
          <w:color w:val="FF0000"/>
          <w:sz w:val="24"/>
          <w:szCs w:val="24"/>
        </w:rPr>
        <w:t xml:space="preserve"> </w:t>
      </w:r>
      <w:r>
        <w:rPr>
          <w:rFonts w:ascii="Times New Roman" w:eastAsia="Times New Roman" w:hAnsi="Times New Roman"/>
          <w:sz w:val="24"/>
          <w:szCs w:val="24"/>
        </w:rPr>
        <w:t>(Steele and Milburn, 1988). Gel cushioning is a great shock absorber of force, minimising the risk of injury through the reduction of impact on joints created by jumping and landing mechanisms (Steele and Milburn, 1988). Traction patterns within the rubber soles of netball-specific shoes allow better grip and functionality on court, granting the creation of agile movements, a necessity for all netball players (Steele and Milburn, 1988).</w:t>
      </w:r>
    </w:p>
    <w:p w14:paraId="4E0819FC" w14:textId="77777777" w:rsidR="0045647E" w:rsidRDefault="00B82765">
      <w:pPr>
        <w:spacing w:line="360" w:lineRule="auto"/>
      </w:pPr>
      <w:r>
        <w:rPr>
          <w:rFonts w:ascii="Times New Roman" w:eastAsia="Times New Roman" w:hAnsi="Times New Roman"/>
          <w:sz w:val="24"/>
          <w:szCs w:val="24"/>
        </w:rPr>
        <w:t>This research topic was designed to analyse the relationship between netball-specific footwear and injury prevalence within the sport, compared to regular minimalist footwear. This comes from the lax rulings around player equipment from World Netball. Within the 2020 rulebook, section 5.1.1 Players, states that suitable footwear (spiked soles are not permitted) are to be worn</w:t>
      </w:r>
      <w:r>
        <w:rPr>
          <w:rFonts w:ascii="Times New Roman" w:eastAsia="Times New Roman" w:hAnsi="Times New Roman"/>
          <w:b/>
          <w:bCs/>
          <w:color w:val="FF0000"/>
          <w:sz w:val="24"/>
          <w:szCs w:val="24"/>
        </w:rPr>
        <w:t xml:space="preserve"> </w:t>
      </w:r>
      <w:r>
        <w:rPr>
          <w:rFonts w:ascii="Times New Roman" w:eastAsia="Times New Roman" w:hAnsi="Times New Roman"/>
          <w:sz w:val="24"/>
          <w:szCs w:val="24"/>
        </w:rPr>
        <w:t>(World Netball, 2023).</w:t>
      </w:r>
    </w:p>
    <w:p w14:paraId="27D9AA12" w14:textId="77777777" w:rsidR="0045647E" w:rsidRDefault="00B82765">
      <w:pPr>
        <w:spacing w:line="360" w:lineRule="auto"/>
      </w:pPr>
      <w:r>
        <w:rPr>
          <w:rFonts w:ascii="Times New Roman" w:eastAsia="Times New Roman" w:hAnsi="Times New Roman"/>
          <w:sz w:val="24"/>
          <w:szCs w:val="24"/>
        </w:rPr>
        <w:t>Imposing considerable physical demands upon players with repeated high-intensity sprints, cuts, jumping and landing, and changes of direction will force an unfortunate occurrence of high injury rates. The unique footwork rule within netball (taking one step and not being able to move with the ball) generates substantial force demands on the lower limbs and increases player workloads (Steele, 1990).</w:t>
      </w:r>
    </w:p>
    <w:p w14:paraId="645E3FFD"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With such unfortunate high injury occurrence rates per playing hours and lax wording within the rules and regulations regarding footwear, it is important to understand the relationship and relevance between footwear and injury </w:t>
      </w:r>
      <w:r>
        <w:rPr>
          <w:rFonts w:ascii="Times New Roman" w:eastAsia="Times New Roman" w:hAnsi="Times New Roman"/>
          <w:sz w:val="24"/>
          <w:szCs w:val="24"/>
        </w:rPr>
        <w:t xml:space="preserve">occurrences within the sport, to increase safety within the sport. </w:t>
      </w:r>
    </w:p>
    <w:p w14:paraId="0EC9C9BE"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The rationale for the study follows the high demand for consideration around structured injury management and prevention strategies and a better epidemiological understanding around risk factors within the sport. The understanding around footwear choices is a constant argument within research, with the appropriateness of netball-specific footwear versus regular </w:t>
      </w:r>
      <w:r>
        <w:rPr>
          <w:rFonts w:ascii="Times New Roman" w:eastAsia="Times New Roman" w:hAnsi="Times New Roman"/>
          <w:sz w:val="24"/>
          <w:szCs w:val="24"/>
        </w:rPr>
        <w:lastRenderedPageBreak/>
        <w:t xml:space="preserve">minimalist footwear questioned constituently. The study will focus on injury occurrences and the relationships of footwear within available data, or lack thereof, and look to make safety recommendations where relevant, appropriate, and/or needed. </w:t>
      </w:r>
    </w:p>
    <w:p w14:paraId="6E4D4906" w14:textId="77777777" w:rsidR="0045647E" w:rsidRDefault="0045647E">
      <w:pPr>
        <w:spacing w:line="360" w:lineRule="auto"/>
        <w:rPr>
          <w:rFonts w:ascii="Times New Roman" w:eastAsia="Times New Roman" w:hAnsi="Times New Roman"/>
          <w:sz w:val="24"/>
          <w:szCs w:val="24"/>
        </w:rPr>
      </w:pPr>
    </w:p>
    <w:p w14:paraId="25F76491" w14:textId="77777777" w:rsidR="0045647E" w:rsidRDefault="0045647E">
      <w:pPr>
        <w:spacing w:line="360" w:lineRule="auto"/>
        <w:rPr>
          <w:rFonts w:ascii="Times New Roman" w:eastAsia="Times New Roman" w:hAnsi="Times New Roman"/>
          <w:sz w:val="24"/>
          <w:szCs w:val="24"/>
        </w:rPr>
      </w:pPr>
    </w:p>
    <w:p w14:paraId="1ED9CC0B" w14:textId="77777777" w:rsidR="0045647E" w:rsidRDefault="0045647E">
      <w:pPr>
        <w:spacing w:line="360" w:lineRule="auto"/>
        <w:rPr>
          <w:rFonts w:ascii="Times New Roman" w:eastAsia="Times New Roman" w:hAnsi="Times New Roman"/>
          <w:sz w:val="24"/>
          <w:szCs w:val="24"/>
        </w:rPr>
      </w:pPr>
    </w:p>
    <w:p w14:paraId="247592C5" w14:textId="77777777" w:rsidR="0045647E" w:rsidRDefault="0045647E">
      <w:pPr>
        <w:spacing w:line="360" w:lineRule="auto"/>
        <w:rPr>
          <w:rFonts w:ascii="Times New Roman" w:eastAsia="Times New Roman" w:hAnsi="Times New Roman"/>
          <w:sz w:val="24"/>
          <w:szCs w:val="24"/>
        </w:rPr>
      </w:pPr>
    </w:p>
    <w:p w14:paraId="4D8C6210" w14:textId="77777777" w:rsidR="0045647E" w:rsidRDefault="0045647E">
      <w:pPr>
        <w:spacing w:line="360" w:lineRule="auto"/>
        <w:rPr>
          <w:rFonts w:ascii="Times New Roman" w:eastAsia="Times New Roman" w:hAnsi="Times New Roman"/>
          <w:sz w:val="24"/>
          <w:szCs w:val="24"/>
        </w:rPr>
      </w:pPr>
    </w:p>
    <w:p w14:paraId="1D9AD921" w14:textId="77777777" w:rsidR="0045647E" w:rsidRDefault="0045647E">
      <w:pPr>
        <w:spacing w:line="360" w:lineRule="auto"/>
        <w:rPr>
          <w:rFonts w:ascii="Times New Roman" w:eastAsia="Times New Roman" w:hAnsi="Times New Roman"/>
          <w:sz w:val="24"/>
          <w:szCs w:val="24"/>
        </w:rPr>
      </w:pPr>
    </w:p>
    <w:p w14:paraId="58888E3E" w14:textId="77777777" w:rsidR="0045647E" w:rsidRDefault="0045647E">
      <w:pPr>
        <w:spacing w:line="360" w:lineRule="auto"/>
        <w:rPr>
          <w:rFonts w:ascii="Times New Roman" w:eastAsia="Times New Roman" w:hAnsi="Times New Roman"/>
          <w:sz w:val="24"/>
          <w:szCs w:val="24"/>
        </w:rPr>
      </w:pPr>
    </w:p>
    <w:p w14:paraId="09C5D6C4" w14:textId="77777777" w:rsidR="0045647E" w:rsidRDefault="0045647E">
      <w:pPr>
        <w:spacing w:line="360" w:lineRule="auto"/>
        <w:rPr>
          <w:rFonts w:ascii="Times New Roman" w:eastAsia="Times New Roman" w:hAnsi="Times New Roman"/>
          <w:sz w:val="24"/>
          <w:szCs w:val="24"/>
        </w:rPr>
      </w:pPr>
    </w:p>
    <w:p w14:paraId="05CCC272" w14:textId="77777777" w:rsidR="0045647E" w:rsidRDefault="0045647E">
      <w:pPr>
        <w:spacing w:line="360" w:lineRule="auto"/>
        <w:rPr>
          <w:rFonts w:ascii="Times New Roman" w:eastAsia="Times New Roman" w:hAnsi="Times New Roman"/>
          <w:sz w:val="24"/>
          <w:szCs w:val="24"/>
        </w:rPr>
      </w:pPr>
    </w:p>
    <w:p w14:paraId="1B4C4D75" w14:textId="77777777" w:rsidR="0045647E" w:rsidRDefault="0045647E">
      <w:pPr>
        <w:spacing w:line="360" w:lineRule="auto"/>
        <w:rPr>
          <w:rFonts w:ascii="Times New Roman" w:eastAsia="Times New Roman" w:hAnsi="Times New Roman"/>
          <w:sz w:val="24"/>
          <w:szCs w:val="24"/>
        </w:rPr>
      </w:pPr>
    </w:p>
    <w:p w14:paraId="59444444" w14:textId="77777777" w:rsidR="0045647E" w:rsidRDefault="0045647E">
      <w:pPr>
        <w:spacing w:line="360" w:lineRule="auto"/>
        <w:rPr>
          <w:rFonts w:ascii="Times New Roman" w:eastAsia="Times New Roman" w:hAnsi="Times New Roman"/>
          <w:sz w:val="24"/>
          <w:szCs w:val="24"/>
        </w:rPr>
      </w:pPr>
    </w:p>
    <w:p w14:paraId="2AFBB879" w14:textId="77777777" w:rsidR="0045647E" w:rsidRDefault="0045647E">
      <w:pPr>
        <w:spacing w:line="360" w:lineRule="auto"/>
        <w:rPr>
          <w:rFonts w:ascii="Times New Roman" w:eastAsia="Times New Roman" w:hAnsi="Times New Roman"/>
          <w:sz w:val="24"/>
          <w:szCs w:val="24"/>
        </w:rPr>
      </w:pPr>
    </w:p>
    <w:p w14:paraId="15E0D6A5" w14:textId="77777777" w:rsidR="0045647E" w:rsidRDefault="0045647E">
      <w:pPr>
        <w:spacing w:line="360" w:lineRule="auto"/>
        <w:rPr>
          <w:rFonts w:ascii="Times New Roman" w:eastAsia="Times New Roman" w:hAnsi="Times New Roman"/>
          <w:sz w:val="24"/>
          <w:szCs w:val="24"/>
        </w:rPr>
      </w:pPr>
    </w:p>
    <w:p w14:paraId="6D9745DD" w14:textId="77777777" w:rsidR="0045647E" w:rsidRDefault="0045647E">
      <w:pPr>
        <w:spacing w:line="360" w:lineRule="auto"/>
        <w:rPr>
          <w:rFonts w:ascii="Times New Roman" w:eastAsia="Times New Roman" w:hAnsi="Times New Roman"/>
          <w:sz w:val="24"/>
          <w:szCs w:val="24"/>
        </w:rPr>
      </w:pPr>
    </w:p>
    <w:p w14:paraId="5F602BE4" w14:textId="77777777" w:rsidR="0045647E" w:rsidRDefault="0045647E">
      <w:pPr>
        <w:spacing w:line="360" w:lineRule="auto"/>
        <w:rPr>
          <w:rFonts w:ascii="Times New Roman" w:eastAsia="Times New Roman" w:hAnsi="Times New Roman"/>
          <w:sz w:val="24"/>
          <w:szCs w:val="24"/>
        </w:rPr>
      </w:pPr>
    </w:p>
    <w:p w14:paraId="0780A65E" w14:textId="77777777" w:rsidR="0045647E" w:rsidRDefault="0045647E">
      <w:pPr>
        <w:spacing w:line="360" w:lineRule="auto"/>
        <w:rPr>
          <w:rFonts w:ascii="Times New Roman" w:eastAsia="Times New Roman" w:hAnsi="Times New Roman"/>
          <w:sz w:val="24"/>
          <w:szCs w:val="24"/>
        </w:rPr>
      </w:pPr>
    </w:p>
    <w:p w14:paraId="6D7B2422" w14:textId="77777777" w:rsidR="0045647E" w:rsidRDefault="0045647E">
      <w:pPr>
        <w:spacing w:line="360" w:lineRule="auto"/>
        <w:rPr>
          <w:rFonts w:ascii="Times New Roman" w:eastAsia="Times New Roman" w:hAnsi="Times New Roman"/>
          <w:sz w:val="24"/>
          <w:szCs w:val="24"/>
        </w:rPr>
      </w:pPr>
    </w:p>
    <w:p w14:paraId="28263134" w14:textId="77777777" w:rsidR="0045647E" w:rsidRDefault="0045647E">
      <w:pPr>
        <w:spacing w:line="360" w:lineRule="auto"/>
        <w:rPr>
          <w:rFonts w:ascii="Times New Roman" w:eastAsia="Times New Roman" w:hAnsi="Times New Roman"/>
          <w:sz w:val="24"/>
          <w:szCs w:val="24"/>
        </w:rPr>
      </w:pPr>
    </w:p>
    <w:p w14:paraId="5C3A4D50" w14:textId="77777777" w:rsidR="0045647E" w:rsidRDefault="0045647E">
      <w:pPr>
        <w:spacing w:line="360" w:lineRule="auto"/>
        <w:rPr>
          <w:rFonts w:ascii="Times New Roman" w:eastAsia="Times New Roman" w:hAnsi="Times New Roman"/>
          <w:sz w:val="24"/>
          <w:szCs w:val="24"/>
        </w:rPr>
      </w:pPr>
    </w:p>
    <w:p w14:paraId="43B4E375" w14:textId="77777777" w:rsidR="0045647E" w:rsidRDefault="0045647E">
      <w:pPr>
        <w:spacing w:line="360" w:lineRule="auto"/>
        <w:rPr>
          <w:rFonts w:ascii="Times New Roman" w:eastAsia="Times New Roman" w:hAnsi="Times New Roman"/>
          <w:sz w:val="24"/>
          <w:szCs w:val="24"/>
        </w:rPr>
      </w:pPr>
    </w:p>
    <w:p w14:paraId="0D86E0D7" w14:textId="77777777" w:rsidR="0045647E" w:rsidRDefault="0045647E">
      <w:pPr>
        <w:spacing w:line="360" w:lineRule="auto"/>
        <w:rPr>
          <w:rFonts w:ascii="Times New Roman" w:eastAsia="Times New Roman" w:hAnsi="Times New Roman"/>
          <w:sz w:val="24"/>
          <w:szCs w:val="24"/>
        </w:rPr>
      </w:pPr>
    </w:p>
    <w:p w14:paraId="0A6C49B6" w14:textId="77777777" w:rsidR="0045647E" w:rsidRDefault="0045647E">
      <w:pPr>
        <w:spacing w:line="360" w:lineRule="auto"/>
        <w:rPr>
          <w:rFonts w:ascii="Times New Roman" w:eastAsia="Times New Roman" w:hAnsi="Times New Roman"/>
          <w:sz w:val="24"/>
          <w:szCs w:val="24"/>
        </w:rPr>
      </w:pPr>
    </w:p>
    <w:p w14:paraId="77548808" w14:textId="77777777" w:rsidR="0045647E" w:rsidRDefault="0045647E">
      <w:pPr>
        <w:spacing w:line="360" w:lineRule="auto"/>
        <w:rPr>
          <w:rFonts w:ascii="Times New Roman" w:eastAsia="Times New Roman" w:hAnsi="Times New Roman"/>
          <w:sz w:val="24"/>
          <w:szCs w:val="24"/>
        </w:rPr>
      </w:pPr>
    </w:p>
    <w:p w14:paraId="00F38E9A" w14:textId="77777777" w:rsidR="0045647E" w:rsidRDefault="00B82765">
      <w:pPr>
        <w:spacing w:line="360" w:lineRule="auto"/>
      </w:pPr>
      <w:r>
        <w:rPr>
          <w:rFonts w:ascii="Times New Roman" w:eastAsia="Times New Roman" w:hAnsi="Times New Roman"/>
          <w:b/>
          <w:bCs/>
          <w:sz w:val="28"/>
          <w:szCs w:val="28"/>
        </w:rPr>
        <w:t>Literature Review:</w:t>
      </w:r>
    </w:p>
    <w:p w14:paraId="1AB24872" w14:textId="77777777"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t>Introduction</w:t>
      </w:r>
    </w:p>
    <w:p w14:paraId="4491EE1E" w14:textId="77777777" w:rsidR="0045647E" w:rsidRDefault="00B82765">
      <w:pPr>
        <w:spacing w:line="360" w:lineRule="auto"/>
      </w:pPr>
      <w:r>
        <w:rPr>
          <w:rFonts w:ascii="Times New Roman" w:eastAsia="Times New Roman" w:hAnsi="Times New Roman"/>
          <w:sz w:val="24"/>
          <w:szCs w:val="24"/>
        </w:rPr>
        <w:t xml:space="preserve">Unfortunately, netball has </w:t>
      </w:r>
      <w:r>
        <w:rPr>
          <w:rFonts w:ascii="Times New Roman" w:eastAsia="Times New Roman" w:hAnsi="Times New Roman"/>
          <w:sz w:val="24"/>
          <w:szCs w:val="24"/>
        </w:rPr>
        <w:t>received a paucity of research within sports science settings, with the limited aetiological research available suggesting incredibly high injury rates. Injury rates per 1000 hours have been seen as high as 238 during a three-day tournament period (Sinclair et al., 2014). Aetiological analyses have shown that many injuries that occur during these playing hours are those of the lower limb extremities, typically from overuse of the musculoskeletal structures, causing chronic pathologies. There is a clear lack</w:t>
      </w:r>
      <w:r>
        <w:rPr>
          <w:rFonts w:ascii="Times New Roman" w:eastAsia="Times New Roman" w:hAnsi="Times New Roman"/>
          <w:sz w:val="24"/>
          <w:szCs w:val="24"/>
        </w:rPr>
        <w:t xml:space="preserve"> of published work regarding the effects that appropriate footwear selection may have on controlling the incidence of high injuries in netballers. Clinical efficacy of minimalist footwear has yet to be established, although there is a trend currently where players are choosing to select minimalist footwear in lieu of netball-specific footwear for performance and </w:t>
      </w:r>
      <w:proofErr w:type="gramStart"/>
      <w:r>
        <w:rPr>
          <w:rFonts w:ascii="Times New Roman" w:eastAsia="Times New Roman" w:hAnsi="Times New Roman"/>
          <w:sz w:val="24"/>
          <w:szCs w:val="24"/>
        </w:rPr>
        <w:t xml:space="preserve">training </w:t>
      </w:r>
      <w:r>
        <w:rPr>
          <w:rFonts w:ascii="Times New Roman" w:eastAsia="Times New Roman" w:hAnsi="Times New Roman"/>
          <w:b/>
          <w:bCs/>
          <w:sz w:val="24"/>
          <w:szCs w:val="24"/>
        </w:rPr>
        <w:t xml:space="preserve"> </w:t>
      </w:r>
      <w:r>
        <w:rPr>
          <w:rFonts w:ascii="Times New Roman" w:eastAsia="Times New Roman" w:hAnsi="Times New Roman"/>
          <w:sz w:val="24"/>
          <w:szCs w:val="24"/>
        </w:rPr>
        <w:t>(</w:t>
      </w:r>
      <w:proofErr w:type="gramEnd"/>
      <w:r>
        <w:rPr>
          <w:rFonts w:ascii="Times New Roman" w:eastAsia="Times New Roman" w:hAnsi="Times New Roman"/>
          <w:sz w:val="24"/>
          <w:szCs w:val="24"/>
        </w:rPr>
        <w:t>Sinclair et al., 2014). Controlled epidemiological studies to be undertaken to establish protective factors and risk show a complex inte</w:t>
      </w:r>
      <w:r>
        <w:rPr>
          <w:rFonts w:ascii="Times New Roman" w:eastAsia="Times New Roman" w:hAnsi="Times New Roman"/>
          <w:sz w:val="24"/>
          <w:szCs w:val="24"/>
        </w:rPr>
        <w:t xml:space="preserve">r-relationship between footwear, injuries and playing surface. </w:t>
      </w:r>
    </w:p>
    <w:p w14:paraId="2D68DCCA" w14:textId="77777777" w:rsidR="0045647E" w:rsidRDefault="0045647E">
      <w:pPr>
        <w:spacing w:line="360" w:lineRule="auto"/>
        <w:rPr>
          <w:rFonts w:ascii="Times New Roman" w:eastAsia="Times New Roman" w:hAnsi="Times New Roman"/>
          <w:color w:val="0070C0"/>
          <w:sz w:val="24"/>
          <w:szCs w:val="24"/>
        </w:rPr>
      </w:pPr>
    </w:p>
    <w:p w14:paraId="2AEAF21F" w14:textId="77777777"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t xml:space="preserve">Shoes and Somatotypes </w:t>
      </w:r>
    </w:p>
    <w:p w14:paraId="125766B5" w14:textId="77777777" w:rsidR="0045647E" w:rsidRDefault="00B82765">
      <w:pPr>
        <w:spacing w:line="360" w:lineRule="auto"/>
      </w:pPr>
      <w:r>
        <w:rPr>
          <w:rFonts w:ascii="Times New Roman" w:eastAsia="Times New Roman" w:hAnsi="Times New Roman"/>
          <w:sz w:val="24"/>
          <w:szCs w:val="24"/>
        </w:rPr>
        <w:t>The absence of rubber soles on regular minimalist trainers has proven to lack stability and grip on the hard-court indoor surfaces that netball is played on (Shorten, 1993)</w:t>
      </w:r>
      <w:r>
        <w:rPr>
          <w:rFonts w:ascii="Times New Roman" w:eastAsia="Times New Roman" w:hAnsi="Times New Roman"/>
          <w:color w:val="0070C0"/>
          <w:sz w:val="24"/>
          <w:szCs w:val="24"/>
        </w:rPr>
        <w:t xml:space="preserve">. </w:t>
      </w:r>
      <w:r>
        <w:rPr>
          <w:rFonts w:ascii="Times New Roman" w:eastAsia="Times New Roman" w:hAnsi="Times New Roman"/>
          <w:sz w:val="24"/>
          <w:szCs w:val="24"/>
        </w:rPr>
        <w:t>Regular trainers are created for specific forward movements and lack control and support during lateral movements, where insufficiency during quick stops or lateral cuts, with the reduction of slipping, is apparent in protecting players from injury occurrence</w:t>
      </w:r>
      <w:r>
        <w:rPr>
          <w:rFonts w:ascii="Times New Roman" w:eastAsia="Times New Roman" w:hAnsi="Times New Roman"/>
          <w:color w:val="0070C0"/>
          <w:sz w:val="24"/>
          <w:szCs w:val="24"/>
        </w:rPr>
        <w:t xml:space="preserve"> </w:t>
      </w:r>
      <w:r>
        <w:rPr>
          <w:rFonts w:ascii="Times New Roman" w:eastAsia="Times New Roman" w:hAnsi="Times New Roman"/>
          <w:sz w:val="24"/>
          <w:szCs w:val="24"/>
        </w:rPr>
        <w:t>(Shorten, 1993).</w:t>
      </w:r>
    </w:p>
    <w:p w14:paraId="3E0BE042" w14:textId="77777777" w:rsidR="0045647E" w:rsidRDefault="00B82765">
      <w:pPr>
        <w:spacing w:line="360" w:lineRule="auto"/>
      </w:pPr>
      <w:r>
        <w:rPr>
          <w:rFonts w:ascii="Times New Roman" w:eastAsia="Times New Roman" w:hAnsi="Times New Roman"/>
          <w:sz w:val="24"/>
          <w:szCs w:val="24"/>
        </w:rPr>
        <w:t>Regular trainers have a shortfall in ankle cushioning technology, with no reinforced heel counters and flat arches (a shoe should conform to the shape of the foot, not the foot conforming to the shape of the shoe), which do not provide players with the cushioning needed within the ankles and midsoles of the foot when performing repetitive jumping and landing (Shorten, 1993). Manufacturers have worked to create breathability in the lightweight netball shoes created nowadays, where increased speed and agility</w:t>
      </w:r>
      <w:r>
        <w:rPr>
          <w:rFonts w:ascii="Times New Roman" w:eastAsia="Times New Roman" w:hAnsi="Times New Roman"/>
          <w:sz w:val="24"/>
          <w:szCs w:val="24"/>
        </w:rPr>
        <w:t xml:space="preserve"> wouldn’t have been possible in the leather shoes' original design in the 1900s. </w:t>
      </w:r>
    </w:p>
    <w:p w14:paraId="68A707C9" w14:textId="77777777" w:rsidR="0045647E" w:rsidRDefault="00B82765">
      <w:pPr>
        <w:spacing w:line="360" w:lineRule="auto"/>
      </w:pPr>
      <w:r>
        <w:rPr>
          <w:rFonts w:ascii="Times New Roman" w:eastAsia="Times New Roman" w:hAnsi="Times New Roman"/>
          <w:sz w:val="24"/>
          <w:szCs w:val="24"/>
        </w:rPr>
        <w:lastRenderedPageBreak/>
        <w:t>The reduction in weight with these new technologies increases the overall flexibility of the shoes, combined with the reinforced heel, ankle cushioning, and arch support to mould the shoes to the player's feet, creating the most comfortable shoe to play in. Gel cushioning is a great shock absorber of force, minimising the risk of injury through the reduction of impact on joints created by jumping and landing mechanisms</w:t>
      </w:r>
      <w:r>
        <w:rPr>
          <w:rFonts w:ascii="Times New Roman" w:eastAsia="Times New Roman" w:hAnsi="Times New Roman"/>
          <w:color w:val="000000"/>
          <w:sz w:val="24"/>
          <w:szCs w:val="24"/>
        </w:rPr>
        <w:t>. (Steele and Milburn, 1988).</w:t>
      </w:r>
    </w:p>
    <w:p w14:paraId="6AE2929E" w14:textId="77777777" w:rsidR="0045647E" w:rsidRDefault="00B82765">
      <w:pPr>
        <w:spacing w:line="360" w:lineRule="auto"/>
      </w:pPr>
      <w:r>
        <w:rPr>
          <w:rFonts w:ascii="Times New Roman" w:eastAsia="Times New Roman" w:hAnsi="Times New Roman"/>
          <w:sz w:val="24"/>
          <w:szCs w:val="24"/>
        </w:rPr>
        <w:t>Breathable materials help keep the feet cool and dry in conditions where a build-up of sweat is natural, as the sport involves high levels of physicality activity, providing better air circulation through the shoes and feet, allowing players to focus on their game rather than the heaviness of their feet. Traction patterns within the rubber soles of netball-specific shoes allow better grip and functionality on court, granting the creation of agile movements, a necessity for all netball players</w:t>
      </w:r>
      <w:r>
        <w:rPr>
          <w:rFonts w:ascii="Times New Roman" w:eastAsia="Times New Roman" w:hAnsi="Times New Roman"/>
          <w:b/>
          <w:bCs/>
          <w:sz w:val="24"/>
          <w:szCs w:val="24"/>
        </w:rPr>
        <w:t xml:space="preserve"> </w:t>
      </w:r>
      <w:r>
        <w:rPr>
          <w:rFonts w:ascii="Times New Roman" w:eastAsia="Times New Roman" w:hAnsi="Times New Roman"/>
          <w:color w:val="000000"/>
          <w:sz w:val="24"/>
          <w:szCs w:val="24"/>
        </w:rPr>
        <w:t>(Steele and Milburn, 1988).</w:t>
      </w:r>
      <w:r>
        <w:rPr>
          <w:rFonts w:ascii="Times New Roman" w:eastAsia="Times New Roman" w:hAnsi="Times New Roman"/>
          <w:sz w:val="24"/>
          <w:szCs w:val="24"/>
        </w:rPr>
        <w:t xml:space="preserve"> The input and expertise from professional netball athletes have been crucial in the development of top-tier supported netball-specific shoes.  At the community and participation level, socio-economic factors may limit the number of participants wearing netball-specific footwear, as the price of regular minimalist trainers is much more affordable than netball-specific trainers.</w:t>
      </w:r>
    </w:p>
    <w:p w14:paraId="111FA71F" w14:textId="77777777" w:rsidR="0045647E" w:rsidRDefault="00B82765">
      <w:pPr>
        <w:shd w:val="clear" w:color="auto" w:fill="FFFFFF"/>
        <w:spacing w:after="288" w:line="360" w:lineRule="auto"/>
      </w:pPr>
      <w:r>
        <w:rPr>
          <w:rFonts w:ascii="Times New Roman" w:eastAsia="Times New Roman" w:hAnsi="Times New Roman"/>
          <w:sz w:val="24"/>
          <w:szCs w:val="24"/>
        </w:rPr>
        <w:t>Appropriate physical preparation comes through multiple training sessions, both on court and in the gym, through strength and conditioning at an elite leve</w:t>
      </w:r>
      <w:r>
        <w:rPr>
          <w:rFonts w:ascii="Times New Roman" w:eastAsia="Times New Roman" w:hAnsi="Times New Roman"/>
          <w:color w:val="0070C0"/>
          <w:sz w:val="24"/>
          <w:szCs w:val="24"/>
        </w:rPr>
        <w:t xml:space="preserve">l. </w:t>
      </w:r>
      <w:proofErr w:type="spellStart"/>
      <w:r>
        <w:rPr>
          <w:rFonts w:ascii="Times New Roman" w:eastAsia="Times New Roman" w:hAnsi="Times New Roman"/>
          <w:sz w:val="24"/>
          <w:szCs w:val="24"/>
        </w:rPr>
        <w:t>Elphinston</w:t>
      </w:r>
      <w:proofErr w:type="spellEnd"/>
      <w:r>
        <w:rPr>
          <w:rFonts w:ascii="Times New Roman" w:eastAsia="Times New Roman" w:hAnsi="Times New Roman"/>
          <w:sz w:val="24"/>
          <w:szCs w:val="24"/>
        </w:rPr>
        <w:t xml:space="preserve"> and Hardman (2006), state that levels of physical preparation at the elite level are suboptimal in differing countries. With the best level of practice of physical preparation is seen in the southern hemisphere by leading countries like Australia and New Zealand, versus the Welsh National team showing serious under-preparation and a lack of stability, mobility, and the capacity to execute fundamental movements required on court</w:t>
      </w:r>
      <w:r>
        <w:rPr>
          <w:rFonts w:ascii="Times New Roman" w:eastAsia="Times New Roman" w:hAnsi="Times New Roman"/>
          <w:b/>
          <w:bCs/>
          <w:color w:val="FF0000"/>
          <w:sz w:val="24"/>
          <w:szCs w:val="24"/>
        </w:rPr>
        <w:t xml:space="preserve"> </w:t>
      </w:r>
      <w:r>
        <w:rPr>
          <w:rFonts w:ascii="Times New Roman" w:eastAsia="Times New Roman" w:hAnsi="Times New Roman"/>
          <w:sz w:val="24"/>
          <w:szCs w:val="24"/>
        </w:rPr>
        <w:t>(</w:t>
      </w:r>
      <w:proofErr w:type="spellStart"/>
      <w:r>
        <w:rPr>
          <w:rFonts w:ascii="Times New Roman" w:eastAsia="Times New Roman" w:hAnsi="Times New Roman"/>
          <w:sz w:val="24"/>
          <w:szCs w:val="24"/>
        </w:rPr>
        <w:t>Elphinston</w:t>
      </w:r>
      <w:proofErr w:type="spellEnd"/>
      <w:r>
        <w:rPr>
          <w:rFonts w:ascii="Times New Roman" w:eastAsia="Times New Roman" w:hAnsi="Times New Roman"/>
          <w:sz w:val="24"/>
          <w:szCs w:val="24"/>
        </w:rPr>
        <w:t xml:space="preserve"> and Hardman, 2006).</w:t>
      </w:r>
    </w:p>
    <w:p w14:paraId="065AFD26" w14:textId="77777777" w:rsidR="0045647E" w:rsidRDefault="00B82765">
      <w:pPr>
        <w:shd w:val="clear" w:color="auto" w:fill="FFFFFF"/>
        <w:spacing w:after="288" w:line="360" w:lineRule="auto"/>
      </w:pPr>
      <w:proofErr w:type="spellStart"/>
      <w:r>
        <w:rPr>
          <w:rFonts w:ascii="Times New Roman" w:eastAsia="Times New Roman" w:hAnsi="Times New Roman"/>
          <w:sz w:val="24"/>
          <w:szCs w:val="24"/>
        </w:rPr>
        <w:t>Elphinston</w:t>
      </w:r>
      <w:proofErr w:type="spellEnd"/>
      <w:r>
        <w:rPr>
          <w:rFonts w:ascii="Times New Roman" w:eastAsia="Times New Roman" w:hAnsi="Times New Roman"/>
          <w:sz w:val="24"/>
          <w:szCs w:val="24"/>
        </w:rPr>
        <w:t xml:space="preserve"> and Hardman (2006), suggest that standards of physical preparation differ among the Northern and Southern Hemispheres with physical preparation concerning differing playing positions on the </w:t>
      </w:r>
      <w:r>
        <w:rPr>
          <w:rFonts w:ascii="Times New Roman" w:eastAsia="Times New Roman" w:hAnsi="Times New Roman"/>
          <w:sz w:val="24"/>
          <w:szCs w:val="24"/>
        </w:rPr>
        <w:t>court attributes to different relevant physical emphasis on movements and sports skills varying between the different playing positions. Within this, different somatotypes are exhibited by players selected to play in differing playing court groupings, defence, midfield, and attack. At the elite performance level, mesomorphic bodies are seen amongst the midfield (muscular midfield players), and ectomorphic bodies are seen in the defence and attack (players with long limb length and height) (Hopper, 1997).</w:t>
      </w:r>
    </w:p>
    <w:p w14:paraId="6BAE46B6" w14:textId="77777777" w:rsidR="0045647E" w:rsidRDefault="00B82765">
      <w:pPr>
        <w:shd w:val="clear" w:color="auto" w:fill="FFFFFF"/>
        <w:spacing w:after="288" w:line="360" w:lineRule="auto"/>
      </w:pPr>
      <w:r>
        <w:rPr>
          <w:rFonts w:ascii="Times New Roman" w:eastAsia="Times New Roman" w:hAnsi="Times New Roman"/>
          <w:sz w:val="24"/>
          <w:szCs w:val="24"/>
        </w:rPr>
        <w:lastRenderedPageBreak/>
        <w:t>In comparison to other sports, within rugby, forwards' footwear has been adapted with longer stud length to allow for more control and stability when in a scrum, allowing forwards and backs to have differing footwear for specific movement patterns they complete</w:t>
      </w:r>
      <w:r>
        <w:rPr>
          <w:rFonts w:ascii="Times New Roman" w:eastAsia="Times New Roman" w:hAnsi="Times New Roman"/>
          <w:color w:val="0070C0"/>
          <w:sz w:val="24"/>
          <w:szCs w:val="24"/>
        </w:rPr>
        <w:t xml:space="preserve"> </w:t>
      </w:r>
      <w:r>
        <w:rPr>
          <w:rFonts w:ascii="Times New Roman" w:eastAsia="Times New Roman" w:hAnsi="Times New Roman"/>
          <w:b/>
          <w:bCs/>
          <w:sz w:val="24"/>
          <w:szCs w:val="24"/>
        </w:rPr>
        <w:t>(</w:t>
      </w:r>
      <w:r>
        <w:rPr>
          <w:rFonts w:ascii="Times New Roman" w:eastAsia="Times New Roman" w:hAnsi="Times New Roman"/>
          <w:sz w:val="24"/>
          <w:szCs w:val="24"/>
        </w:rPr>
        <w:t>Lovell-rugby.co.uk, 2024). Netball sport-specific footwear was created with the intention that all netball players need the same support from their footwear, no matter their playing position; therefore, the shoes are not currently court playing position specific and have been generalised to be available to all players (Hopper, 1997).</w:t>
      </w:r>
    </w:p>
    <w:p w14:paraId="17DB9EE5" w14:textId="77777777" w:rsidR="0045647E" w:rsidRDefault="00B82765">
      <w:pPr>
        <w:shd w:val="clear" w:color="auto" w:fill="FFFFFF"/>
        <w:spacing w:after="288" w:line="360" w:lineRule="auto"/>
      </w:pPr>
      <w:r>
        <w:rPr>
          <w:rFonts w:ascii="Times New Roman" w:eastAsia="Times New Roman" w:hAnsi="Times New Roman"/>
          <w:sz w:val="24"/>
          <w:szCs w:val="24"/>
        </w:rPr>
        <w:t xml:space="preserve">The midcourt players, </w:t>
      </w:r>
      <w:proofErr w:type="spellStart"/>
      <w:r>
        <w:rPr>
          <w:rFonts w:ascii="Times New Roman" w:eastAsia="Times New Roman" w:hAnsi="Times New Roman"/>
          <w:sz w:val="24"/>
          <w:szCs w:val="24"/>
        </w:rPr>
        <w:t>Centers</w:t>
      </w:r>
      <w:proofErr w:type="spellEnd"/>
      <w:r>
        <w:rPr>
          <w:rFonts w:ascii="Times New Roman" w:eastAsia="Times New Roman" w:hAnsi="Times New Roman"/>
          <w:sz w:val="24"/>
          <w:szCs w:val="24"/>
        </w:rPr>
        <w:t xml:space="preserve"> (C), Wing Attack (WA) and Wing Defence (WD) cover the most distance on the court, accumulating greater player loads, with the likelihood of this pertaining to restrictions of court movements for the Goal Defence (GD), Goal Attack (GA) </w:t>
      </w:r>
      <w:proofErr w:type="gramStart"/>
      <w:r>
        <w:rPr>
          <w:rFonts w:ascii="Times New Roman" w:eastAsia="Times New Roman" w:hAnsi="Times New Roman"/>
          <w:sz w:val="24"/>
          <w:szCs w:val="24"/>
        </w:rPr>
        <w:t>Goal Keeper</w:t>
      </w:r>
      <w:proofErr w:type="gramEnd"/>
      <w:r>
        <w:rPr>
          <w:rFonts w:ascii="Times New Roman" w:eastAsia="Times New Roman" w:hAnsi="Times New Roman"/>
          <w:sz w:val="24"/>
          <w:szCs w:val="24"/>
        </w:rPr>
        <w:t xml:space="preserve"> (GK) and Goal Shooter (GS) positions (Fish and Greig, 2014).</w:t>
      </w:r>
    </w:p>
    <w:p w14:paraId="5F6B6485" w14:textId="77777777" w:rsidR="0045647E" w:rsidRDefault="00B82765">
      <w:pPr>
        <w:shd w:val="clear" w:color="auto" w:fill="FFFFFF"/>
        <w:spacing w:after="288" w:line="360" w:lineRule="auto"/>
      </w:pPr>
      <w:r>
        <w:rPr>
          <w:rFonts w:ascii="Times New Roman" w:eastAsia="Times New Roman" w:hAnsi="Times New Roman"/>
          <w:sz w:val="24"/>
          <w:szCs w:val="24"/>
        </w:rPr>
        <w:t>Majority of the existing literature focuses on the characteristics of netball and the physical demands of match play via the differing positions. The groupings of players, Midcourt, Defence and Attack Shooters all show differences in height, body type/mass and physical characteristic differences. Defenders and Shooters show greater height and body mass values compared to midcourt players</w:t>
      </w:r>
      <w:r>
        <w:rPr>
          <w:rFonts w:ascii="Times New Roman" w:eastAsia="Times New Roman" w:hAnsi="Times New Roman"/>
          <w:color w:val="0070C0"/>
          <w:sz w:val="24"/>
          <w:szCs w:val="24"/>
        </w:rPr>
        <w:t xml:space="preserve"> </w:t>
      </w:r>
      <w:r>
        <w:rPr>
          <w:rFonts w:ascii="Times New Roman" w:eastAsia="Times New Roman" w:hAnsi="Times New Roman"/>
          <w:sz w:val="24"/>
          <w:szCs w:val="24"/>
        </w:rPr>
        <w:t xml:space="preserve">(Fish and Greig, 2014). </w:t>
      </w:r>
      <w:r>
        <w:rPr>
          <w:rFonts w:ascii="Times New Roman" w:eastAsia="Times New Roman" w:hAnsi="Times New Roman"/>
          <w:b/>
          <w:bCs/>
          <w:color w:val="FF0000"/>
          <w:sz w:val="24"/>
          <w:szCs w:val="24"/>
          <w:u w:val="single"/>
        </w:rPr>
        <w:t xml:space="preserve"> </w:t>
      </w:r>
      <w:r>
        <w:rPr>
          <w:rFonts w:ascii="Times New Roman" w:eastAsia="Times New Roman" w:hAnsi="Times New Roman"/>
          <w:sz w:val="24"/>
          <w:szCs w:val="24"/>
        </w:rPr>
        <w:t xml:space="preserve">However, there is no evidence to suggest that the playing positions would create a need for a difference in the standard of netball-specific shoes available although there are noted different physical demands placed upon playing position. </w:t>
      </w:r>
    </w:p>
    <w:p w14:paraId="35FC3E66" w14:textId="77777777" w:rsidR="0045647E" w:rsidRDefault="0045647E">
      <w:pPr>
        <w:spacing w:line="360" w:lineRule="auto"/>
        <w:rPr>
          <w:rFonts w:ascii="Times New Roman" w:eastAsia="Times New Roman" w:hAnsi="Times New Roman"/>
          <w:sz w:val="24"/>
          <w:szCs w:val="24"/>
        </w:rPr>
      </w:pPr>
    </w:p>
    <w:p w14:paraId="28F2A11A" w14:textId="77777777"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t xml:space="preserve">Physical Preparation </w:t>
      </w:r>
    </w:p>
    <w:p w14:paraId="7F1B384F" w14:textId="77777777" w:rsidR="0045647E" w:rsidRDefault="00B82765">
      <w:pPr>
        <w:shd w:val="clear" w:color="auto" w:fill="FFFFFF"/>
        <w:spacing w:after="288" w:line="360" w:lineRule="auto"/>
      </w:pPr>
      <w:r>
        <w:rPr>
          <w:rFonts w:ascii="Times New Roman" w:eastAsia="Times New Roman" w:hAnsi="Times New Roman"/>
          <w:sz w:val="24"/>
          <w:szCs w:val="24"/>
        </w:rPr>
        <w:t xml:space="preserve">The </w:t>
      </w:r>
      <w:proofErr w:type="gramStart"/>
      <w:r>
        <w:rPr>
          <w:rFonts w:ascii="Times New Roman" w:eastAsia="Times New Roman" w:hAnsi="Times New Roman"/>
          <w:sz w:val="24"/>
          <w:szCs w:val="24"/>
        </w:rPr>
        <w:t>implications</w:t>
      </w:r>
      <w:proofErr w:type="gramEnd"/>
      <w:r>
        <w:rPr>
          <w:rFonts w:ascii="Times New Roman" w:eastAsia="Times New Roman" w:hAnsi="Times New Roman"/>
          <w:sz w:val="24"/>
          <w:szCs w:val="24"/>
        </w:rPr>
        <w:t xml:space="preserve"> around physical preparation surrounds the need for the development of strong muscles and connective tissues, the activation of corresponding muscle recruitment and activation strategies, which could be argued that the primary objective of physical preparation within netball is to guard against injuries. With the rulings surrounding footwork in netball requiring players to establish a landing foot that remains planted, and the opposing foot being able to take a singular step in any direction, mo</w:t>
      </w:r>
      <w:r>
        <w:rPr>
          <w:rFonts w:ascii="Times New Roman" w:eastAsia="Times New Roman" w:hAnsi="Times New Roman"/>
          <w:sz w:val="24"/>
          <w:szCs w:val="24"/>
        </w:rPr>
        <w:t>st landing mechanisms happen with a single limb touchdown involving considerable reaction forces placed upon these singular limbs. Previous reports show values of up to 6.8 times body mass force placed upon the limbs during landing mechanisms</w:t>
      </w:r>
      <w:r>
        <w:rPr>
          <w:rFonts w:ascii="Times New Roman" w:eastAsia="Times New Roman" w:hAnsi="Times New Roman"/>
          <w:b/>
          <w:bCs/>
          <w:color w:val="FF0000"/>
          <w:sz w:val="24"/>
          <w:szCs w:val="24"/>
          <w:u w:val="single"/>
        </w:rPr>
        <w:t xml:space="preserve"> </w:t>
      </w:r>
      <w:r>
        <w:rPr>
          <w:rFonts w:ascii="Times New Roman" w:eastAsia="Times New Roman" w:hAnsi="Times New Roman"/>
          <w:sz w:val="24"/>
          <w:szCs w:val="24"/>
        </w:rPr>
        <w:t>(Birdsey et al., 2019).</w:t>
      </w:r>
    </w:p>
    <w:p w14:paraId="524C350B" w14:textId="77777777" w:rsidR="0045647E" w:rsidRDefault="00B82765">
      <w:pPr>
        <w:spacing w:line="360" w:lineRule="auto"/>
      </w:pPr>
      <w:r>
        <w:rPr>
          <w:rFonts w:ascii="Times New Roman" w:eastAsia="Times New Roman" w:hAnsi="Times New Roman"/>
          <w:sz w:val="24"/>
          <w:szCs w:val="24"/>
        </w:rPr>
        <w:lastRenderedPageBreak/>
        <w:t>This information would have been gathered post creation of standardised netball-specific footwear; however, would be part of the reason that netball-specific footwear is constantly evolving and adapting with intense gel cushioning and shock absorbing features to reduce injury occurrences caused by intense high repetitive volumes of landing stress placed upon the limbs (Hopper, McNair and Elliott, 1999).</w:t>
      </w:r>
    </w:p>
    <w:p w14:paraId="509BDB0F" w14:textId="77777777" w:rsidR="0045647E" w:rsidRDefault="00B82765">
      <w:pPr>
        <w:spacing w:line="360" w:lineRule="auto"/>
      </w:pPr>
      <w:r>
        <w:rPr>
          <w:rFonts w:ascii="Times New Roman" w:eastAsia="Times New Roman" w:hAnsi="Times New Roman"/>
          <w:b/>
          <w:bCs/>
          <w:sz w:val="24"/>
          <w:szCs w:val="24"/>
        </w:rPr>
        <w:t xml:space="preserve"> </w:t>
      </w:r>
      <w:r>
        <w:rPr>
          <w:rFonts w:ascii="Times New Roman" w:eastAsia="Times New Roman" w:hAnsi="Times New Roman"/>
          <w:sz w:val="24"/>
          <w:szCs w:val="24"/>
        </w:rPr>
        <w:t>The footwork rulings create a variety of landing techniques, including the single-limb land via a hop or a leap, a vertical jump landing on both feet. Still, the technique most likely to impose the greatest force loading on the lower limbs via kinematic testing is a land pivot and turn movement. The influence of lower limb kinetics from the landing movements varies from player to player, concerning the demands of the movement created. Dominant versus non-dominant leg, pass played (loop, chest, bounce, overh</w:t>
      </w:r>
      <w:r>
        <w:rPr>
          <w:rFonts w:ascii="Times New Roman" w:eastAsia="Times New Roman" w:hAnsi="Times New Roman"/>
          <w:sz w:val="24"/>
          <w:szCs w:val="24"/>
        </w:rPr>
        <w:t>ead), height of the pass, and movement made to intercept the ball are all factors influencing landing technique and impact forces placed on the lower limb (Otago, 2004).</w:t>
      </w:r>
    </w:p>
    <w:p w14:paraId="062FB627" w14:textId="77777777" w:rsidR="0045647E" w:rsidRDefault="00B82765">
      <w:pPr>
        <w:spacing w:line="360" w:lineRule="auto"/>
      </w:pPr>
      <w:r>
        <w:rPr>
          <w:rFonts w:ascii="Times New Roman" w:eastAsia="Times New Roman" w:hAnsi="Times New Roman"/>
          <w:sz w:val="24"/>
          <w:szCs w:val="24"/>
        </w:rPr>
        <w:t xml:space="preserve">Netball-specific shoes were designed with rubber soles to aid movements on the </w:t>
      </w:r>
      <w:r>
        <w:rPr>
          <w:rFonts w:ascii="Times New Roman" w:eastAsia="Times New Roman" w:hAnsi="Times New Roman"/>
          <w:sz w:val="24"/>
          <w:szCs w:val="24"/>
        </w:rPr>
        <w:t>hard-court surfaces. Still, research shows the dual purpose of the soles in establishing a solid, stable base when completing movements such as a land pivot and turn, focusing on allowing players to be able to move successfully without fear of slipping or sliding on the surface with the rubber soles. The elite netball players develop strategies to attenuate impact forces by evenly distributing the forces by adopting greater hip and knee flexion when completing landing movements, to reduce the risk of injury</w:t>
      </w:r>
      <w:r>
        <w:rPr>
          <w:rFonts w:ascii="Times New Roman" w:eastAsia="Times New Roman" w:hAnsi="Times New Roman"/>
          <w:sz w:val="24"/>
          <w:szCs w:val="24"/>
        </w:rPr>
        <w:t xml:space="preserve"> to the lower limb kinetic chain (Otago, 2004). </w:t>
      </w:r>
      <w:r>
        <w:rPr>
          <w:rFonts w:ascii="Times New Roman" w:eastAsia="Times New Roman" w:hAnsi="Times New Roman"/>
          <w:color w:val="0070C0"/>
          <w:sz w:val="24"/>
          <w:szCs w:val="24"/>
        </w:rPr>
        <w:t xml:space="preserve"> </w:t>
      </w:r>
      <w:r>
        <w:rPr>
          <w:rFonts w:ascii="Times New Roman" w:eastAsia="Times New Roman" w:hAnsi="Times New Roman"/>
          <w:sz w:val="24"/>
          <w:szCs w:val="24"/>
        </w:rPr>
        <w:t xml:space="preserve">This literature review will investigate current up-to-date available literature examining the influence of netball-specific and minimalist footwear utilising readily available data surrounding the kinematics of sport-specific movements, to ultimately help attenuate the high incidence of lower extremity injuries in the selection of appropriate footwear choices. </w:t>
      </w:r>
    </w:p>
    <w:p w14:paraId="6F6BB8A0" w14:textId="77777777" w:rsidR="0045647E" w:rsidRDefault="0045647E">
      <w:pPr>
        <w:spacing w:line="360" w:lineRule="auto"/>
        <w:rPr>
          <w:rFonts w:ascii="Times New Roman" w:eastAsia="Times New Roman" w:hAnsi="Times New Roman"/>
          <w:sz w:val="24"/>
          <w:szCs w:val="24"/>
        </w:rPr>
      </w:pPr>
    </w:p>
    <w:p w14:paraId="1296D6C0" w14:textId="77777777" w:rsidR="0045647E" w:rsidRDefault="0045647E">
      <w:pPr>
        <w:spacing w:line="360" w:lineRule="auto"/>
        <w:rPr>
          <w:rFonts w:ascii="Times New Roman" w:eastAsia="Times New Roman" w:hAnsi="Times New Roman"/>
          <w:sz w:val="24"/>
          <w:szCs w:val="24"/>
        </w:rPr>
      </w:pPr>
    </w:p>
    <w:p w14:paraId="3FB94AB5" w14:textId="77777777" w:rsidR="0045647E" w:rsidRDefault="0045647E">
      <w:pPr>
        <w:spacing w:line="360" w:lineRule="auto"/>
        <w:rPr>
          <w:rFonts w:ascii="Times New Roman" w:eastAsia="Times New Roman" w:hAnsi="Times New Roman"/>
          <w:sz w:val="24"/>
          <w:szCs w:val="24"/>
        </w:rPr>
      </w:pPr>
    </w:p>
    <w:p w14:paraId="4273DC1E" w14:textId="77777777" w:rsidR="0045647E" w:rsidRDefault="0045647E">
      <w:pPr>
        <w:spacing w:line="360" w:lineRule="auto"/>
        <w:rPr>
          <w:rFonts w:ascii="Times New Roman" w:eastAsia="Times New Roman" w:hAnsi="Times New Roman"/>
          <w:sz w:val="24"/>
          <w:szCs w:val="24"/>
        </w:rPr>
      </w:pPr>
    </w:p>
    <w:p w14:paraId="71D046FC" w14:textId="77777777" w:rsidR="0045647E" w:rsidRDefault="0045647E">
      <w:pPr>
        <w:spacing w:line="360" w:lineRule="auto"/>
        <w:rPr>
          <w:rFonts w:ascii="Times New Roman" w:eastAsia="Times New Roman" w:hAnsi="Times New Roman"/>
          <w:sz w:val="24"/>
          <w:szCs w:val="24"/>
        </w:rPr>
      </w:pPr>
    </w:p>
    <w:p w14:paraId="2BAAA160" w14:textId="77777777" w:rsidR="0045647E" w:rsidRDefault="0045647E">
      <w:pPr>
        <w:spacing w:line="360" w:lineRule="auto"/>
        <w:rPr>
          <w:rFonts w:ascii="Times New Roman" w:eastAsia="Times New Roman" w:hAnsi="Times New Roman"/>
          <w:sz w:val="24"/>
          <w:szCs w:val="24"/>
        </w:rPr>
      </w:pPr>
    </w:p>
    <w:p w14:paraId="4BFDB511" w14:textId="77777777"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lastRenderedPageBreak/>
        <w:t>Method:</w:t>
      </w:r>
    </w:p>
    <w:p w14:paraId="5F183B2B" w14:textId="77777777" w:rsidR="0045647E" w:rsidRDefault="0045647E">
      <w:pPr>
        <w:spacing w:line="360" w:lineRule="auto"/>
        <w:rPr>
          <w:rFonts w:ascii="Times New Roman" w:eastAsia="Times New Roman" w:hAnsi="Times New Roman"/>
          <w:sz w:val="24"/>
          <w:szCs w:val="24"/>
        </w:rPr>
      </w:pPr>
    </w:p>
    <w:p w14:paraId="3FA2D356"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 The aim of this study was to review existing literature relating to sport specific and minimalist footwear and injury prevalence in netball. A narrative review was carried out considering the available evidence addressing the review question as to whether sport-specific netball trainers versus regular minimalist trainers provide a reduction in injury rates within netball. A literature search was conducted using electronic databases/search engines: Science Direct, Google Scholar, and Research Gate.</w:t>
      </w:r>
    </w:p>
    <w:p w14:paraId="6492679A"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A qualitative research method is to be used to answer the proposed research question. Focusing on observing and interpreting readily available data, providing depth and context to answer the research question. Using a narrative review to conduct the research, answering the question through content analysis and observations. Although, there will be elements of statistical data used within the research, the main aim is to evaluate and interpret the data available through research. </w:t>
      </w:r>
    </w:p>
    <w:p w14:paraId="5F9D6539" w14:textId="77777777" w:rsidR="0045647E" w:rsidRDefault="00B82765">
      <w:pPr>
        <w:pBdr>
          <w:top w:val="single" w:sz="6" w:space="12" w:color="D5D5D5"/>
        </w:pBdr>
        <w:spacing w:line="360" w:lineRule="auto"/>
      </w:pPr>
      <w:r>
        <w:rPr>
          <w:rFonts w:ascii="Times New Roman" w:eastAsia="Times New Roman" w:hAnsi="Times New Roman"/>
          <w:sz w:val="24"/>
          <w:szCs w:val="24"/>
        </w:rPr>
        <w:t>In searching for the studies, the research question terminology was included in the title, abstract, and subject field of each database. The key search terms were concerning netball-specific footwear (Netball Footwear OR Netball Shoes OR Netball-Specific Footwear OR Netball-Specific Shoes OR Netball Trainers OR Netball ASICS, MIZUNO, GILBERT Footwear) (18 Netball-specific shoes were available in Australia in 2021, however these were the three most notable brands dominating in any literature) and injury rate</w:t>
      </w:r>
      <w:r>
        <w:rPr>
          <w:rFonts w:ascii="Times New Roman" w:eastAsia="Times New Roman" w:hAnsi="Times New Roman"/>
          <w:sz w:val="24"/>
          <w:szCs w:val="24"/>
        </w:rPr>
        <w:t>s (Injuries in Netball OR Netball Injuries OR Lower Limb Injuries in Netball OR Injury Rates in Netball OR Injury Reduction Rates in Netball) and combinations thereof (Asics, 2025).</w:t>
      </w:r>
    </w:p>
    <w:p w14:paraId="34411339" w14:textId="77777777" w:rsidR="0045647E" w:rsidRDefault="00B82765">
      <w:pPr>
        <w:pBdr>
          <w:top w:val="single" w:sz="6" w:space="12" w:color="D5D5D5"/>
        </w:pBd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Studies were deemed eligible for inclusion within the research if they met the following criteria: 1) original articles (randomised control trials, non-randomised control trials, </w:t>
      </w:r>
      <w:r>
        <w:rPr>
          <w:rFonts w:ascii="Times New Roman" w:eastAsia="Times New Roman" w:hAnsi="Times New Roman"/>
          <w:sz w:val="24"/>
          <w:szCs w:val="24"/>
        </w:rPr>
        <w:t>cross-sectional studies) that were published in the English language, 2) investigated the role of netball-specific footwear versus regular minimalist footwear in the reduction of injury rates, 3) were qualitative and quantitative studies with an abstract and full text available up to March 2024. Not imposing a start date upon research gathered allows for a reduction in restrictions of the research reviewed, creating a bigger pool of research to be obtained.</w:t>
      </w:r>
    </w:p>
    <w:p w14:paraId="3F8B518A" w14:textId="77777777" w:rsidR="0045647E" w:rsidRDefault="00B82765">
      <w:pPr>
        <w:pBdr>
          <w:top w:val="single" w:sz="6" w:space="12" w:color="D5D5D5"/>
        </w:pBdr>
        <w:spacing w:line="360" w:lineRule="auto"/>
      </w:pPr>
      <w:r>
        <w:rPr>
          <w:rFonts w:ascii="Times New Roman" w:eastAsia="Times New Roman" w:hAnsi="Times New Roman"/>
          <w:sz w:val="24"/>
          <w:szCs w:val="24"/>
        </w:rPr>
        <w:lastRenderedPageBreak/>
        <w:t xml:space="preserve">Originally, the research of literature consisted of using four search engines. However, the search engine proved a lack of articles available within the keywords used to search the databases. PubMed (National Library of Medicine) was the original fourth search engine to be used; however, all articles surrounding ‘netball injuries and footwear’ produced articles relating to basketball injuries. Although the two sports are similar, basketball has been heavily influenced by the media in the development of the </w:t>
      </w:r>
      <w:r>
        <w:rPr>
          <w:rFonts w:ascii="Times New Roman" w:eastAsia="Times New Roman" w:hAnsi="Times New Roman"/>
          <w:sz w:val="24"/>
          <w:szCs w:val="24"/>
        </w:rPr>
        <w:t xml:space="preserve">technology concerning footwear and therefore is not relevant to the research conducted. </w:t>
      </w:r>
    </w:p>
    <w:p w14:paraId="5EC4012F" w14:textId="77777777" w:rsidR="0045647E" w:rsidRDefault="0045647E">
      <w:pPr>
        <w:spacing w:line="360" w:lineRule="auto"/>
        <w:rPr>
          <w:rFonts w:ascii="Times New Roman" w:eastAsia="Times New Roman" w:hAnsi="Times New Roman"/>
          <w:sz w:val="24"/>
          <w:szCs w:val="24"/>
        </w:rPr>
      </w:pPr>
    </w:p>
    <w:p w14:paraId="206E510D" w14:textId="77777777" w:rsidR="0045647E" w:rsidRDefault="0045647E">
      <w:pPr>
        <w:spacing w:line="360" w:lineRule="auto"/>
        <w:rPr>
          <w:rFonts w:ascii="Times New Roman" w:eastAsia="Times New Roman" w:hAnsi="Times New Roman"/>
          <w:sz w:val="24"/>
          <w:szCs w:val="24"/>
        </w:rPr>
      </w:pPr>
    </w:p>
    <w:p w14:paraId="4328258E" w14:textId="77777777" w:rsidR="0045647E" w:rsidRDefault="0045647E">
      <w:pPr>
        <w:spacing w:line="360" w:lineRule="auto"/>
        <w:rPr>
          <w:rFonts w:ascii="Times New Roman" w:eastAsia="Times New Roman" w:hAnsi="Times New Roman"/>
          <w:sz w:val="24"/>
          <w:szCs w:val="24"/>
        </w:rPr>
      </w:pPr>
    </w:p>
    <w:p w14:paraId="76359D83" w14:textId="77777777" w:rsidR="0045647E" w:rsidRDefault="0045647E">
      <w:pPr>
        <w:spacing w:line="360" w:lineRule="auto"/>
        <w:rPr>
          <w:rFonts w:ascii="Times New Roman" w:eastAsia="Times New Roman" w:hAnsi="Times New Roman"/>
          <w:sz w:val="24"/>
          <w:szCs w:val="24"/>
        </w:rPr>
      </w:pPr>
    </w:p>
    <w:p w14:paraId="01E89E22" w14:textId="77777777" w:rsidR="0045647E" w:rsidRDefault="0045647E">
      <w:pPr>
        <w:spacing w:line="360" w:lineRule="auto"/>
        <w:rPr>
          <w:rFonts w:ascii="Times New Roman" w:eastAsia="Times New Roman" w:hAnsi="Times New Roman"/>
          <w:sz w:val="24"/>
          <w:szCs w:val="24"/>
        </w:rPr>
      </w:pPr>
    </w:p>
    <w:p w14:paraId="5407356C" w14:textId="77777777" w:rsidR="0045647E" w:rsidRDefault="0045647E">
      <w:pPr>
        <w:spacing w:line="360" w:lineRule="auto"/>
        <w:rPr>
          <w:rFonts w:ascii="Times New Roman" w:eastAsia="Times New Roman" w:hAnsi="Times New Roman"/>
          <w:sz w:val="24"/>
          <w:szCs w:val="24"/>
        </w:rPr>
      </w:pPr>
    </w:p>
    <w:p w14:paraId="33995D7C" w14:textId="77777777" w:rsidR="0045647E" w:rsidRDefault="0045647E">
      <w:pPr>
        <w:spacing w:line="360" w:lineRule="auto"/>
        <w:rPr>
          <w:rFonts w:ascii="Times New Roman" w:eastAsia="Times New Roman" w:hAnsi="Times New Roman"/>
          <w:sz w:val="24"/>
          <w:szCs w:val="24"/>
        </w:rPr>
      </w:pPr>
    </w:p>
    <w:p w14:paraId="1DA42216" w14:textId="77777777" w:rsidR="0045647E" w:rsidRDefault="0045647E">
      <w:pPr>
        <w:spacing w:line="360" w:lineRule="auto"/>
        <w:rPr>
          <w:rFonts w:ascii="Times New Roman" w:eastAsia="Times New Roman" w:hAnsi="Times New Roman"/>
          <w:sz w:val="24"/>
          <w:szCs w:val="24"/>
        </w:rPr>
      </w:pPr>
    </w:p>
    <w:p w14:paraId="3CBC56C5" w14:textId="77777777" w:rsidR="0045647E" w:rsidRDefault="0045647E">
      <w:pPr>
        <w:spacing w:line="360" w:lineRule="auto"/>
        <w:rPr>
          <w:rFonts w:ascii="Times New Roman" w:eastAsia="Times New Roman" w:hAnsi="Times New Roman"/>
          <w:sz w:val="24"/>
          <w:szCs w:val="24"/>
        </w:rPr>
      </w:pPr>
    </w:p>
    <w:p w14:paraId="2059A6EC" w14:textId="77777777" w:rsidR="0045647E" w:rsidRDefault="0045647E">
      <w:pPr>
        <w:spacing w:line="360" w:lineRule="auto"/>
        <w:rPr>
          <w:rFonts w:ascii="Times New Roman" w:eastAsia="Times New Roman" w:hAnsi="Times New Roman"/>
          <w:sz w:val="24"/>
          <w:szCs w:val="24"/>
        </w:rPr>
      </w:pPr>
    </w:p>
    <w:p w14:paraId="2A658008" w14:textId="77777777" w:rsidR="0045647E" w:rsidRDefault="0045647E">
      <w:pPr>
        <w:spacing w:line="360" w:lineRule="auto"/>
        <w:rPr>
          <w:rFonts w:ascii="Times New Roman" w:eastAsia="Times New Roman" w:hAnsi="Times New Roman"/>
          <w:sz w:val="24"/>
          <w:szCs w:val="24"/>
        </w:rPr>
      </w:pPr>
    </w:p>
    <w:p w14:paraId="12ED73A6" w14:textId="77777777" w:rsidR="0045647E" w:rsidRDefault="0045647E">
      <w:pPr>
        <w:spacing w:line="360" w:lineRule="auto"/>
        <w:rPr>
          <w:rFonts w:ascii="Times New Roman" w:eastAsia="Times New Roman" w:hAnsi="Times New Roman"/>
          <w:sz w:val="24"/>
          <w:szCs w:val="24"/>
        </w:rPr>
      </w:pPr>
    </w:p>
    <w:p w14:paraId="3A7A5862" w14:textId="77777777" w:rsidR="0045647E" w:rsidRDefault="0045647E">
      <w:pPr>
        <w:spacing w:line="360" w:lineRule="auto"/>
        <w:rPr>
          <w:rFonts w:ascii="Times New Roman" w:eastAsia="Times New Roman" w:hAnsi="Times New Roman"/>
          <w:sz w:val="24"/>
          <w:szCs w:val="24"/>
        </w:rPr>
      </w:pPr>
    </w:p>
    <w:p w14:paraId="029D8078" w14:textId="77777777" w:rsidR="0045647E" w:rsidRDefault="0045647E">
      <w:pPr>
        <w:spacing w:line="360" w:lineRule="auto"/>
        <w:rPr>
          <w:rFonts w:ascii="Times New Roman" w:eastAsia="Times New Roman" w:hAnsi="Times New Roman"/>
          <w:sz w:val="24"/>
          <w:szCs w:val="24"/>
        </w:rPr>
      </w:pPr>
    </w:p>
    <w:p w14:paraId="6F563F67" w14:textId="77777777" w:rsidR="0045647E" w:rsidRDefault="0045647E">
      <w:pPr>
        <w:spacing w:line="360" w:lineRule="auto"/>
        <w:rPr>
          <w:rFonts w:ascii="Times New Roman" w:eastAsia="Times New Roman" w:hAnsi="Times New Roman"/>
          <w:sz w:val="24"/>
          <w:szCs w:val="24"/>
        </w:rPr>
      </w:pPr>
    </w:p>
    <w:p w14:paraId="5ACB3B05" w14:textId="77777777" w:rsidR="0045647E" w:rsidRDefault="0045647E">
      <w:pPr>
        <w:spacing w:line="360" w:lineRule="auto"/>
        <w:rPr>
          <w:rFonts w:ascii="Times New Roman" w:eastAsia="Times New Roman" w:hAnsi="Times New Roman"/>
          <w:sz w:val="24"/>
          <w:szCs w:val="24"/>
        </w:rPr>
      </w:pPr>
    </w:p>
    <w:p w14:paraId="41A40F40" w14:textId="77777777" w:rsidR="0045647E" w:rsidRDefault="0045647E">
      <w:pPr>
        <w:spacing w:line="360" w:lineRule="auto"/>
        <w:rPr>
          <w:rFonts w:ascii="Times New Roman" w:eastAsia="Times New Roman" w:hAnsi="Times New Roman"/>
          <w:sz w:val="24"/>
          <w:szCs w:val="24"/>
        </w:rPr>
      </w:pPr>
    </w:p>
    <w:p w14:paraId="4DE9DB52" w14:textId="77777777" w:rsidR="0045647E" w:rsidRDefault="0045647E">
      <w:pPr>
        <w:spacing w:line="360" w:lineRule="auto"/>
        <w:rPr>
          <w:rFonts w:ascii="Times New Roman" w:eastAsia="Times New Roman" w:hAnsi="Times New Roman"/>
          <w:sz w:val="24"/>
          <w:szCs w:val="24"/>
        </w:rPr>
      </w:pPr>
    </w:p>
    <w:p w14:paraId="1F8FC729" w14:textId="77777777" w:rsidR="0045647E" w:rsidRDefault="0045647E">
      <w:pPr>
        <w:spacing w:line="360" w:lineRule="auto"/>
        <w:rPr>
          <w:rFonts w:ascii="Times New Roman" w:eastAsia="Times New Roman" w:hAnsi="Times New Roman"/>
          <w:sz w:val="24"/>
          <w:szCs w:val="24"/>
        </w:rPr>
      </w:pPr>
    </w:p>
    <w:p w14:paraId="69D838B9" w14:textId="77777777" w:rsidR="0045647E" w:rsidRDefault="0045647E">
      <w:pPr>
        <w:spacing w:line="360" w:lineRule="auto"/>
        <w:rPr>
          <w:rFonts w:ascii="Times New Roman" w:eastAsia="Times New Roman" w:hAnsi="Times New Roman"/>
          <w:sz w:val="24"/>
          <w:szCs w:val="24"/>
        </w:rPr>
      </w:pPr>
    </w:p>
    <w:p w14:paraId="27050054" w14:textId="77777777" w:rsidR="0045647E" w:rsidRDefault="0045647E">
      <w:pPr>
        <w:spacing w:line="360" w:lineRule="auto"/>
        <w:rPr>
          <w:rFonts w:ascii="Times New Roman" w:eastAsia="Times New Roman" w:hAnsi="Times New Roman"/>
          <w:sz w:val="24"/>
          <w:szCs w:val="24"/>
        </w:rPr>
      </w:pPr>
    </w:p>
    <w:p w14:paraId="05EA584E"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Figure 1:  Flow diagram illustrating literature search and selection.</w:t>
      </w:r>
    </w:p>
    <w:p w14:paraId="3920988B" w14:textId="4FE688F4" w:rsidR="0045647E" w:rsidRDefault="00B82765">
      <w:pPr>
        <w:spacing w:line="360" w:lineRule="auto"/>
      </w:pPr>
      <w:r>
        <w:rPr>
          <w:noProof/>
        </w:rPr>
        <w:drawing>
          <wp:inline distT="0" distB="0" distL="0" distR="0" wp14:anchorId="5206150C" wp14:editId="4E625FA0">
            <wp:extent cx="5795348" cy="6829425"/>
            <wp:effectExtent l="0" t="0" r="0" b="9525"/>
            <wp:docPr id="753148536" name="Picture 6602326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95348" cy="6829425"/>
                    </a:xfrm>
                    <a:prstGeom prst="rect">
                      <a:avLst/>
                    </a:prstGeom>
                    <a:noFill/>
                    <a:ln>
                      <a:noFill/>
                      <a:prstDash/>
                    </a:ln>
                  </pic:spPr>
                </pic:pic>
              </a:graphicData>
            </a:graphic>
          </wp:inline>
        </w:drawing>
      </w:r>
    </w:p>
    <w:p w14:paraId="3288E849" w14:textId="77777777"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t>Results:</w:t>
      </w:r>
    </w:p>
    <w:p w14:paraId="4943FF8D" w14:textId="77777777" w:rsidR="0045647E" w:rsidRDefault="0045647E">
      <w:pPr>
        <w:spacing w:line="360" w:lineRule="auto"/>
        <w:rPr>
          <w:rFonts w:ascii="Times New Roman" w:eastAsia="Times New Roman" w:hAnsi="Times New Roman"/>
          <w:sz w:val="24"/>
          <w:szCs w:val="24"/>
        </w:rPr>
      </w:pPr>
    </w:p>
    <w:p w14:paraId="50AFA58E"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lastRenderedPageBreak/>
        <w:t>Table 1: A selection of findings from studies included in the final 13 selected and included studies.</w:t>
      </w:r>
    </w:p>
    <w:tbl>
      <w:tblPr>
        <w:tblW w:w="9015" w:type="dxa"/>
        <w:tblLayout w:type="fixed"/>
        <w:tblCellMar>
          <w:left w:w="10" w:type="dxa"/>
          <w:right w:w="10" w:type="dxa"/>
        </w:tblCellMar>
        <w:tblLook w:val="04A0" w:firstRow="1" w:lastRow="0" w:firstColumn="1" w:lastColumn="0" w:noHBand="0" w:noVBand="1"/>
      </w:tblPr>
      <w:tblGrid>
        <w:gridCol w:w="3005"/>
        <w:gridCol w:w="3005"/>
        <w:gridCol w:w="3005"/>
      </w:tblGrid>
      <w:tr w:rsidR="0045647E" w14:paraId="0923CA89" w14:textId="77777777">
        <w:tblPrEx>
          <w:tblCellMar>
            <w:top w:w="0" w:type="dxa"/>
            <w:bottom w:w="0" w:type="dxa"/>
          </w:tblCellMar>
        </w:tblPrEx>
        <w:trPr>
          <w:trHeight w:val="300"/>
        </w:trPr>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F108C"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Study Title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AD481"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Authors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72643"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Main Findings</w:t>
            </w:r>
          </w:p>
        </w:tc>
      </w:tr>
      <w:tr w:rsidR="0045647E" w14:paraId="0A1AB32E" w14:textId="77777777">
        <w:tblPrEx>
          <w:tblCellMar>
            <w:top w:w="0" w:type="dxa"/>
            <w:bottom w:w="0" w:type="dxa"/>
          </w:tblCellMar>
        </w:tblPrEx>
        <w:trPr>
          <w:trHeight w:val="300"/>
        </w:trPr>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D965A"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Injuries in Netball – A Systematic Review</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DD775" w14:textId="77777777" w:rsidR="0045647E" w:rsidRDefault="00B82765">
            <w:pPr>
              <w:spacing w:after="0" w:line="360" w:lineRule="auto"/>
            </w:pPr>
            <w:r>
              <w:rPr>
                <w:rFonts w:ascii="Times New Roman" w:eastAsia="Times New Roman" w:hAnsi="Times New Roman"/>
                <w:color w:val="222222"/>
                <w:sz w:val="24"/>
                <w:szCs w:val="24"/>
              </w:rPr>
              <w:t xml:space="preserve">Downs, C., Snodgrass, S.J., Weerasekara, I. </w:t>
            </w:r>
            <w:r>
              <w:rPr>
                <w:rFonts w:ascii="Times New Roman" w:eastAsia="Times New Roman" w:hAnsi="Times New Roman"/>
                <w:i/>
                <w:iCs/>
                <w:color w:val="222222"/>
                <w:sz w:val="24"/>
                <w:szCs w:val="24"/>
              </w:rPr>
              <w:t>et al. 2021</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F7866"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Injury rates increase with age (upper limb, lower age, lower limb, increased age). Injury rates are higher in elite </w:t>
            </w:r>
            <w:r>
              <w:rPr>
                <w:rFonts w:ascii="Times New Roman" w:eastAsia="Times New Roman" w:hAnsi="Times New Roman"/>
                <w:sz w:val="24"/>
                <w:szCs w:val="24"/>
              </w:rPr>
              <w:t xml:space="preserve">players 19.35/1000PH versus recreational players 11.3/14/1000PH. Need for more centralised national databases incorporating the quality of injury analysis, would better our understanding of netball injuries and mechanisms. </w:t>
            </w:r>
          </w:p>
        </w:tc>
      </w:tr>
      <w:tr w:rsidR="0045647E" w14:paraId="64DC3BA5" w14:textId="77777777">
        <w:tblPrEx>
          <w:tblCellMar>
            <w:top w:w="0" w:type="dxa"/>
            <w:bottom w:w="0" w:type="dxa"/>
          </w:tblCellMar>
        </w:tblPrEx>
        <w:trPr>
          <w:trHeight w:val="300"/>
        </w:trPr>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8A22F"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The netball injury evidence base: a scoping review of methodologies and recommendations for future approaches</w:t>
            </w:r>
          </w:p>
          <w:p w14:paraId="0C52C0F1" w14:textId="77777777" w:rsidR="0045647E" w:rsidRDefault="0045647E">
            <w:pPr>
              <w:spacing w:after="0" w:line="360" w:lineRule="auto"/>
              <w:rPr>
                <w:rFonts w:ascii="Times New Roman" w:eastAsia="Times New Roman" w:hAnsi="Times New Roman"/>
                <w:sz w:val="24"/>
                <w:szCs w:val="24"/>
              </w:rPr>
            </w:pP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08530" w14:textId="77777777" w:rsidR="0045647E" w:rsidRDefault="00B82765">
            <w:pPr>
              <w:spacing w:after="0" w:line="360" w:lineRule="auto"/>
            </w:pPr>
            <w:r>
              <w:rPr>
                <w:rFonts w:ascii="Times New Roman" w:eastAsia="Times New Roman" w:hAnsi="Times New Roman"/>
                <w:color w:val="222222"/>
                <w:sz w:val="24"/>
                <w:szCs w:val="24"/>
              </w:rPr>
              <w:t xml:space="preserve">Horne, S., Shaheen, A.F., </w:t>
            </w:r>
            <w:proofErr w:type="spellStart"/>
            <w:r>
              <w:rPr>
                <w:rFonts w:ascii="Times New Roman" w:eastAsia="Times New Roman" w:hAnsi="Times New Roman"/>
                <w:color w:val="222222"/>
                <w:sz w:val="24"/>
                <w:szCs w:val="24"/>
              </w:rPr>
              <w:t>Baltzopoulos</w:t>
            </w:r>
            <w:proofErr w:type="spellEnd"/>
            <w:r>
              <w:rPr>
                <w:rFonts w:ascii="Times New Roman" w:eastAsia="Times New Roman" w:hAnsi="Times New Roman"/>
                <w:color w:val="222222"/>
                <w:sz w:val="24"/>
                <w:szCs w:val="24"/>
              </w:rPr>
              <w:t xml:space="preserve">, B. </w:t>
            </w:r>
            <w:r>
              <w:rPr>
                <w:rFonts w:ascii="Times New Roman" w:eastAsia="Times New Roman" w:hAnsi="Times New Roman"/>
                <w:i/>
                <w:iCs/>
                <w:color w:val="222222"/>
                <w:sz w:val="24"/>
                <w:szCs w:val="24"/>
              </w:rPr>
              <w:t>et al.</w:t>
            </w:r>
            <w:r>
              <w:rPr>
                <w:rFonts w:ascii="Times New Roman" w:eastAsia="Times New Roman" w:hAnsi="Times New Roman"/>
                <w:color w:val="222222"/>
                <w:sz w:val="24"/>
                <w:szCs w:val="24"/>
              </w:rPr>
              <w:t xml:space="preserve"> </w:t>
            </w:r>
            <w:r>
              <w:rPr>
                <w:rFonts w:ascii="Times New Roman" w:eastAsia="Times New Roman" w:hAnsi="Times New Roman"/>
                <w:sz w:val="24"/>
                <w:szCs w:val="24"/>
              </w:rPr>
              <w:t xml:space="preserve"> 2024</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25FA6"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A multifactorial approach should be undertaken to assess the complex interaction between multiple risk factors, player load and injuries. Continuous surveillance systems to be implemented via video analysis is crucial for developing targeted prevention strategies. </w:t>
            </w:r>
          </w:p>
        </w:tc>
      </w:tr>
      <w:tr w:rsidR="0045647E" w14:paraId="3F4E2965" w14:textId="77777777">
        <w:tblPrEx>
          <w:tblCellMar>
            <w:top w:w="0" w:type="dxa"/>
            <w:bottom w:w="0" w:type="dxa"/>
          </w:tblCellMar>
        </w:tblPrEx>
        <w:trPr>
          <w:trHeight w:val="300"/>
        </w:trPr>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908B2"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The effects of sport-specific and minimalist footwear on the kinetics and kinematics of three netball-specific movements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F9A1C"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J. Sinclair, N. </w:t>
            </w:r>
            <w:proofErr w:type="spellStart"/>
            <w:r>
              <w:rPr>
                <w:rFonts w:ascii="Times New Roman" w:eastAsia="Times New Roman" w:hAnsi="Times New Roman"/>
                <w:sz w:val="24"/>
                <w:szCs w:val="24"/>
              </w:rPr>
              <w:t>Chockalingamb</w:t>
            </w:r>
            <w:proofErr w:type="spellEnd"/>
            <w:r>
              <w:rPr>
                <w:rFonts w:ascii="Times New Roman" w:eastAsia="Times New Roman" w:hAnsi="Times New Roman"/>
                <w:sz w:val="24"/>
                <w:szCs w:val="24"/>
              </w:rPr>
              <w:t xml:space="preserve">, R. </w:t>
            </w:r>
            <w:proofErr w:type="spellStart"/>
            <w:r>
              <w:rPr>
                <w:rFonts w:ascii="Times New Roman" w:eastAsia="Times New Roman" w:hAnsi="Times New Roman"/>
                <w:sz w:val="24"/>
                <w:szCs w:val="24"/>
              </w:rPr>
              <w:t>Naemib</w:t>
            </w:r>
            <w:proofErr w:type="spellEnd"/>
            <w:r>
              <w:rPr>
                <w:rFonts w:ascii="Times New Roman" w:eastAsia="Times New Roman" w:hAnsi="Times New Roman"/>
                <w:sz w:val="24"/>
                <w:szCs w:val="24"/>
              </w:rPr>
              <w:t xml:space="preserve"> and H. Vincent - 2014</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81158"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Twelve female netball players performed three netball-specific movements, run, cut and vertical jump measured using an eight-camera motion analysis </w:t>
            </w:r>
            <w:r>
              <w:rPr>
                <w:rFonts w:ascii="Times New Roman" w:eastAsia="Times New Roman" w:hAnsi="Times New Roman"/>
                <w:sz w:val="24"/>
                <w:szCs w:val="24"/>
              </w:rPr>
              <w:lastRenderedPageBreak/>
              <w:t xml:space="preserve">system. Kinematic analysis obtained through force platform data collection. Kinematic parameters were significantly greater in the minimalist footwear in comparison to the netball-specific shoe in all three movements. Minimalist footwear may place netballers at increased risk from chronic injuries, continues utilisation of netball-specific shoes is recommended. </w:t>
            </w:r>
          </w:p>
        </w:tc>
      </w:tr>
      <w:tr w:rsidR="0045647E" w14:paraId="1935EE64" w14:textId="77777777">
        <w:tblPrEx>
          <w:tblCellMar>
            <w:top w:w="0" w:type="dxa"/>
            <w:bottom w:w="0" w:type="dxa"/>
          </w:tblCellMar>
        </w:tblPrEx>
        <w:trPr>
          <w:trHeight w:val="300"/>
        </w:trPr>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6EC05"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lastRenderedPageBreak/>
              <w:t>Attacking the Goal of Netball Injury Prevention: A Review of the Literature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95DFA"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Alicia C. McGrath</w:t>
            </w:r>
          </w:p>
          <w:p w14:paraId="3FC6F159"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Joan Ozanne-Smith 1988</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5BFA5"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Report discusses a range of countermeasures for injury prevention including netball environment, correction of bad training errors and techniques, footwear and use of orthotics. Theoretical speculation that high topped ankle support footwear will reduce the extreme ranges of motion by providing external mechanical support, thereby reducing the risk of injury. Shoe height significantly increased the active resistance to inversion motions in moderate plantar flexion.</w:t>
            </w:r>
          </w:p>
        </w:tc>
      </w:tr>
      <w:tr w:rsidR="0045647E" w14:paraId="024F06A8" w14:textId="77777777">
        <w:tblPrEx>
          <w:tblCellMar>
            <w:top w:w="0" w:type="dxa"/>
            <w:bottom w:w="0" w:type="dxa"/>
          </w:tblCellMar>
        </w:tblPrEx>
        <w:trPr>
          <w:trHeight w:val="300"/>
        </w:trPr>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736D0"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lastRenderedPageBreak/>
              <w:t xml:space="preserve">Effects of conventional and minimalist footwear on patellofemoral and Achilles tendon kinetics </w:t>
            </w:r>
            <w:r>
              <w:rPr>
                <w:rFonts w:ascii="Times New Roman" w:eastAsia="Times New Roman" w:hAnsi="Times New Roman"/>
                <w:sz w:val="24"/>
                <w:szCs w:val="24"/>
              </w:rPr>
              <w:t xml:space="preserve">during netball specific movements. </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EA427"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Sinclair J, Atkins S, Taylor P.J, Vincent H, 2015</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C36CC"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Current trend to wearing minimalist footwear rather than conventional netball-specific footwear. Achilles tendon forces were significantly greater in minimalist footwear compared to conventional netball-specific footwear. Knee forces and </w:t>
            </w:r>
            <w:proofErr w:type="spellStart"/>
            <w:r>
              <w:rPr>
                <w:rFonts w:ascii="Times New Roman" w:eastAsia="Times New Roman" w:hAnsi="Times New Roman"/>
                <w:sz w:val="24"/>
                <w:szCs w:val="24"/>
              </w:rPr>
              <w:t>patelloformal</w:t>
            </w:r>
            <w:proofErr w:type="spellEnd"/>
            <w:r>
              <w:rPr>
                <w:rFonts w:ascii="Times New Roman" w:eastAsia="Times New Roman" w:hAnsi="Times New Roman"/>
                <w:sz w:val="24"/>
                <w:szCs w:val="24"/>
              </w:rPr>
              <w:t xml:space="preserve"> pathology may benefit from minimalist trainers however the increased Achillies tendon forces would increase the likelihood of overuse Achilles tendon injuries.</w:t>
            </w:r>
          </w:p>
        </w:tc>
      </w:tr>
      <w:tr w:rsidR="0045647E" w14:paraId="2F89A726" w14:textId="77777777">
        <w:tblPrEx>
          <w:tblCellMar>
            <w:top w:w="0" w:type="dxa"/>
            <w:bottom w:w="0" w:type="dxa"/>
          </w:tblCellMar>
        </w:tblPrEx>
        <w:trPr>
          <w:trHeight w:val="300"/>
        </w:trPr>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F06A4"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A Survey of Netball Injuries and Conditions Relating to these Injuries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E907B"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Diana Hopper, 1983</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9936E" w14:textId="77777777" w:rsidR="0045647E" w:rsidRDefault="00B82765">
            <w:pPr>
              <w:spacing w:after="0" w:line="360" w:lineRule="auto"/>
              <w:rPr>
                <w:rFonts w:ascii="Times New Roman" w:eastAsia="Times New Roman" w:hAnsi="Times New Roman"/>
                <w:sz w:val="24"/>
                <w:szCs w:val="24"/>
              </w:rPr>
            </w:pPr>
            <w:r>
              <w:rPr>
                <w:rFonts w:ascii="Times New Roman" w:eastAsia="Times New Roman" w:hAnsi="Times New Roman"/>
                <w:sz w:val="24"/>
                <w:szCs w:val="24"/>
              </w:rPr>
              <w:t xml:space="preserve">Netball footwear has been subject to much debate by players and coaches, with partial dissatisfaction of the footwear noted by players. Players opting to use external protection alongside the netball footwear to minimise risk of injury. Joint reaction forces and optimal ground forces are key areas to be identified and further developed in more adapted supportive footwear. </w:t>
            </w:r>
          </w:p>
        </w:tc>
      </w:tr>
    </w:tbl>
    <w:p w14:paraId="4EDE1B85" w14:textId="77777777" w:rsidR="0045647E" w:rsidRDefault="0045647E">
      <w:pPr>
        <w:spacing w:line="360" w:lineRule="auto"/>
        <w:rPr>
          <w:rFonts w:ascii="Times New Roman" w:eastAsia="Times New Roman" w:hAnsi="Times New Roman"/>
          <w:sz w:val="24"/>
          <w:szCs w:val="24"/>
        </w:rPr>
      </w:pPr>
    </w:p>
    <w:p w14:paraId="39D2986E"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lastRenderedPageBreak/>
        <w:t>The results are telling that the relationship between netball-specific footwear and injury prevalence within the sport is a relevant topic that needs more attention to understand the relationship in further detail. Physical kinematic testing by Sinclair et al., 2014, is one of the only credible and valuable studies surrounding minimalist versus netball-specific footwear and kinematic testing.</w:t>
      </w:r>
    </w:p>
    <w:p w14:paraId="5F2E8901"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Twelve experienced university level athletes (free from current musculoskeletal pathologies), completed five repeats of three sport specific movements, run, cut, and vertical jump. An eight-motion point camera created analysis of the lower-limb extremities with kinematic analysis gathered from a force platform. The netball-specific footwear was in line with the study selective criteria of an ASICS lady gel burner professional model 9 and the minimal footwear was a Nike free run 5.0. At the end of the study,</w:t>
      </w:r>
      <w:r>
        <w:rPr>
          <w:rFonts w:ascii="Times New Roman" w:eastAsia="Times New Roman" w:hAnsi="Times New Roman"/>
          <w:sz w:val="24"/>
          <w:szCs w:val="24"/>
        </w:rPr>
        <w:t xml:space="preserve"> participants were invited to select their preference of footwear, with 10 participants choosing the netball-specific shoes and two selecting the minimalist footwear.</w:t>
      </w:r>
    </w:p>
    <w:p w14:paraId="174ACB6D" w14:textId="77777777" w:rsidR="0045647E" w:rsidRDefault="00B82765">
      <w:pPr>
        <w:spacing w:line="360" w:lineRule="auto"/>
      </w:pPr>
      <w:r>
        <w:rPr>
          <w:rFonts w:ascii="Times New Roman" w:eastAsia="Times New Roman" w:hAnsi="Times New Roman"/>
          <w:sz w:val="24"/>
          <w:szCs w:val="24"/>
        </w:rPr>
        <w:t>Clinical relevance showed that minimalist footwear significantly increased impact loads for all three sport specific movements, furthering evidence that increased impact loading via minimalist footwear would see an increase in degenerative chronic pathologies such as Achilles tendon overuse injuries (Whittle, 1999).</w:t>
      </w:r>
    </w:p>
    <w:p w14:paraId="2B6AC2D4" w14:textId="77777777" w:rsidR="0045647E" w:rsidRDefault="00B82765">
      <w:pPr>
        <w:spacing w:line="360" w:lineRule="auto"/>
      </w:pPr>
      <w:r>
        <w:rPr>
          <w:rFonts w:ascii="Times New Roman" w:eastAsia="Times New Roman" w:hAnsi="Times New Roman"/>
          <w:sz w:val="24"/>
          <w:szCs w:val="24"/>
        </w:rPr>
        <w:t>Based on the studies impact parameters of kinematic analysis, it would therefore suggest that minimalist footwear would pose an increased risk of injury development/occurrence within the sport (Whittle, 1999).</w:t>
      </w:r>
      <w:r>
        <w:rPr>
          <w:rFonts w:ascii="Times New Roman" w:eastAsia="Times New Roman" w:hAnsi="Times New Roman"/>
          <w:b/>
          <w:bCs/>
          <w:sz w:val="24"/>
          <w:szCs w:val="24"/>
        </w:rPr>
        <w:t xml:space="preserve"> </w:t>
      </w:r>
      <w:r>
        <w:rPr>
          <w:rFonts w:ascii="Times New Roman" w:eastAsia="Times New Roman" w:hAnsi="Times New Roman"/>
          <w:sz w:val="24"/>
          <w:szCs w:val="24"/>
        </w:rPr>
        <w:t>This observation would likely come from the additional midfoot cushioning that netball-specific footwear provides, decreasing the impact load because of foot strike.</w:t>
      </w:r>
    </w:p>
    <w:p w14:paraId="39C11BA1" w14:textId="77777777" w:rsidR="0045647E" w:rsidRDefault="00B82765">
      <w:pPr>
        <w:spacing w:line="360" w:lineRule="auto"/>
      </w:pPr>
      <w:r>
        <w:rPr>
          <w:rFonts w:ascii="Times New Roman" w:eastAsia="Times New Roman" w:hAnsi="Times New Roman"/>
          <w:sz w:val="24"/>
          <w:szCs w:val="24"/>
        </w:rPr>
        <w:t>This kinematic data would suggest that the current trend in the uptake of minimalist footwear is ill advised and plausible for the increased rate of injuries and causation of chronic overuse injuries. Sinclair et al., 2014, is one of if not the leading relevant studies surrounding kinematic testing and footwear appropriateness in injury relevancy rates within netball, inspiring further research to be conducted within this area to answer the research question (Sinclair et al., 2014).</w:t>
      </w:r>
    </w:p>
    <w:p w14:paraId="404DB672" w14:textId="77777777" w:rsidR="0045647E" w:rsidRDefault="0045647E">
      <w:pPr>
        <w:spacing w:line="360" w:lineRule="auto"/>
        <w:rPr>
          <w:rFonts w:ascii="Times New Roman" w:eastAsia="Times New Roman" w:hAnsi="Times New Roman"/>
          <w:sz w:val="24"/>
          <w:szCs w:val="24"/>
        </w:rPr>
      </w:pPr>
    </w:p>
    <w:p w14:paraId="005D0DC8" w14:textId="77777777" w:rsidR="0045647E" w:rsidRDefault="00B82765">
      <w:pPr>
        <w:spacing w:line="360" w:lineRule="auto"/>
      </w:pPr>
      <w:r>
        <w:rPr>
          <w:rFonts w:ascii="Times New Roman" w:eastAsia="Times New Roman" w:hAnsi="Times New Roman"/>
          <w:sz w:val="24"/>
          <w:szCs w:val="24"/>
        </w:rPr>
        <w:t xml:space="preserve">McGrath and Ozanne-Smith 1988, report discussed a range of countermeasures for injury prevention within the sport. Suggestions out of the report outlined that netball players should </w:t>
      </w:r>
      <w:r>
        <w:rPr>
          <w:rFonts w:ascii="Times New Roman" w:eastAsia="Times New Roman" w:hAnsi="Times New Roman"/>
          <w:sz w:val="24"/>
          <w:szCs w:val="24"/>
        </w:rPr>
        <w:lastRenderedPageBreak/>
        <w:t>choose their shoes carefully, by seeking professional advice. Theoretical speculation surrounding high top ankle supportive footwear reduces the extreme ranges of motion (inversion, eversion mechanisms), by providing high ankle support, thereby reducing the risk of injury. (Hopper, Bryant and Elliott 1994). The study supported this theory with relevant data collection showing shoe height significantly increased the active resistance to inversion motions in moderate plantar flexion, however the study did not</w:t>
      </w:r>
      <w:r>
        <w:rPr>
          <w:rFonts w:ascii="Times New Roman" w:eastAsia="Times New Roman" w:hAnsi="Times New Roman"/>
          <w:sz w:val="24"/>
          <w:szCs w:val="24"/>
        </w:rPr>
        <w:t xml:space="preserve"> explain how this was recorded or tested. </w:t>
      </w:r>
    </w:p>
    <w:p w14:paraId="0CE66762"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Given this, the study does make recommendations for future research. Further research should be conducted on the design benefits of high top versus low top shoes, looking into the relationship between shoe design and injury and accounting for any confounding factors such as previous injury. The study also suggests that further refinement surrounding orthotic device specificity within the demands and development of netball is required, with well-designed controlled studies with significant sample size to pro</w:t>
      </w:r>
      <w:r>
        <w:rPr>
          <w:rFonts w:ascii="Times New Roman" w:eastAsia="Times New Roman" w:hAnsi="Times New Roman"/>
          <w:sz w:val="24"/>
          <w:szCs w:val="24"/>
        </w:rPr>
        <w:t xml:space="preserve">vide definitive results as to whether orthotic devices impact injury reduction rates accompanied with netball-specific footwear. </w:t>
      </w:r>
    </w:p>
    <w:p w14:paraId="7E18D724"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The study did show relevancy in relation to the suggestions around high ankle support via high ankle produced shoes although, unfortunately, the relevancy of this study in relation to the research question was not significant enough in providing structures answers or recommendations and although it initially fit the study criteria and relevancy, it was potentially not the most useful study in this area.  </w:t>
      </w:r>
    </w:p>
    <w:p w14:paraId="1A0285AB" w14:textId="77777777" w:rsidR="0045647E" w:rsidRDefault="00B82765">
      <w:pPr>
        <w:spacing w:line="360" w:lineRule="auto"/>
      </w:pPr>
      <w:r>
        <w:rPr>
          <w:rFonts w:ascii="Times New Roman" w:eastAsia="Times New Roman" w:hAnsi="Times New Roman"/>
          <w:sz w:val="24"/>
          <w:szCs w:val="24"/>
        </w:rPr>
        <w:t>With research showing significant percentages of ankle injuries reported in the sport, the Achilles tendon injury is of relevance within this area. Sinclair et al., 2015, is a key researcher within the kinematic analysis realm. Using kinematic analysis of the lower extremities at the patellofemoral force and Achilles tendon forces, quantified using predictive measures examining footwear and correlating forces using repeated measures (Sinclair et al., 2015).</w:t>
      </w:r>
      <w:r>
        <w:rPr>
          <w:rFonts w:ascii="Times New Roman" w:eastAsia="Times New Roman" w:hAnsi="Times New Roman"/>
          <w:color w:val="0070C0"/>
          <w:sz w:val="24"/>
          <w:szCs w:val="24"/>
        </w:rPr>
        <w:t xml:space="preserve"> </w:t>
      </w:r>
      <w:r>
        <w:rPr>
          <w:rFonts w:ascii="Times New Roman" w:eastAsia="Times New Roman" w:hAnsi="Times New Roman"/>
          <w:sz w:val="24"/>
          <w:szCs w:val="24"/>
        </w:rPr>
        <w:t>Patellofemoral forces were significantly greater in the conventional netball footwear compared to minimalist footwear; however, Achilles tendon forces were significantly greater in the minimalist footwear compared to the conventional netball footwear (Sinclair et al., 2015).</w:t>
      </w:r>
      <w:r>
        <w:rPr>
          <w:rFonts w:ascii="Times New Roman" w:eastAsia="Times New Roman" w:hAnsi="Times New Roman"/>
          <w:color w:val="0070C0"/>
          <w:sz w:val="24"/>
          <w:szCs w:val="24"/>
        </w:rPr>
        <w:t xml:space="preserve"> </w:t>
      </w:r>
      <w:r>
        <w:rPr>
          <w:rFonts w:ascii="Times New Roman" w:eastAsia="Times New Roman" w:hAnsi="Times New Roman"/>
          <w:sz w:val="24"/>
          <w:szCs w:val="24"/>
        </w:rPr>
        <w:t>Taking the patellofemoral forces and associated knee loading forces, a reduction in knee injuries may be seen within minimalist footwear. Versus the Achilles tendon forces being lesser in the conventional footwear, reducing the risk of</w:t>
      </w:r>
      <w:r>
        <w:rPr>
          <w:rFonts w:ascii="Times New Roman" w:eastAsia="Times New Roman" w:hAnsi="Times New Roman"/>
          <w:sz w:val="24"/>
          <w:szCs w:val="24"/>
        </w:rPr>
        <w:t xml:space="preserve"> Achilles tendon chronic overuse injuries, more commonly seen within netball. The research is conflicting and would </w:t>
      </w:r>
      <w:r>
        <w:rPr>
          <w:rFonts w:ascii="Times New Roman" w:eastAsia="Times New Roman" w:hAnsi="Times New Roman"/>
          <w:sz w:val="24"/>
          <w:szCs w:val="24"/>
        </w:rPr>
        <w:lastRenderedPageBreak/>
        <w:t>depend on what players are wanting to reduce the risk of more, this research would guide players into wearing more conventional netball footwear considering the increases in Achilles tendon forces in minimalist footwear (Sinclair, Hobbs and Selfe, 2015).</w:t>
      </w:r>
    </w:p>
    <w:p w14:paraId="6DCEB694"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The results fit the inclusion criteria of the study, however, are disappointing in the amount of theoretical supporting evidence via specific testing, such as kinematic, in the use of appropriate netball-specific footwear and injury prevalence in the sport. The kinematic testing that has been conducted and is available to read within literature is now currently 10 years old, meaning there is most definitely room for improvement in the testing conducted and research question to be answered. Overall, there is</w:t>
      </w:r>
      <w:r>
        <w:rPr>
          <w:rFonts w:ascii="Times New Roman" w:eastAsia="Times New Roman" w:hAnsi="Times New Roman"/>
          <w:sz w:val="24"/>
          <w:szCs w:val="24"/>
        </w:rPr>
        <w:t xml:space="preserve"> a vast lack of research surrounding the research topic, with the relationship between netball-specific footwear in its role of reducing injuries. A considerable amount of the available research is outdated, having been conducted and written in the 1980s and 1990s and consists of observational studies with little to no explanation of the research conducted or the use of questionnaires to ask preferences with no follow ups.</w:t>
      </w:r>
    </w:p>
    <w:p w14:paraId="2E3F3438"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The results show a clear need for a more centralised national database that incorporates the quality of injury analysis, to better the understanding of netball injuries and mechanisms. A multifactorial approach should be undertaken to assess the complex interaction between the multiple risk factors surrounding player load and injuries. A lack of surveillance systems such as video and kinematic analysis brings the need to implement video analysis in critical crucial development of preventative strategies.  </w:t>
      </w:r>
    </w:p>
    <w:p w14:paraId="49C303E9"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Within the available literature it was difficult to find consistent injury prevention and management strategies with little to none return to play following injury criteria. This would be important to note in the relationship with footwear, as the injury sustained may cause problems within the footwear choices and is a firm reason that players choose to use external supportive mechanisms such as braces or taping, to support the ankle within the footwear following injury. Overall, it was incredibly difficult</w:t>
      </w:r>
      <w:r>
        <w:rPr>
          <w:rFonts w:ascii="Times New Roman" w:eastAsia="Times New Roman" w:hAnsi="Times New Roman"/>
          <w:sz w:val="24"/>
          <w:szCs w:val="24"/>
        </w:rPr>
        <w:t xml:space="preserve"> to find research surrounding injury, prevention and management strategies and the relationship with footwear that was outstanding positive and leading the way for all current and future research.</w:t>
      </w:r>
    </w:p>
    <w:p w14:paraId="5979EAFE" w14:textId="77777777" w:rsidR="0045647E" w:rsidRDefault="0045647E">
      <w:pPr>
        <w:spacing w:line="360" w:lineRule="auto"/>
        <w:rPr>
          <w:rFonts w:ascii="Times New Roman" w:eastAsia="Times New Roman" w:hAnsi="Times New Roman"/>
          <w:sz w:val="24"/>
          <w:szCs w:val="24"/>
        </w:rPr>
      </w:pPr>
    </w:p>
    <w:p w14:paraId="3538FAF3"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 </w:t>
      </w:r>
    </w:p>
    <w:p w14:paraId="53306254" w14:textId="77777777" w:rsidR="005F3020" w:rsidRDefault="005F3020">
      <w:pPr>
        <w:spacing w:line="360" w:lineRule="auto"/>
        <w:rPr>
          <w:rFonts w:ascii="Times New Roman" w:eastAsia="Times New Roman" w:hAnsi="Times New Roman"/>
          <w:sz w:val="24"/>
          <w:szCs w:val="24"/>
        </w:rPr>
      </w:pPr>
    </w:p>
    <w:p w14:paraId="6557084D" w14:textId="77777777" w:rsidR="005F3020" w:rsidRDefault="005F3020">
      <w:pPr>
        <w:spacing w:line="360" w:lineRule="auto"/>
        <w:rPr>
          <w:rFonts w:ascii="Times New Roman" w:eastAsia="Times New Roman" w:hAnsi="Times New Roman"/>
          <w:sz w:val="24"/>
          <w:szCs w:val="24"/>
        </w:rPr>
      </w:pPr>
    </w:p>
    <w:p w14:paraId="66000C99" w14:textId="77777777"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t>Discussion:</w:t>
      </w:r>
    </w:p>
    <w:p w14:paraId="2AF03EFF" w14:textId="77777777" w:rsidR="0045647E" w:rsidRDefault="0045647E">
      <w:pPr>
        <w:spacing w:line="360" w:lineRule="auto"/>
        <w:rPr>
          <w:rFonts w:ascii="Times New Roman" w:eastAsia="Times New Roman" w:hAnsi="Times New Roman"/>
          <w:b/>
          <w:bCs/>
          <w:sz w:val="28"/>
          <w:szCs w:val="28"/>
        </w:rPr>
      </w:pPr>
    </w:p>
    <w:p w14:paraId="5DAD8850"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With ankle injuries being consistently reported as the highest occurring injury, the mechanisms by which these injuries occur are to be explored further. Elite players are often exposed at a relatively appropriate age to the surface they will be playing on for the duration of their elite playing career. These hard-court surfaces are usually made from </w:t>
      </w:r>
      <w:proofErr w:type="spellStart"/>
      <w:r>
        <w:rPr>
          <w:rFonts w:ascii="Times New Roman" w:eastAsia="Times New Roman" w:hAnsi="Times New Roman"/>
          <w:sz w:val="24"/>
          <w:szCs w:val="24"/>
        </w:rPr>
        <w:t>plexipave</w:t>
      </w:r>
      <w:proofErr w:type="spellEnd"/>
      <w:r>
        <w:rPr>
          <w:rFonts w:ascii="Times New Roman" w:eastAsia="Times New Roman" w:hAnsi="Times New Roman"/>
          <w:sz w:val="24"/>
          <w:szCs w:val="24"/>
        </w:rPr>
        <w:t xml:space="preserve"> or bitumen (Hopper, Elliott and Lalor, 1995).</w:t>
      </w:r>
    </w:p>
    <w:p w14:paraId="6553506F"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Interestingly, the most common occurrence of injuries on these two surfaces from the skilled elite players consisted of the lack of the player's neuromuscular control and lack thereof coordination, from movements such as landing, slipping, tripping, or falling. Commonly, this mechanism is associated with foot unsteadiness on the surface, and in literature, it is identified that this is probably due to the inappropriate frictional characteristics between the surfaces and tread patterns within the footwear ch</w:t>
      </w:r>
      <w:r>
        <w:rPr>
          <w:rFonts w:ascii="Times New Roman" w:eastAsia="Times New Roman" w:hAnsi="Times New Roman"/>
          <w:sz w:val="24"/>
          <w:szCs w:val="24"/>
        </w:rPr>
        <w:t>oices (Hopper, Elliott and Lalor, 1995). Appropriate footwear choices have been a common debate amongst netball players, coaches, and manufacturers since the beginning of the introduction of netball-specific footwear, with multiple different brands producing netball-specific shoes and competing to be the best technologically advanced shoe with the best injury reduction outcomes for skilled players. Although certain manufacturers seem to dominate the market, there has been no relevant preference in shoe choi</w:t>
      </w:r>
      <w:r>
        <w:rPr>
          <w:rFonts w:ascii="Times New Roman" w:eastAsia="Times New Roman" w:hAnsi="Times New Roman"/>
          <w:sz w:val="24"/>
          <w:szCs w:val="24"/>
        </w:rPr>
        <w:t>ces made among the players, and certain factors such as sponsorships may be one of the only contributing factors as to why a certain brand is seen dominating more than others. Economic factors and disparity of netball popularity between the northern and southern hemispheres may be another factor in brand dominance globally.</w:t>
      </w:r>
    </w:p>
    <w:p w14:paraId="48419754"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 Only a handful of physical kinematic testing studies with footwear and injury rates have been conducted in the literature that fit the inclusion criteria to be reviewed within this research question. There is a vast gap in research surrounding footwear's relevance in reducing injuries because of the contributing intrinsic and extrinsic factors. With limited kinematic testing conducted during research, most risk factors for injury occurrence have been identified from baseline testing and questionnaires.</w:t>
      </w:r>
    </w:p>
    <w:p w14:paraId="175745AA"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Risk factors in these experimental studies were identified as: previous injury, footwear choices, and taping and strapping of the knee and/or ankle, lack of physical preparation </w:t>
      </w:r>
      <w:r>
        <w:rPr>
          <w:rFonts w:ascii="Times New Roman" w:eastAsia="Times New Roman" w:hAnsi="Times New Roman"/>
          <w:sz w:val="24"/>
          <w:szCs w:val="24"/>
        </w:rPr>
        <w:lastRenderedPageBreak/>
        <w:t xml:space="preserve">during warm-up and/or training, menstrual cycle, and return to play after childbirth. Hormonal fluctuations during differing phases of the menstrual cycle have been commonly discussed in literature, with researchers explaining that this becomes an increased risk to female players sustaining an anterior cruciate ligament (ACL) injury. This becomes an awkward injury risk factor as female players are expected to play consistently around their menstrual cycle, with varying cycle lengths between women. There is </w:t>
      </w:r>
      <w:r>
        <w:rPr>
          <w:rFonts w:ascii="Times New Roman" w:eastAsia="Times New Roman" w:hAnsi="Times New Roman"/>
          <w:sz w:val="24"/>
          <w:szCs w:val="24"/>
        </w:rPr>
        <w:t>an uncontrollable injury risk factor.</w:t>
      </w:r>
    </w:p>
    <w:p w14:paraId="0A183D90" w14:textId="77777777" w:rsidR="0045647E" w:rsidRDefault="00B82765">
      <w:pPr>
        <w:spacing w:line="360" w:lineRule="auto"/>
      </w:pPr>
      <w:r>
        <w:rPr>
          <w:rFonts w:ascii="Times New Roman" w:eastAsia="Times New Roman" w:hAnsi="Times New Roman"/>
          <w:sz w:val="24"/>
          <w:szCs w:val="24"/>
        </w:rPr>
        <w:t>Consistently, through literature, lower-limb injuries are the most common site of injury reported, with the ankle making up 31% of reported injuries and the anterior cruciate ligament (ACL) being the number one knee injury</w:t>
      </w:r>
      <w:r>
        <w:rPr>
          <w:rFonts w:ascii="Times New Roman" w:eastAsia="Times New Roman" w:hAnsi="Times New Roman"/>
          <w:b/>
          <w:bCs/>
          <w:color w:val="FF0000"/>
          <w:sz w:val="24"/>
          <w:szCs w:val="24"/>
        </w:rPr>
        <w:t xml:space="preserve"> </w:t>
      </w:r>
      <w:r>
        <w:rPr>
          <w:rFonts w:ascii="Times New Roman" w:eastAsia="Times New Roman" w:hAnsi="Times New Roman"/>
          <w:sz w:val="24"/>
          <w:szCs w:val="24"/>
        </w:rPr>
        <w:t xml:space="preserve">(Hopper, </w:t>
      </w:r>
      <w:r>
        <w:rPr>
          <w:rFonts w:ascii="Times New Roman" w:eastAsia="Times New Roman" w:hAnsi="Times New Roman"/>
          <w:sz w:val="24"/>
          <w:szCs w:val="24"/>
        </w:rPr>
        <w:t>Elliott and Lalor, 1995).</w:t>
      </w:r>
      <w:r>
        <w:rPr>
          <w:rFonts w:ascii="Times New Roman" w:eastAsia="Times New Roman" w:hAnsi="Times New Roman"/>
          <w:b/>
          <w:bCs/>
          <w:color w:val="FF0000"/>
          <w:sz w:val="24"/>
          <w:szCs w:val="24"/>
        </w:rPr>
        <w:t xml:space="preserve"> </w:t>
      </w:r>
      <w:r>
        <w:rPr>
          <w:rFonts w:ascii="Times New Roman" w:eastAsia="Times New Roman" w:hAnsi="Times New Roman"/>
          <w:sz w:val="24"/>
          <w:szCs w:val="24"/>
        </w:rPr>
        <w:t>However, in certain competitions, ankle injury rates are as high as 58.2% and the knee at 15.2% at the knee. These figures should be alarming to the World Netball Federation.  The reported injury incidence varies in the literature as excepted for a sport played globally with more recognition starting within the community game, as the leading women's sport played in the southern hemisphere. Per 1000 playing hours, injury incidence varies between 13.8 to 89.4, with some as high as 23</w:t>
      </w:r>
      <w:r>
        <w:rPr>
          <w:rFonts w:ascii="Times New Roman" w:eastAsia="Times New Roman" w:hAnsi="Times New Roman"/>
          <w:sz w:val="24"/>
          <w:szCs w:val="24"/>
        </w:rPr>
        <w:t>8 injuries per playing exposure hours (Smyth et al., 2022).</w:t>
      </w:r>
    </w:p>
    <w:p w14:paraId="5EFE76A2"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Netball is reported to be amongst the top 10 hospitalisation rates from injury occurrence in sport, with anterior cruciate ligament (ACL) cited as the principal cause, underpinning the importance of effective injury management and prevention strategies. A concern both nationally and internationally as a public health issue is relating to injury prevention is the lack of systematic collection of netball-related injury data. The association between appropriate shoe choice and ankle injuries is controversial i</w:t>
      </w:r>
      <w:r>
        <w:rPr>
          <w:rFonts w:ascii="Times New Roman" w:eastAsia="Times New Roman" w:hAnsi="Times New Roman"/>
          <w:sz w:val="24"/>
          <w:szCs w:val="24"/>
        </w:rPr>
        <w:t>n the literature.</w:t>
      </w:r>
    </w:p>
    <w:p w14:paraId="6319FCF7" w14:textId="77777777" w:rsidR="0045647E" w:rsidRDefault="0045647E">
      <w:pPr>
        <w:spacing w:line="360" w:lineRule="auto"/>
        <w:rPr>
          <w:rFonts w:ascii="Times New Roman" w:eastAsia="Times New Roman" w:hAnsi="Times New Roman"/>
          <w:sz w:val="24"/>
          <w:szCs w:val="24"/>
        </w:rPr>
      </w:pPr>
    </w:p>
    <w:p w14:paraId="770A80F2" w14:textId="77777777" w:rsidR="0045647E" w:rsidRDefault="00B82765">
      <w:pPr>
        <w:spacing w:line="360" w:lineRule="auto"/>
      </w:pPr>
      <w:r>
        <w:rPr>
          <w:rFonts w:ascii="Times New Roman" w:eastAsia="Times New Roman" w:hAnsi="Times New Roman"/>
          <w:sz w:val="24"/>
          <w:szCs w:val="24"/>
        </w:rPr>
        <w:t>Dissatisfaction with netball-specific footwear comes from players reporting blisters, soreness, and cuts when first breaking in the shoes, but also as time develops and overuse occurs. Blisters, usually caused by friction, were reported from an inadequate link between the interference of either the foot and the sock, or the tread of the shoe on the surface, or the sock and the inner shoe (Hopper, Elliott and Lalor, 1995).</w:t>
      </w:r>
      <w:r>
        <w:rPr>
          <w:rFonts w:ascii="Times New Roman" w:eastAsia="Times New Roman" w:hAnsi="Times New Roman"/>
          <w:b/>
          <w:bCs/>
          <w:color w:val="FF0000"/>
          <w:sz w:val="24"/>
          <w:szCs w:val="24"/>
        </w:rPr>
        <w:t xml:space="preserve"> </w:t>
      </w:r>
      <w:r>
        <w:rPr>
          <w:rFonts w:ascii="Times New Roman" w:eastAsia="Times New Roman" w:hAnsi="Times New Roman"/>
          <w:sz w:val="24"/>
          <w:szCs w:val="24"/>
        </w:rPr>
        <w:t xml:space="preserve">To solve this problem, players will use plasters/bandages, although they find a lack of adherence to the skin, causing more friction. Although there have been many brands that have attempted to create a sock that supports the foot comfortably with breathable factors, it seems there is a gap in the research and available </w:t>
      </w:r>
      <w:r>
        <w:rPr>
          <w:rFonts w:ascii="Times New Roman" w:eastAsia="Times New Roman" w:hAnsi="Times New Roman"/>
          <w:sz w:val="24"/>
          <w:szCs w:val="24"/>
        </w:rPr>
        <w:lastRenderedPageBreak/>
        <w:t xml:space="preserve">market to understand how to better support players to reduce friction soreness and blisters when playing or training via sock support. </w:t>
      </w:r>
    </w:p>
    <w:p w14:paraId="6901AF5C" w14:textId="77777777" w:rsidR="0045647E" w:rsidRDefault="00B82765">
      <w:pPr>
        <w:spacing w:line="360" w:lineRule="auto"/>
      </w:pPr>
      <w:r>
        <w:rPr>
          <w:rFonts w:ascii="Times New Roman" w:eastAsia="Times New Roman" w:hAnsi="Times New Roman"/>
          <w:sz w:val="24"/>
          <w:szCs w:val="24"/>
        </w:rPr>
        <w:t>Throughout research, the dissatisfaction for netball-specific footwear solely comes from the discomfort caused by blisters or friction issues. There are no other defined reasons within literature that state players are dissatisfied with the netball-specific footwear designed for them (Hopper, Elliott and Lalor, 1995). The current trends towards players choosing minimalistic footwear as opposed to netball-specific footwear isn't clearly outlined. The studies stating this, have no evidence to back up this the</w:t>
      </w:r>
      <w:r>
        <w:rPr>
          <w:rFonts w:ascii="Times New Roman" w:eastAsia="Times New Roman" w:hAnsi="Times New Roman"/>
          <w:sz w:val="24"/>
          <w:szCs w:val="24"/>
        </w:rPr>
        <w:t>ory, and no statements from players themselves suggesting this new way of playing. This choice for minimalist footwear may be guided by the discomfort and causation of blisters and friction, which is then a problem to be addressed by either the sock manufacturers or the sole manufacturers for the shoes.</w:t>
      </w:r>
    </w:p>
    <w:p w14:paraId="00B1488C" w14:textId="77777777" w:rsidR="0045647E" w:rsidRDefault="00B82765">
      <w:pPr>
        <w:spacing w:line="360" w:lineRule="auto"/>
      </w:pPr>
      <w:r>
        <w:rPr>
          <w:rFonts w:ascii="Times New Roman" w:eastAsia="Times New Roman" w:hAnsi="Times New Roman"/>
          <w:sz w:val="24"/>
          <w:szCs w:val="24"/>
        </w:rPr>
        <w:t>Within the currently available netball-specific footwear, different collar heights of the shoes have been created and adapted. The overall aim of the creation of netball-specific footwear was to provide high ankle support and cushioning technology that would impact and reduce the injury rates. In a study conducted with the Jamaican national team and their footwear, only 2.7% of players chose to go for high-cut supporting footwear, versus 32.7% choosing low-cut footwear and 60% of the players choosing mid-cu</w:t>
      </w:r>
      <w:r>
        <w:rPr>
          <w:rFonts w:ascii="Times New Roman" w:eastAsia="Times New Roman" w:hAnsi="Times New Roman"/>
          <w:sz w:val="24"/>
          <w:szCs w:val="24"/>
        </w:rPr>
        <w:t>t footwear (Singh et al., 2013).</w:t>
      </w:r>
    </w:p>
    <w:p w14:paraId="2C38DA75" w14:textId="77777777" w:rsidR="0045647E" w:rsidRDefault="00B82765">
      <w:pPr>
        <w:spacing w:line="360" w:lineRule="auto"/>
      </w:pPr>
      <w:r>
        <w:rPr>
          <w:rFonts w:ascii="Times New Roman" w:eastAsia="Times New Roman" w:hAnsi="Times New Roman"/>
          <w:color w:val="FF0000"/>
          <w:sz w:val="24"/>
          <w:szCs w:val="24"/>
        </w:rPr>
        <w:t xml:space="preserve"> </w:t>
      </w:r>
      <w:r>
        <w:rPr>
          <w:rFonts w:ascii="Times New Roman" w:eastAsia="Times New Roman" w:hAnsi="Times New Roman"/>
          <w:sz w:val="24"/>
          <w:szCs w:val="24"/>
        </w:rPr>
        <w:t>With this study being cross-sectional (part of the inclusion criteria), it is difficult to determine whether ankle collar height influences sustaining an ankle sprain injury. McGrath and Ozanne-Smith 1988</w:t>
      </w:r>
      <w:r>
        <w:rPr>
          <w:rFonts w:ascii="Times New Roman" w:eastAsia="Times New Roman" w:hAnsi="Times New Roman"/>
          <w:color w:val="0070C0"/>
          <w:sz w:val="24"/>
          <w:szCs w:val="24"/>
        </w:rPr>
        <w:t>,</w:t>
      </w:r>
      <w:r>
        <w:rPr>
          <w:rFonts w:ascii="Times New Roman" w:eastAsia="Times New Roman" w:hAnsi="Times New Roman"/>
          <w:sz w:val="24"/>
          <w:szCs w:val="24"/>
        </w:rPr>
        <w:t xml:space="preserve"> biomechanical studies reported that netball-specific footwear has been reported to increase time to peak impact, reduce loading rates during netball-specific movements, cutting, running, and landing mechanisms. This suggests the potential role that netball-specific footwear plays in reducing the risk of i</w:t>
      </w:r>
      <w:r>
        <w:rPr>
          <w:rFonts w:ascii="Times New Roman" w:eastAsia="Times New Roman" w:hAnsi="Times New Roman"/>
          <w:sz w:val="24"/>
          <w:szCs w:val="24"/>
        </w:rPr>
        <w:t>njury (McGrath and Ozanne-Smith, 1988).</w:t>
      </w:r>
    </w:p>
    <w:p w14:paraId="1C218BCE"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Currently, within the mounds of netball-specific footwear available for players to choose from, the only adaptability piece of the shoe seems to be the collar height, low-cut, mid-cut, or high-cut. These brands need to invest more time in working with the elite players who have most likely suffered a multitude of injuries or conditions during their playing careers, that would allow them the ability to influence a positive change in netball-specific footwear.</w:t>
      </w:r>
    </w:p>
    <w:p w14:paraId="4DFD1FE2" w14:textId="77777777" w:rsidR="0045647E" w:rsidRDefault="00B82765">
      <w:pPr>
        <w:spacing w:line="360" w:lineRule="auto"/>
      </w:pPr>
      <w:r>
        <w:rPr>
          <w:rFonts w:ascii="Times New Roman" w:eastAsia="Times New Roman" w:hAnsi="Times New Roman"/>
          <w:sz w:val="24"/>
          <w:szCs w:val="24"/>
        </w:rPr>
        <w:t xml:space="preserve">Insufficient evidence makes it difficult for research to conclusively recommend certain types of netball-specific footwear, and further studies and needed to identify defining factors </w:t>
      </w:r>
      <w:r>
        <w:rPr>
          <w:rFonts w:ascii="Times New Roman" w:eastAsia="Times New Roman" w:hAnsi="Times New Roman"/>
          <w:sz w:val="24"/>
          <w:szCs w:val="24"/>
        </w:rPr>
        <w:lastRenderedPageBreak/>
        <w:t>around appropriate footwear choices for netball. Although literature is clear in its ability to determine the positive influence netball-specific footwear has on reducing injury rates through peak force reduction and support in reducing loading rates during netball-specific movements (Hopper, Elliott and Lalor, 1995).</w:t>
      </w:r>
    </w:p>
    <w:p w14:paraId="02BD1296"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Netball-specific footwear in the literature may influence ankle biomechanics during netball-specific movement, such as cutting and landing mechanisms that predispose netball athletes to sustain an ankle sprain (Hopper, Elliott and Lalor, 1995).</w:t>
      </w:r>
    </w:p>
    <w:p w14:paraId="2A7EA876" w14:textId="77777777" w:rsidR="0045647E" w:rsidRDefault="00B82765">
      <w:pPr>
        <w:spacing w:line="360" w:lineRule="auto"/>
      </w:pPr>
      <w:r>
        <w:rPr>
          <w:rFonts w:ascii="Times New Roman" w:eastAsia="Times New Roman" w:hAnsi="Times New Roman"/>
          <w:sz w:val="24"/>
          <w:szCs w:val="24"/>
        </w:rPr>
        <w:t>Kinematic testing of the lower-limb extremities through eight-motion camera analysis and force platform analysis is a firm supporter that impact loads of considerably lowered using netball-specific footwear versus regular minimalist trainers, therefore, there is a positive relationship between the appropriate footwear choices and reducing injury risk (Sinclair, 2014).  Sinclair 2015 has sufficient evidence suggesting Achilles tendon impact forces are lowered using netball-specific footwear. Although there i</w:t>
      </w:r>
      <w:r>
        <w:rPr>
          <w:rFonts w:ascii="Times New Roman" w:eastAsia="Times New Roman" w:hAnsi="Times New Roman"/>
          <w:sz w:val="24"/>
          <w:szCs w:val="24"/>
        </w:rPr>
        <w:t xml:space="preserve">s consideration that patellofemoral joint forces are higher wearing netball-specific footwear. This information is available if players are interested in the forces produced by certain limb movements and footwear and is there for them to make the choice of which footwear they would prefer to use. </w:t>
      </w:r>
    </w:p>
    <w:p w14:paraId="5811718A" w14:textId="77777777" w:rsidR="0045647E" w:rsidRDefault="00B82765">
      <w:pPr>
        <w:spacing w:line="360" w:lineRule="auto"/>
      </w:pPr>
      <w:r>
        <w:rPr>
          <w:rFonts w:ascii="Times New Roman" w:eastAsia="Times New Roman" w:hAnsi="Times New Roman"/>
          <w:sz w:val="24"/>
          <w:szCs w:val="24"/>
        </w:rPr>
        <w:t xml:space="preserve">A plethora of studies have been conducted within the last two decades looking into injury management and prevention strategies, however, there has been a lack of reviews, and only one broad review stands out in the literature investigating injury management and prevention, suggesting that there is a requirement for an updated review of the literature. Netball New Zealand implemented a program called </w:t>
      </w:r>
      <w:proofErr w:type="spellStart"/>
      <w:r>
        <w:rPr>
          <w:rFonts w:ascii="Times New Roman" w:eastAsia="Times New Roman" w:hAnsi="Times New Roman"/>
          <w:sz w:val="24"/>
          <w:szCs w:val="24"/>
        </w:rPr>
        <w:t>NetballSmart</w:t>
      </w:r>
      <w:proofErr w:type="spellEnd"/>
      <w:r>
        <w:rPr>
          <w:rFonts w:ascii="Times New Roman" w:eastAsia="Times New Roman" w:hAnsi="Times New Roman"/>
          <w:sz w:val="24"/>
          <w:szCs w:val="24"/>
        </w:rPr>
        <w:t xml:space="preserve"> in 2013, introducing a dynamic warm-up and education program. Since 2013, the </w:t>
      </w:r>
      <w:proofErr w:type="spellStart"/>
      <w:r>
        <w:rPr>
          <w:rFonts w:ascii="Times New Roman" w:eastAsia="Times New Roman" w:hAnsi="Times New Roman"/>
          <w:sz w:val="24"/>
          <w:szCs w:val="24"/>
        </w:rPr>
        <w:t>NetballSmart</w:t>
      </w:r>
      <w:proofErr w:type="spellEnd"/>
      <w:r>
        <w:rPr>
          <w:rFonts w:ascii="Times New Roman" w:eastAsia="Times New Roman" w:hAnsi="Times New Roman"/>
          <w:sz w:val="24"/>
          <w:szCs w:val="24"/>
        </w:rPr>
        <w:t xml:space="preserve"> program has shown a reduction in the peak volume of ground force, creating an improvement in landing mechanisms among junior athletes (Saad, Davies and Smith, 2021). However, this program does not consider any relevancy between footwear relationship and injury reduction rates. This could be an area of study that Netball New Zealand decide to investigate, given the credibility of netball-specific footwear </w:t>
      </w:r>
      <w:r>
        <w:rPr>
          <w:rFonts w:ascii="Times New Roman" w:eastAsia="Times New Roman" w:hAnsi="Times New Roman"/>
          <w:sz w:val="24"/>
          <w:szCs w:val="24"/>
        </w:rPr>
        <w:t>and its reduction in ground forces, an area that the program already focuses on.</w:t>
      </w:r>
    </w:p>
    <w:p w14:paraId="303D8E3B" w14:textId="77777777" w:rsidR="0045647E" w:rsidRDefault="00B82765">
      <w:pPr>
        <w:spacing w:line="360" w:lineRule="auto"/>
      </w:pPr>
      <w:r>
        <w:rPr>
          <w:rFonts w:ascii="Times New Roman" w:eastAsia="Times New Roman" w:hAnsi="Times New Roman"/>
          <w:sz w:val="24"/>
          <w:szCs w:val="24"/>
        </w:rPr>
        <w:t xml:space="preserve">This is positive in its approach to introducing correct movement patterns at a lower performance level, encouraging positive reinforcement of movement patterns and a reduction of injury. </w:t>
      </w:r>
    </w:p>
    <w:p w14:paraId="448631C5" w14:textId="77777777" w:rsidR="0045647E" w:rsidRDefault="00B82765">
      <w:pPr>
        <w:spacing w:line="360" w:lineRule="auto"/>
      </w:pPr>
      <w:r>
        <w:rPr>
          <w:rFonts w:ascii="Times New Roman" w:eastAsia="Times New Roman" w:hAnsi="Times New Roman"/>
          <w:sz w:val="24"/>
          <w:szCs w:val="24"/>
        </w:rPr>
        <w:lastRenderedPageBreak/>
        <w:t>Netball Australia followed two years later, creating a program called KNEE (Knee Injury Prevention for Netballers to Enhance Performance and Extend Play), aiming to reduce lower-limb injuries, specifically targeting the knee and the ankle as a subsequent follow-up. However, neither of these programs has been updated since 2015, and it has been difficult to record within the literature the rate of usage of these programs (Saad, Davies and Smith, 2021). Again, an injury management program created with no suff</w:t>
      </w:r>
      <w:r>
        <w:rPr>
          <w:rFonts w:ascii="Times New Roman" w:eastAsia="Times New Roman" w:hAnsi="Times New Roman"/>
          <w:sz w:val="24"/>
          <w:szCs w:val="24"/>
        </w:rPr>
        <w:t>icient recording of how effective it is and lack of research regarding netball-footwear choices in knee injury prevention management. With Sinclair 2015, study on patellofemoral force in netball-specific trainers versus regular minimalist trainers, this KNEE program could use the research to develop their own consensus in the KNEE program and positive footwear relationships for injury management and prevention.</w:t>
      </w:r>
    </w:p>
    <w:p w14:paraId="6B301F37"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The aim of the study was to be able to effectively identify the positive relationship that footwear plays within the role of injury reduction compared to minimalist footwear, which the study did achieve. The recommendations that the governing body, World Netball, updates its guidelines and issues more formal language surrounding player equipment is relevant to ensuring player welfare and safety, just like many other popular sports do. However, there is a clear lack of current relevant and up to date researc</w:t>
      </w:r>
      <w:r>
        <w:rPr>
          <w:rFonts w:ascii="Times New Roman" w:eastAsia="Times New Roman" w:hAnsi="Times New Roman"/>
          <w:sz w:val="24"/>
          <w:szCs w:val="24"/>
        </w:rPr>
        <w:t xml:space="preserve">h surrounding this topic and leaves the topic wide open for discussion. It is a research area that needs to be further investigated and the rationale behind this is the consistent unfortunate injury prevalence within the sport not yet showing a decline. </w:t>
      </w:r>
    </w:p>
    <w:p w14:paraId="302A7A37" w14:textId="77777777" w:rsidR="0045647E" w:rsidRDefault="0045647E">
      <w:pPr>
        <w:spacing w:line="360" w:lineRule="auto"/>
        <w:rPr>
          <w:rFonts w:ascii="Times New Roman" w:eastAsia="Times New Roman" w:hAnsi="Times New Roman"/>
          <w:sz w:val="24"/>
          <w:szCs w:val="24"/>
        </w:rPr>
      </w:pPr>
    </w:p>
    <w:p w14:paraId="689F65EC" w14:textId="77777777" w:rsidR="0045647E" w:rsidRDefault="0045647E">
      <w:pPr>
        <w:spacing w:line="360" w:lineRule="auto"/>
        <w:rPr>
          <w:rFonts w:ascii="Times New Roman" w:eastAsia="Times New Roman" w:hAnsi="Times New Roman"/>
          <w:b/>
          <w:bCs/>
          <w:sz w:val="28"/>
          <w:szCs w:val="28"/>
        </w:rPr>
      </w:pPr>
    </w:p>
    <w:p w14:paraId="4615F5B0" w14:textId="77777777" w:rsidR="0045647E" w:rsidRDefault="0045647E">
      <w:pPr>
        <w:spacing w:line="360" w:lineRule="auto"/>
        <w:rPr>
          <w:rFonts w:ascii="Times New Roman" w:eastAsia="Times New Roman" w:hAnsi="Times New Roman"/>
          <w:b/>
          <w:bCs/>
          <w:sz w:val="28"/>
          <w:szCs w:val="28"/>
        </w:rPr>
      </w:pPr>
    </w:p>
    <w:p w14:paraId="537F2A71" w14:textId="77777777" w:rsidR="0045647E" w:rsidRDefault="0045647E">
      <w:pPr>
        <w:spacing w:line="360" w:lineRule="auto"/>
        <w:rPr>
          <w:rFonts w:ascii="Times New Roman" w:eastAsia="Times New Roman" w:hAnsi="Times New Roman"/>
          <w:b/>
          <w:bCs/>
          <w:sz w:val="28"/>
          <w:szCs w:val="28"/>
        </w:rPr>
      </w:pPr>
    </w:p>
    <w:p w14:paraId="508C1228" w14:textId="77777777" w:rsidR="0045647E" w:rsidRDefault="0045647E">
      <w:pPr>
        <w:spacing w:line="360" w:lineRule="auto"/>
        <w:rPr>
          <w:rFonts w:ascii="Times New Roman" w:eastAsia="Times New Roman" w:hAnsi="Times New Roman"/>
          <w:b/>
          <w:bCs/>
          <w:sz w:val="28"/>
          <w:szCs w:val="28"/>
        </w:rPr>
      </w:pPr>
    </w:p>
    <w:p w14:paraId="4DAA2791" w14:textId="77777777" w:rsidR="0045647E" w:rsidRDefault="0045647E">
      <w:pPr>
        <w:spacing w:line="360" w:lineRule="auto"/>
        <w:rPr>
          <w:rFonts w:ascii="Times New Roman" w:eastAsia="Times New Roman" w:hAnsi="Times New Roman"/>
          <w:b/>
          <w:bCs/>
          <w:sz w:val="28"/>
          <w:szCs w:val="28"/>
        </w:rPr>
      </w:pPr>
    </w:p>
    <w:p w14:paraId="3A4E324D" w14:textId="77777777" w:rsidR="005F3020" w:rsidRDefault="005F3020">
      <w:pPr>
        <w:spacing w:line="360" w:lineRule="auto"/>
        <w:rPr>
          <w:rFonts w:ascii="Times New Roman" w:eastAsia="Times New Roman" w:hAnsi="Times New Roman"/>
          <w:b/>
          <w:bCs/>
          <w:sz w:val="28"/>
          <w:szCs w:val="28"/>
        </w:rPr>
      </w:pPr>
    </w:p>
    <w:p w14:paraId="6214B5B7" w14:textId="77777777" w:rsidR="005F3020" w:rsidRDefault="005F3020">
      <w:pPr>
        <w:spacing w:line="360" w:lineRule="auto"/>
        <w:rPr>
          <w:rFonts w:ascii="Times New Roman" w:eastAsia="Times New Roman" w:hAnsi="Times New Roman"/>
          <w:b/>
          <w:bCs/>
          <w:sz w:val="28"/>
          <w:szCs w:val="28"/>
        </w:rPr>
      </w:pPr>
    </w:p>
    <w:p w14:paraId="13BCD386" w14:textId="64EC8E1C"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lastRenderedPageBreak/>
        <w:t>Conclusion:</w:t>
      </w:r>
    </w:p>
    <w:p w14:paraId="4E0B858F" w14:textId="77777777" w:rsidR="0045647E" w:rsidRDefault="0045647E">
      <w:pPr>
        <w:spacing w:line="360" w:lineRule="auto"/>
        <w:rPr>
          <w:rFonts w:ascii="Times New Roman" w:eastAsia="Times New Roman" w:hAnsi="Times New Roman"/>
          <w:b/>
          <w:bCs/>
          <w:sz w:val="28"/>
          <w:szCs w:val="28"/>
        </w:rPr>
      </w:pPr>
    </w:p>
    <w:p w14:paraId="2B0F9C89"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Insufficient research has been conducted on this research topic, leaving gaps to be explored further as technology advances. Lots </w:t>
      </w:r>
      <w:r>
        <w:rPr>
          <w:rFonts w:ascii="Times New Roman" w:eastAsia="Times New Roman" w:hAnsi="Times New Roman"/>
          <w:sz w:val="24"/>
          <w:szCs w:val="24"/>
        </w:rPr>
        <w:t xml:space="preserve">of the research uses terminology such as ‘may influence’, which is positive language when trying to answer the question of netball-specific footwear having a role in the reduction of injury rates and problems occurring. However, there is a clear lack of defining terminology surrounding the subject area, meaning more research is heavily required in this sport plagued by injury. </w:t>
      </w:r>
    </w:p>
    <w:p w14:paraId="10F50897"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Although the research identifies that netball sport-specific footwear isn’t the number one contributing factor to the risk of injury and reduction of injury, it is recommended that the Federation update the rules and regulations to reflect the importance that netball-specific footwear plays in the reduction of injury occurrences. Many intrinsic and extrinsic factors contribute to injuries within netball; however, footwear is a controllable factor compared to the menstrual cycle, which isn’t a controllable f</w:t>
      </w:r>
      <w:r>
        <w:rPr>
          <w:rFonts w:ascii="Times New Roman" w:eastAsia="Times New Roman" w:hAnsi="Times New Roman"/>
          <w:sz w:val="24"/>
          <w:szCs w:val="24"/>
        </w:rPr>
        <w:t xml:space="preserve">actor from the federation. Therefore, being able to control the reduction of injury is important in ensuring player safety. </w:t>
      </w:r>
    </w:p>
    <w:p w14:paraId="23575403"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Research does not suggest a negative impact to the sport if the recommendation to the federation, World Netball, were to implement updated, clear, consistent guidelines in respect to players' safety through tighter equipment regulations. Research shows no implications in the mandate of netball-specific footwear, if adaptations are made to make more consistent supportive shoes across multiple foot morphology categories, catering for everyone. Other sports such as competitive running have already made the mov</w:t>
      </w:r>
      <w:r>
        <w:rPr>
          <w:rFonts w:ascii="Times New Roman" w:eastAsia="Times New Roman" w:hAnsi="Times New Roman"/>
          <w:sz w:val="24"/>
          <w:szCs w:val="24"/>
        </w:rPr>
        <w:t>e to make accessible supportive footwear with adaptations to arch support, catering for all accessibility needs. Netball manufacturers should follow in the same direction.</w:t>
      </w:r>
    </w:p>
    <w:p w14:paraId="683EB1AF"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There is also clear consistency in the research being incredibly outdated. Research solely pinning netball footwear and injuries in the same category come from the 1980s or 1990s, being well over 35+ years old. Originally, the aim of the research question was to gather data from the latest year of 2000, meaning research was up to 25 years old. However, this posed incredibly difficult and would have meant only a handful of studies would have been available to look at. Although this could have been an option,</w:t>
      </w:r>
      <w:r>
        <w:rPr>
          <w:rFonts w:ascii="Times New Roman" w:eastAsia="Times New Roman" w:hAnsi="Times New Roman"/>
          <w:sz w:val="24"/>
          <w:szCs w:val="24"/>
        </w:rPr>
        <w:t xml:space="preserve"> there was not enough data within these handful of studies to inform any influence on the research topic.</w:t>
      </w:r>
    </w:p>
    <w:p w14:paraId="48336210"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lastRenderedPageBreak/>
        <w:t xml:space="preserve">The evidence that is available currently, is clear in its support for netball-specific footwear, with some adaptations made by manufacturers, for its role in the reduction of injury rates within the sport. The adaptations would include further refining the soles of the footwear to reduce (complete elimination is not practical) the friction impacts causing blisters and discomfort. The creation of a multitude of arch support as suggested in the above literature, would potentially see a positive uptake in the </w:t>
      </w:r>
      <w:r>
        <w:rPr>
          <w:rFonts w:ascii="Times New Roman" w:eastAsia="Times New Roman" w:hAnsi="Times New Roman"/>
          <w:sz w:val="24"/>
          <w:szCs w:val="24"/>
        </w:rPr>
        <w:t xml:space="preserve">use of netball-specific footwear, reducing the dissatisfaction experienced by the elite players. </w:t>
      </w:r>
    </w:p>
    <w:p w14:paraId="7645D155"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 xml:space="preserve"> The obligation is on the governing body, World Netball/the International Federation of Netball, to create a safer sporting </w:t>
      </w:r>
      <w:r>
        <w:rPr>
          <w:rFonts w:ascii="Times New Roman" w:eastAsia="Times New Roman" w:hAnsi="Times New Roman"/>
          <w:sz w:val="24"/>
          <w:szCs w:val="24"/>
        </w:rPr>
        <w:t>environment. Increased risk of injury is associated with socio-economic factors in the younger netball population and the community game, especially in countries with a low economic background, as netball-specific footwear comes with an increased price tag compared to regular minimalist footwear. Enforcement practicality at grassroots netball could be difficult without administrative oversight, however, netball-specific footwear is identifiable. Checks are made ahead of players taking to the court, which in</w:t>
      </w:r>
      <w:r>
        <w:rPr>
          <w:rFonts w:ascii="Times New Roman" w:eastAsia="Times New Roman" w:hAnsi="Times New Roman"/>
          <w:sz w:val="24"/>
          <w:szCs w:val="24"/>
        </w:rPr>
        <w:t xml:space="preserve">cludes nail length and jewellery checks, and if the players are not deemed to meet the umpire's standards if they are unable to make changes to, they are not deemed suitable to play and do not take court. These are checks performed from a safety aspect for all players. Why isn’t footwear considered a safety element of the sport, and implemented and checked? </w:t>
      </w:r>
    </w:p>
    <w:p w14:paraId="5B6FFF38" w14:textId="3AD8DB39" w:rsidR="005F3020"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It is incredibly clear that there is a significant and desperate need for more research to be conducted on the topic, only a handful of studies complete kinematic lower-limb testing, and research being scattered with questionable evidence collection is not conclusive enough to determine research outcomes. No research suggests that it would be harmful to implement a change in rulings surrounding footwear appropriateness. Following the research conducted within this review, it is recommended that World Netbal</w:t>
      </w:r>
      <w:r>
        <w:rPr>
          <w:rFonts w:ascii="Times New Roman" w:eastAsia="Times New Roman" w:hAnsi="Times New Roman"/>
          <w:sz w:val="24"/>
          <w:szCs w:val="24"/>
        </w:rPr>
        <w:t>l updates its guidelines to reflect a clear concerted effort to increase player safety and welfare. World Netball needs more consistent evidence-based research to effectively implement this, however, there is no harm in implementing these guidelines within certain playing groups/levels as a mandated trial to see the positive effects that appropriate footwear choices have on reducing the risk of injury. Committing to player welfare in a sport plagued with injury is clear within the evidence-based sport gover</w:t>
      </w:r>
      <w:r>
        <w:rPr>
          <w:rFonts w:ascii="Times New Roman" w:eastAsia="Times New Roman" w:hAnsi="Times New Roman"/>
          <w:sz w:val="24"/>
          <w:szCs w:val="24"/>
        </w:rPr>
        <w:t>nance literatur</w:t>
      </w:r>
      <w:r w:rsidR="005F3020">
        <w:rPr>
          <w:rFonts w:ascii="Times New Roman" w:eastAsia="Times New Roman" w:hAnsi="Times New Roman"/>
          <w:sz w:val="24"/>
          <w:szCs w:val="24"/>
        </w:rPr>
        <w:t>e.</w:t>
      </w:r>
    </w:p>
    <w:p w14:paraId="54205A85" w14:textId="77777777" w:rsidR="005F3020" w:rsidRDefault="005F3020">
      <w:pPr>
        <w:spacing w:line="360" w:lineRule="auto"/>
        <w:rPr>
          <w:rFonts w:ascii="Times New Roman" w:eastAsia="Times New Roman" w:hAnsi="Times New Roman"/>
          <w:sz w:val="24"/>
          <w:szCs w:val="24"/>
        </w:rPr>
      </w:pPr>
    </w:p>
    <w:p w14:paraId="02260D4E" w14:textId="77777777" w:rsidR="0045647E" w:rsidRDefault="00B82765">
      <w:pPr>
        <w:spacing w:line="360" w:lineRule="auto"/>
        <w:rPr>
          <w:rFonts w:ascii="Times New Roman" w:eastAsia="Times New Roman" w:hAnsi="Times New Roman"/>
          <w:b/>
          <w:bCs/>
          <w:sz w:val="28"/>
          <w:szCs w:val="28"/>
        </w:rPr>
      </w:pPr>
      <w:r>
        <w:rPr>
          <w:rFonts w:ascii="Times New Roman" w:eastAsia="Times New Roman" w:hAnsi="Times New Roman"/>
          <w:b/>
          <w:bCs/>
          <w:sz w:val="28"/>
          <w:szCs w:val="28"/>
        </w:rPr>
        <w:lastRenderedPageBreak/>
        <w:t>Summary:</w:t>
      </w:r>
    </w:p>
    <w:p w14:paraId="08D918D8" w14:textId="77777777" w:rsidR="0045647E" w:rsidRDefault="0045647E">
      <w:pPr>
        <w:spacing w:line="360" w:lineRule="auto"/>
        <w:rPr>
          <w:rFonts w:ascii="Times New Roman" w:eastAsia="Times New Roman" w:hAnsi="Times New Roman"/>
          <w:b/>
          <w:bCs/>
          <w:sz w:val="28"/>
          <w:szCs w:val="28"/>
        </w:rPr>
      </w:pPr>
    </w:p>
    <w:p w14:paraId="0B9AD018"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In summary, netball is a sport played by more than 20 million people globally, with concerning increasing injury rates. Lower-limb injuries to the ankle are most prevalent within the sport, although knee injuries are unfortunately common too. Support is provided to these limbs through external support, braces, taping, and footwear, which has been adapted to become technologically advanced in the cushioning support to the ankle and midfoot, with improved grip and stability on the hard-court surfaces, influen</w:t>
      </w:r>
      <w:r>
        <w:rPr>
          <w:rFonts w:ascii="Times New Roman" w:eastAsia="Times New Roman" w:hAnsi="Times New Roman"/>
          <w:sz w:val="24"/>
          <w:szCs w:val="24"/>
        </w:rPr>
        <w:t>cing the risk of injuries occurring. There is a distinct, clear lack of evidence-based injury prevention and management strategies, with inconsistent return-to-play following injury guidelines. A wide gap in research leaves players and coaches clueless on the return to play following injuries. The sport is in desperate need of further research into the incredibly high rate of injuries and the role that sport-specific footwear plays in these injury occurrences. Players experience dissatisfaction with their s</w:t>
      </w:r>
      <w:r>
        <w:rPr>
          <w:rFonts w:ascii="Times New Roman" w:eastAsia="Times New Roman" w:hAnsi="Times New Roman"/>
          <w:sz w:val="24"/>
          <w:szCs w:val="24"/>
        </w:rPr>
        <w:t>hoes due to poor creation from manufacturers, needing an improvement in this area. However, research has thus far been positive in the thesis that there is a relationship between netball-specific footwear and the reduction of injury rates compared to regular minimalist footwear. The sport is far too popular to be riddled with injuries and not have effective, consistent injury prevention, management, and return to play strategies. Considering the current and increasing popularity of the sport and its lax wor</w:t>
      </w:r>
      <w:r>
        <w:rPr>
          <w:rFonts w:ascii="Times New Roman" w:eastAsia="Times New Roman" w:hAnsi="Times New Roman"/>
          <w:sz w:val="24"/>
          <w:szCs w:val="24"/>
        </w:rPr>
        <w:t xml:space="preserve">ding around player equipment, questioning the governing bodies care around player safety. Sport-specific netball footwear plays a positive role within injury reduction and should be further identified within research, with adaptations made from global manufacturers to increase player welfare and safety. A positive recommendation to the governing body, World Netball, to update the current regulations to reflect their concern around player safety and welfare is needed. </w:t>
      </w:r>
    </w:p>
    <w:p w14:paraId="4D2DE6F9" w14:textId="77777777" w:rsidR="0045647E" w:rsidRDefault="0045647E">
      <w:pPr>
        <w:spacing w:line="360" w:lineRule="auto"/>
        <w:rPr>
          <w:rFonts w:ascii="Times New Roman" w:eastAsia="Times New Roman" w:hAnsi="Times New Roman"/>
          <w:sz w:val="24"/>
          <w:szCs w:val="24"/>
        </w:rPr>
      </w:pPr>
    </w:p>
    <w:p w14:paraId="07881D2A" w14:textId="77777777" w:rsidR="0045647E" w:rsidRDefault="0045647E">
      <w:pPr>
        <w:spacing w:line="360" w:lineRule="auto"/>
        <w:rPr>
          <w:rFonts w:ascii="Times New Roman" w:eastAsia="Times New Roman" w:hAnsi="Times New Roman"/>
          <w:sz w:val="24"/>
          <w:szCs w:val="24"/>
        </w:rPr>
      </w:pPr>
    </w:p>
    <w:p w14:paraId="0BD387BD" w14:textId="77777777" w:rsidR="0045647E" w:rsidRDefault="00B82765">
      <w:pPr>
        <w:spacing w:line="360" w:lineRule="auto"/>
        <w:rPr>
          <w:rFonts w:ascii="Times New Roman" w:eastAsia="Times New Roman" w:hAnsi="Times New Roman"/>
          <w:sz w:val="24"/>
          <w:szCs w:val="24"/>
        </w:rPr>
      </w:pPr>
      <w:r>
        <w:rPr>
          <w:rFonts w:ascii="Times New Roman" w:eastAsia="Times New Roman" w:hAnsi="Times New Roman"/>
          <w:sz w:val="24"/>
          <w:szCs w:val="24"/>
        </w:rPr>
        <w:t>Word Count: 7198 Words</w:t>
      </w:r>
    </w:p>
    <w:p w14:paraId="4D0B08F8" w14:textId="77777777" w:rsidR="0045647E" w:rsidRDefault="0045647E">
      <w:pPr>
        <w:rPr>
          <w:rFonts w:ascii="Times New Roman" w:hAnsi="Times New Roman"/>
          <w:sz w:val="24"/>
          <w:szCs w:val="24"/>
        </w:rPr>
      </w:pPr>
    </w:p>
    <w:p w14:paraId="3B63EB7C" w14:textId="77777777" w:rsidR="0045647E" w:rsidRDefault="0045647E">
      <w:pPr>
        <w:rPr>
          <w:rFonts w:ascii="Times New Roman" w:hAnsi="Times New Roman"/>
          <w:sz w:val="24"/>
          <w:szCs w:val="24"/>
        </w:rPr>
      </w:pPr>
    </w:p>
    <w:p w14:paraId="034DC247" w14:textId="77777777" w:rsidR="0045647E" w:rsidRDefault="0045647E">
      <w:pPr>
        <w:rPr>
          <w:rFonts w:ascii="Times New Roman" w:hAnsi="Times New Roman"/>
          <w:sz w:val="24"/>
          <w:szCs w:val="24"/>
        </w:rPr>
      </w:pPr>
    </w:p>
    <w:p w14:paraId="0670209D" w14:textId="2B074CFB" w:rsidR="0045647E" w:rsidRDefault="005F3020">
      <w:pPr>
        <w:rPr>
          <w:rFonts w:ascii="Times New Roman" w:hAnsi="Times New Roman"/>
          <w:sz w:val="28"/>
          <w:szCs w:val="28"/>
        </w:rPr>
      </w:pPr>
      <w:r>
        <w:rPr>
          <w:rFonts w:ascii="Times New Roman" w:hAnsi="Times New Roman"/>
          <w:sz w:val="28"/>
          <w:szCs w:val="28"/>
        </w:rPr>
        <w:lastRenderedPageBreak/>
        <w:t>R</w:t>
      </w:r>
      <w:r w:rsidR="00B82765">
        <w:rPr>
          <w:rFonts w:ascii="Times New Roman" w:hAnsi="Times New Roman"/>
          <w:sz w:val="28"/>
          <w:szCs w:val="28"/>
        </w:rPr>
        <w:t>eferences:</w:t>
      </w:r>
    </w:p>
    <w:p w14:paraId="169FCC21" w14:textId="77777777" w:rsidR="0045647E" w:rsidRDefault="0045647E">
      <w:pPr>
        <w:shd w:val="clear" w:color="auto" w:fill="FFFFFF"/>
        <w:spacing w:after="0"/>
      </w:pPr>
    </w:p>
    <w:p w14:paraId="0B66BE19" w14:textId="77777777" w:rsidR="0045647E" w:rsidRDefault="0045647E">
      <w:pPr>
        <w:pStyle w:val="ListParagraph"/>
        <w:shd w:val="clear" w:color="auto" w:fill="FFFFFF"/>
        <w:spacing w:after="0"/>
      </w:pPr>
    </w:p>
    <w:p w14:paraId="7F9769B8"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ASICS (2025). </w:t>
      </w:r>
      <w:r w:rsidRPr="005F3020">
        <w:rPr>
          <w:rFonts w:ascii="Times New Roman" w:eastAsia="Calibri" w:hAnsi="Times New Roman"/>
          <w:i/>
          <w:iCs/>
          <w:sz w:val="27"/>
          <w:szCs w:val="27"/>
        </w:rPr>
        <w:t>ASICS 2025 Netball Range | ASICS New Zealand</w:t>
      </w:r>
      <w:r w:rsidRPr="005F3020">
        <w:rPr>
          <w:rFonts w:ascii="Times New Roman" w:eastAsia="Calibri" w:hAnsi="Times New Roman"/>
          <w:sz w:val="27"/>
          <w:szCs w:val="27"/>
        </w:rPr>
        <w:t xml:space="preserve">. [online] Available at: </w:t>
      </w:r>
      <w:r w:rsidRPr="005F3020">
        <w:rPr>
          <w:rFonts w:ascii="Times New Roman" w:eastAsia="Calibri" w:hAnsi="Times New Roman"/>
          <w:sz w:val="27"/>
          <w:szCs w:val="27"/>
        </w:rPr>
        <w:t>https://www.asics.com/nz/en-nz/mk/netball?msockid=02270d3d28d76cc207f218d829bd6d22 [Accessed 28 May 2025].</w:t>
      </w:r>
      <w:r w:rsidRPr="005F3020">
        <w:rPr>
          <w:rFonts w:ascii="Times New Roman" w:hAnsi="Times New Roman"/>
        </w:rPr>
        <w:t xml:space="preserve"> </w:t>
      </w:r>
    </w:p>
    <w:p w14:paraId="6EBFB13A"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Bahr, R. and Holme, I. (2003). Risk factors for sports injuries -- a methodological approach. </w:t>
      </w:r>
      <w:r w:rsidRPr="005F3020">
        <w:rPr>
          <w:rFonts w:ascii="Times New Roman" w:eastAsia="Calibri" w:hAnsi="Times New Roman"/>
          <w:i/>
          <w:iCs/>
          <w:sz w:val="27"/>
          <w:szCs w:val="27"/>
        </w:rPr>
        <w:t>British Journal of Sports Medicine</w:t>
      </w:r>
      <w:r w:rsidRPr="005F3020">
        <w:rPr>
          <w:rFonts w:ascii="Times New Roman" w:eastAsia="Calibri" w:hAnsi="Times New Roman"/>
          <w:sz w:val="27"/>
          <w:szCs w:val="27"/>
        </w:rPr>
        <w:t xml:space="preserve">, [online] 37(5), pp.384–392.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://doi.org/10.1136/bjsm.37.5.384</w:t>
      </w:r>
      <w:proofErr w:type="gramEnd"/>
      <w:r w:rsidRPr="005F3020">
        <w:rPr>
          <w:rFonts w:ascii="Times New Roman" w:eastAsia="Calibri" w:hAnsi="Times New Roman"/>
          <w:sz w:val="27"/>
          <w:szCs w:val="27"/>
        </w:rPr>
        <w:t>.</w:t>
      </w:r>
    </w:p>
    <w:p w14:paraId="4AFEE1CD"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Birdsey, L.P., Weston, M., Russell, M., Johnston, M., Cook, C.J. and Kilduff, L.P. (2019). Neuromuscular, physiological and perceptual responses to an elite netball tournament. </w:t>
      </w:r>
      <w:r w:rsidRPr="005F3020">
        <w:rPr>
          <w:rFonts w:ascii="Times New Roman" w:eastAsia="Calibri" w:hAnsi="Times New Roman"/>
          <w:i/>
          <w:iCs/>
          <w:sz w:val="27"/>
          <w:szCs w:val="27"/>
        </w:rPr>
        <w:t>Journal of Sports Sciences</w:t>
      </w:r>
      <w:r w:rsidRPr="005F3020">
        <w:rPr>
          <w:rFonts w:ascii="Times New Roman" w:eastAsia="Calibri" w:hAnsi="Times New Roman"/>
          <w:sz w:val="27"/>
          <w:szCs w:val="27"/>
        </w:rPr>
        <w:t xml:space="preserve">, 37(19), pp.2169–2174.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://doi.org/10.1080/02640414.2019.1625613</w:t>
      </w:r>
      <w:proofErr w:type="gramEnd"/>
      <w:r w:rsidRPr="005F3020">
        <w:rPr>
          <w:rFonts w:ascii="Times New Roman" w:eastAsia="Calibri" w:hAnsi="Times New Roman"/>
          <w:sz w:val="27"/>
          <w:szCs w:val="27"/>
        </w:rPr>
        <w:t>.</w:t>
      </w:r>
    </w:p>
    <w:p w14:paraId="2F294652"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proofErr w:type="spellStart"/>
      <w:r w:rsidRPr="005F3020">
        <w:rPr>
          <w:rFonts w:ascii="Times New Roman" w:eastAsia="Calibri" w:hAnsi="Times New Roman"/>
          <w:sz w:val="27"/>
          <w:szCs w:val="27"/>
        </w:rPr>
        <w:t>Elphinston</w:t>
      </w:r>
      <w:proofErr w:type="spellEnd"/>
      <w:r w:rsidRPr="005F3020">
        <w:rPr>
          <w:rFonts w:ascii="Times New Roman" w:eastAsia="Calibri" w:hAnsi="Times New Roman"/>
          <w:sz w:val="27"/>
          <w:szCs w:val="27"/>
        </w:rPr>
        <w:t xml:space="preserve">, J. and Hardman, S.L. (2006). Effect of an integrated functional stability program on injury rates in an international netball squad. </w:t>
      </w:r>
      <w:r w:rsidRPr="005F3020">
        <w:rPr>
          <w:rFonts w:ascii="Times New Roman" w:eastAsia="Calibri" w:hAnsi="Times New Roman"/>
          <w:i/>
          <w:iCs/>
          <w:sz w:val="27"/>
          <w:szCs w:val="27"/>
        </w:rPr>
        <w:t>Journal of Science and Medicine in Sport</w:t>
      </w:r>
      <w:r w:rsidRPr="005F3020">
        <w:rPr>
          <w:rFonts w:ascii="Times New Roman" w:eastAsia="Calibri" w:hAnsi="Times New Roman"/>
          <w:sz w:val="27"/>
          <w:szCs w:val="27"/>
        </w:rPr>
        <w:t xml:space="preserve">, [online] 9(1), pp.169–176.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://doi.org/10.1016/j.jsams.2005.11.002</w:t>
      </w:r>
      <w:proofErr w:type="gramEnd"/>
      <w:r w:rsidRPr="005F3020">
        <w:rPr>
          <w:rFonts w:ascii="Times New Roman" w:eastAsia="Calibri" w:hAnsi="Times New Roman"/>
          <w:sz w:val="27"/>
          <w:szCs w:val="27"/>
        </w:rPr>
        <w:t>.</w:t>
      </w:r>
    </w:p>
    <w:p w14:paraId="5D7B9141"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Finch, C. (2006). A new framework for research leading to sports injury prevention. </w:t>
      </w:r>
      <w:r w:rsidRPr="005F3020">
        <w:rPr>
          <w:rFonts w:ascii="Times New Roman" w:eastAsia="Calibri" w:hAnsi="Times New Roman"/>
          <w:i/>
          <w:iCs/>
          <w:sz w:val="27"/>
          <w:szCs w:val="27"/>
        </w:rPr>
        <w:t>Journal of science and medicine in sport</w:t>
      </w:r>
      <w:r w:rsidRPr="005F3020">
        <w:rPr>
          <w:rFonts w:ascii="Times New Roman" w:eastAsia="Calibri" w:hAnsi="Times New Roman"/>
          <w:sz w:val="27"/>
          <w:szCs w:val="27"/>
        </w:rPr>
        <w:t>, [online] 9(1-2), pp.3–9; discussion 10.</w:t>
      </w:r>
    </w:p>
    <w:p w14:paraId="68803FCE"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Fish, K. and Greig, M. (2014). The Influence of Playing Position on the Biomechanical Demands of Netball Match-Play. </w:t>
      </w:r>
      <w:r w:rsidRPr="005F3020">
        <w:rPr>
          <w:rFonts w:ascii="Times New Roman" w:eastAsia="Calibri" w:hAnsi="Times New Roman"/>
          <w:i/>
          <w:iCs/>
          <w:sz w:val="27"/>
          <w:szCs w:val="27"/>
        </w:rPr>
        <w:t>Journal of Athletic Enhancement</w:t>
      </w:r>
      <w:r w:rsidRPr="005F3020">
        <w:rPr>
          <w:rFonts w:ascii="Times New Roman" w:eastAsia="Calibri" w:hAnsi="Times New Roman"/>
          <w:sz w:val="27"/>
          <w:szCs w:val="27"/>
        </w:rPr>
        <w:t xml:space="preserve">, 03(05).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://doi.org/10.4172/2324-9080.1000173</w:t>
      </w:r>
      <w:proofErr w:type="gramEnd"/>
      <w:r w:rsidRPr="005F3020">
        <w:rPr>
          <w:rFonts w:ascii="Times New Roman" w:eastAsia="Calibri" w:hAnsi="Times New Roman"/>
          <w:sz w:val="27"/>
          <w:szCs w:val="27"/>
        </w:rPr>
        <w:t>.</w:t>
      </w:r>
    </w:p>
    <w:p w14:paraId="1B1CAFD5"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Hamill, C.L., Clarke, I.E., Frederick, E.G., Goodyear, L.J. and Howley, E.T. (1984). EFFECTS OF GRADE RUNNING ON KINEMATICS AND IMPACT FORCE. </w:t>
      </w:r>
      <w:r w:rsidRPr="005F3020">
        <w:rPr>
          <w:rFonts w:ascii="Times New Roman" w:eastAsia="Calibri" w:hAnsi="Times New Roman"/>
          <w:i/>
          <w:iCs/>
          <w:sz w:val="27"/>
          <w:szCs w:val="27"/>
        </w:rPr>
        <w:t>Medicine &amp; Science in Sports &amp; Exercise</w:t>
      </w:r>
      <w:r w:rsidRPr="005F3020">
        <w:rPr>
          <w:rFonts w:ascii="Times New Roman" w:eastAsia="Calibri" w:hAnsi="Times New Roman"/>
          <w:sz w:val="27"/>
          <w:szCs w:val="27"/>
        </w:rPr>
        <w:t xml:space="preserve">, 16(2), p.184.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://doi.org/10.1249/00005768-198404000-00363</w:t>
      </w:r>
      <w:proofErr w:type="gramEnd"/>
      <w:r w:rsidRPr="005F3020">
        <w:rPr>
          <w:rFonts w:ascii="Times New Roman" w:eastAsia="Calibri" w:hAnsi="Times New Roman"/>
          <w:sz w:val="27"/>
          <w:szCs w:val="27"/>
        </w:rPr>
        <w:t>.</w:t>
      </w:r>
    </w:p>
    <w:p w14:paraId="36924ABB"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lastRenderedPageBreak/>
        <w:t xml:space="preserve">Hopper, D. (1986). A Survey of Netball Injuries and Conditions Related to These Injuries. </w:t>
      </w:r>
      <w:r w:rsidRPr="005F3020">
        <w:rPr>
          <w:rFonts w:ascii="Times New Roman" w:eastAsia="Calibri" w:hAnsi="Times New Roman"/>
          <w:i/>
          <w:iCs/>
          <w:sz w:val="27"/>
          <w:szCs w:val="27"/>
        </w:rPr>
        <w:t>Australian Journal of Physiotherapy</w:t>
      </w:r>
      <w:r w:rsidRPr="005F3020">
        <w:rPr>
          <w:rFonts w:ascii="Times New Roman" w:eastAsia="Calibri" w:hAnsi="Times New Roman"/>
          <w:sz w:val="27"/>
          <w:szCs w:val="27"/>
        </w:rPr>
        <w:t xml:space="preserve">, 32(4), pp.231–239.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://doi.org/10.1016/s0004-9514(14)60656-5</w:t>
      </w:r>
      <w:proofErr w:type="gramEnd"/>
      <w:r w:rsidRPr="005F3020">
        <w:rPr>
          <w:rFonts w:ascii="Times New Roman" w:hAnsi="Times New Roman"/>
        </w:rPr>
        <w:t xml:space="preserve"> </w:t>
      </w:r>
    </w:p>
    <w:p w14:paraId="2549C54C"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Hopper, D., Bryant, A. and Elliott, B. (1994). Foot types and lower limb injuries in elite netball players. </w:t>
      </w:r>
      <w:r w:rsidRPr="005F3020">
        <w:rPr>
          <w:rFonts w:ascii="Times New Roman" w:eastAsia="Calibri" w:hAnsi="Times New Roman"/>
          <w:i/>
          <w:iCs/>
          <w:sz w:val="27"/>
          <w:szCs w:val="27"/>
        </w:rPr>
        <w:t xml:space="preserve">Journal of </w:t>
      </w:r>
      <w:r w:rsidRPr="005F3020">
        <w:rPr>
          <w:rFonts w:ascii="Times New Roman" w:eastAsia="Calibri" w:hAnsi="Times New Roman"/>
          <w:i/>
          <w:iCs/>
          <w:sz w:val="27"/>
          <w:szCs w:val="27"/>
        </w:rPr>
        <w:t>the American Podiatric Medical Association</w:t>
      </w:r>
      <w:r w:rsidRPr="005F3020">
        <w:rPr>
          <w:rFonts w:ascii="Times New Roman" w:eastAsia="Calibri" w:hAnsi="Times New Roman"/>
          <w:sz w:val="27"/>
          <w:szCs w:val="27"/>
        </w:rPr>
        <w:t xml:space="preserve">, 84(7), pp.355–362.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://doi.org/10.7547/87507315-84-7-355</w:t>
      </w:r>
      <w:proofErr w:type="gramEnd"/>
      <w:r w:rsidRPr="005F3020">
        <w:rPr>
          <w:rFonts w:ascii="Times New Roman" w:eastAsia="Calibri" w:hAnsi="Times New Roman"/>
          <w:sz w:val="27"/>
          <w:szCs w:val="27"/>
        </w:rPr>
        <w:t>.</w:t>
      </w:r>
    </w:p>
    <w:p w14:paraId="1A22B487"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Hopper, D., Elliott, B. and Lalor, J. (1995). A descriptive epidemiology of netball injuries during competition: a </w:t>
      </w:r>
      <w:proofErr w:type="gramStart"/>
      <w:r w:rsidRPr="005F3020">
        <w:rPr>
          <w:rFonts w:ascii="Times New Roman" w:eastAsia="Calibri" w:hAnsi="Times New Roman"/>
          <w:sz w:val="27"/>
          <w:szCs w:val="27"/>
        </w:rPr>
        <w:t>five year</w:t>
      </w:r>
      <w:proofErr w:type="gramEnd"/>
      <w:r w:rsidRPr="005F3020">
        <w:rPr>
          <w:rFonts w:ascii="Times New Roman" w:eastAsia="Calibri" w:hAnsi="Times New Roman"/>
          <w:sz w:val="27"/>
          <w:szCs w:val="27"/>
        </w:rPr>
        <w:t xml:space="preserve"> study. </w:t>
      </w:r>
      <w:r w:rsidRPr="005F3020">
        <w:rPr>
          <w:rFonts w:ascii="Times New Roman" w:eastAsia="Calibri" w:hAnsi="Times New Roman"/>
          <w:i/>
          <w:iCs/>
          <w:sz w:val="27"/>
          <w:szCs w:val="27"/>
        </w:rPr>
        <w:t>British Journal of Sports Medicine</w:t>
      </w:r>
      <w:r w:rsidRPr="005F3020">
        <w:rPr>
          <w:rFonts w:ascii="Times New Roman" w:eastAsia="Calibri" w:hAnsi="Times New Roman"/>
          <w:sz w:val="27"/>
          <w:szCs w:val="27"/>
        </w:rPr>
        <w:t xml:space="preserve">, 29(4), pp.223–228.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://doi.org/10.1136/bjsm.29.4.223</w:t>
      </w:r>
      <w:proofErr w:type="gramEnd"/>
      <w:r w:rsidRPr="005F3020">
        <w:rPr>
          <w:rFonts w:ascii="Times New Roman" w:eastAsia="Calibri" w:hAnsi="Times New Roman"/>
          <w:sz w:val="27"/>
          <w:szCs w:val="27"/>
        </w:rPr>
        <w:t>.</w:t>
      </w:r>
    </w:p>
    <w:p w14:paraId="40745032"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Hopper, D.M. (1997). Somatotype in high performance female netball players may influence player position and the incidence of lower limb and back injuries. </w:t>
      </w:r>
      <w:r w:rsidRPr="005F3020">
        <w:rPr>
          <w:rFonts w:ascii="Times New Roman" w:eastAsia="Calibri" w:hAnsi="Times New Roman"/>
          <w:i/>
          <w:iCs/>
          <w:sz w:val="27"/>
          <w:szCs w:val="27"/>
        </w:rPr>
        <w:t>British Journal of Sports Medicine</w:t>
      </w:r>
      <w:r w:rsidRPr="005F3020">
        <w:rPr>
          <w:rFonts w:ascii="Times New Roman" w:eastAsia="Calibri" w:hAnsi="Times New Roman"/>
          <w:sz w:val="27"/>
          <w:szCs w:val="27"/>
        </w:rPr>
        <w:t xml:space="preserve">, [online] 31(3), pp.197–199.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://doi.org/10.1136/bjsm.31.3.197</w:t>
      </w:r>
      <w:proofErr w:type="gramEnd"/>
      <w:r w:rsidRPr="005F3020">
        <w:rPr>
          <w:rFonts w:ascii="Times New Roman" w:eastAsia="Calibri" w:hAnsi="Times New Roman"/>
          <w:sz w:val="27"/>
          <w:szCs w:val="27"/>
        </w:rPr>
        <w:t>.</w:t>
      </w:r>
    </w:p>
    <w:p w14:paraId="49356DFF"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Hopper, D.M., McNair, P. and Elliott, B.C. (1999). Landing in netball: effects of taping and bracing the ankle. </w:t>
      </w:r>
      <w:r w:rsidRPr="005F3020">
        <w:rPr>
          <w:rFonts w:ascii="Times New Roman" w:eastAsia="Calibri" w:hAnsi="Times New Roman"/>
          <w:i/>
          <w:iCs/>
          <w:sz w:val="27"/>
          <w:szCs w:val="27"/>
        </w:rPr>
        <w:t>British Journal of Sports Medicine</w:t>
      </w:r>
      <w:r w:rsidRPr="005F3020">
        <w:rPr>
          <w:rFonts w:ascii="Times New Roman" w:eastAsia="Calibri" w:hAnsi="Times New Roman"/>
          <w:sz w:val="27"/>
          <w:szCs w:val="27"/>
        </w:rPr>
        <w:t xml:space="preserve">, 33(6), pp.409–413.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://doi.org/10.1136/bjsm.33.6.409</w:t>
      </w:r>
      <w:proofErr w:type="gramEnd"/>
      <w:r w:rsidRPr="005F3020">
        <w:rPr>
          <w:rFonts w:ascii="Times New Roman" w:eastAsia="Calibri" w:hAnsi="Times New Roman"/>
          <w:sz w:val="27"/>
          <w:szCs w:val="27"/>
        </w:rPr>
        <w:t>.</w:t>
      </w:r>
    </w:p>
    <w:p w14:paraId="21C9B5B1"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Lovell-rugby.co.uk. (2024). </w:t>
      </w:r>
      <w:r w:rsidRPr="005F3020">
        <w:rPr>
          <w:rFonts w:ascii="Times New Roman" w:eastAsia="Calibri" w:hAnsi="Times New Roman"/>
          <w:i/>
          <w:iCs/>
          <w:sz w:val="27"/>
          <w:szCs w:val="27"/>
        </w:rPr>
        <w:t xml:space="preserve">The Best Rugby </w:t>
      </w:r>
      <w:proofErr w:type="spellStart"/>
      <w:r w:rsidRPr="005F3020">
        <w:rPr>
          <w:rFonts w:ascii="Times New Roman" w:eastAsia="Calibri" w:hAnsi="Times New Roman"/>
          <w:i/>
          <w:iCs/>
          <w:sz w:val="27"/>
          <w:szCs w:val="27"/>
        </w:rPr>
        <w:t>BootsÂ</w:t>
      </w:r>
      <w:proofErr w:type="spellEnd"/>
      <w:r w:rsidRPr="005F3020">
        <w:rPr>
          <w:rFonts w:ascii="Times New Roman" w:eastAsia="Calibri" w:hAnsi="Times New Roman"/>
          <w:i/>
          <w:iCs/>
          <w:sz w:val="27"/>
          <w:szCs w:val="27"/>
        </w:rPr>
        <w:t xml:space="preserve"> for Forwards - The Full 80</w:t>
      </w:r>
      <w:r w:rsidRPr="005F3020">
        <w:rPr>
          <w:rFonts w:ascii="Times New Roman" w:eastAsia="Calibri" w:hAnsi="Times New Roman"/>
          <w:sz w:val="27"/>
          <w:szCs w:val="27"/>
        </w:rPr>
        <w:t>. [online] Available at: https://www.lovell-rugby.co.uk/blog/post/the-best-rugby-boots-for-forwards [Accessed 28 May 2025]</w:t>
      </w:r>
    </w:p>
    <w:p w14:paraId="524C09E9"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McGrath, A. and Ozanne-Smith, J. (1998). Attacking the goal of netball injury prevention: a review of the literature.</w:t>
      </w:r>
    </w:p>
    <w:p w14:paraId="4A251BD7"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Otago, L. (2004). Kinetic analysis of landings in netball: is a footwork rule change required to decrease ACL injuries? </w:t>
      </w:r>
      <w:r w:rsidRPr="005F3020">
        <w:rPr>
          <w:rFonts w:ascii="Times New Roman" w:eastAsia="Calibri" w:hAnsi="Times New Roman"/>
          <w:i/>
          <w:iCs/>
          <w:sz w:val="27"/>
          <w:szCs w:val="27"/>
        </w:rPr>
        <w:t>Journal of Science and Medicine in Sport</w:t>
      </w:r>
      <w:r w:rsidRPr="005F3020">
        <w:rPr>
          <w:rFonts w:ascii="Times New Roman" w:eastAsia="Calibri" w:hAnsi="Times New Roman"/>
          <w:sz w:val="27"/>
          <w:szCs w:val="27"/>
        </w:rPr>
        <w:t xml:space="preserve">, 7(1), pp.85–95.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://doi.org/10.1016/s1440-2440(04)80047-1</w:t>
      </w:r>
      <w:proofErr w:type="gramEnd"/>
      <w:r w:rsidRPr="005F3020">
        <w:rPr>
          <w:rFonts w:ascii="Times New Roman" w:eastAsia="Calibri" w:hAnsi="Times New Roman"/>
          <w:sz w:val="27"/>
          <w:szCs w:val="27"/>
        </w:rPr>
        <w:t xml:space="preserve">.  </w:t>
      </w:r>
    </w:p>
    <w:p w14:paraId="0CA9EC0A"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Saad, T., Davies, L. and Smith, M. (2021). Implementation of an injury prevention programme in community netball: An observational study. </w:t>
      </w:r>
      <w:r w:rsidRPr="005F3020">
        <w:rPr>
          <w:rFonts w:ascii="Times New Roman" w:eastAsia="Calibri" w:hAnsi="Times New Roman"/>
          <w:i/>
          <w:iCs/>
          <w:sz w:val="27"/>
          <w:szCs w:val="27"/>
        </w:rPr>
        <w:lastRenderedPageBreak/>
        <w:t>Journal of Sports Sciences</w:t>
      </w:r>
      <w:r w:rsidRPr="005F3020">
        <w:rPr>
          <w:rFonts w:ascii="Times New Roman" w:eastAsia="Calibri" w:hAnsi="Times New Roman"/>
          <w:sz w:val="27"/>
          <w:szCs w:val="27"/>
        </w:rPr>
        <w:t xml:space="preserve">, 39(19), pp.1–9.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://doi.org/10.1080/02640414.2021.1923932</w:t>
      </w:r>
      <w:proofErr w:type="gramEnd"/>
      <w:r w:rsidRPr="005F3020">
        <w:rPr>
          <w:rFonts w:ascii="Times New Roman" w:eastAsia="Calibri" w:hAnsi="Times New Roman"/>
          <w:sz w:val="27"/>
          <w:szCs w:val="27"/>
        </w:rPr>
        <w:t>.</w:t>
      </w:r>
    </w:p>
    <w:p w14:paraId="6DD0E271"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Shorten, M.R. (1993). The energetics of running and running shoes. </w:t>
      </w:r>
      <w:r w:rsidRPr="005F3020">
        <w:rPr>
          <w:rFonts w:ascii="Times New Roman" w:eastAsia="Calibri" w:hAnsi="Times New Roman"/>
          <w:i/>
          <w:iCs/>
          <w:sz w:val="27"/>
          <w:szCs w:val="27"/>
        </w:rPr>
        <w:t>Journal of Biomechanics</w:t>
      </w:r>
      <w:r w:rsidRPr="005F3020">
        <w:rPr>
          <w:rFonts w:ascii="Times New Roman" w:eastAsia="Calibri" w:hAnsi="Times New Roman"/>
          <w:sz w:val="27"/>
          <w:szCs w:val="27"/>
        </w:rPr>
        <w:t xml:space="preserve">, 26(1), pp.41–51.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://doi.org/10.1016/0021-9290(93)90078-s</w:t>
      </w:r>
      <w:proofErr w:type="gramEnd"/>
      <w:r w:rsidRPr="005F3020">
        <w:rPr>
          <w:rFonts w:ascii="Times New Roman" w:eastAsia="Calibri" w:hAnsi="Times New Roman"/>
          <w:sz w:val="27"/>
          <w:szCs w:val="27"/>
        </w:rPr>
        <w:t>.</w:t>
      </w:r>
    </w:p>
    <w:p w14:paraId="018C0CB4"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Simpson, M.J., Jenkins, D.G., Connick, M. and Kelly, V.G. (2022). Relationship Between Training Workloads, Match Workloads, and Match Performance in Elite Netball. </w:t>
      </w:r>
      <w:r w:rsidRPr="005F3020">
        <w:rPr>
          <w:rFonts w:ascii="Times New Roman" w:eastAsia="Calibri" w:hAnsi="Times New Roman"/>
          <w:i/>
          <w:iCs/>
          <w:sz w:val="27"/>
          <w:szCs w:val="27"/>
        </w:rPr>
        <w:t>International Journal of Sports Physiology and Performance</w:t>
      </w:r>
      <w:r w:rsidRPr="005F3020">
        <w:rPr>
          <w:rFonts w:ascii="Times New Roman" w:eastAsia="Calibri" w:hAnsi="Times New Roman"/>
          <w:sz w:val="27"/>
          <w:szCs w:val="27"/>
        </w:rPr>
        <w:t xml:space="preserve">, pp.1–7.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://doi.org/10.1123/ijspp.2021-0441</w:t>
      </w:r>
      <w:proofErr w:type="gramEnd"/>
      <w:r w:rsidRPr="005F3020">
        <w:rPr>
          <w:rFonts w:ascii="Times New Roman" w:eastAsia="Calibri" w:hAnsi="Times New Roman"/>
          <w:sz w:val="27"/>
          <w:szCs w:val="27"/>
        </w:rPr>
        <w:t>.</w:t>
      </w:r>
    </w:p>
    <w:p w14:paraId="74D00E68"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Sinclair, J., Chockalingam, N., Naemi, R. and Vincent, H. (2014). The effects of sport-specific and minimalist footwear on the kinetics and kinematics of three netball-specific movements. </w:t>
      </w:r>
      <w:r w:rsidRPr="005F3020">
        <w:rPr>
          <w:rFonts w:ascii="Times New Roman" w:eastAsia="Calibri" w:hAnsi="Times New Roman"/>
          <w:i/>
          <w:iCs/>
          <w:sz w:val="27"/>
          <w:szCs w:val="27"/>
        </w:rPr>
        <w:t>Footwear Science</w:t>
      </w:r>
      <w:r w:rsidRPr="005F3020">
        <w:rPr>
          <w:rFonts w:ascii="Times New Roman" w:eastAsia="Calibri" w:hAnsi="Times New Roman"/>
          <w:sz w:val="27"/>
          <w:szCs w:val="27"/>
        </w:rPr>
        <w:t xml:space="preserve">, 7(1), pp.31–36.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://doi.org/10.1080/19424280.2014.983445</w:t>
      </w:r>
      <w:proofErr w:type="gramEnd"/>
      <w:r w:rsidRPr="005F3020">
        <w:rPr>
          <w:rFonts w:ascii="Times New Roman" w:eastAsia="Calibri" w:hAnsi="Times New Roman"/>
          <w:sz w:val="27"/>
          <w:szCs w:val="27"/>
        </w:rPr>
        <w:t>.</w:t>
      </w:r>
    </w:p>
    <w:p w14:paraId="6CC5B4C0"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Sinclair, J., Hobbs, S.J. and Selfe, J. (2015). The Influence of Minimalist Footwear on Knee and Ankle Load during Depth Jumping. </w:t>
      </w:r>
      <w:r w:rsidRPr="005F3020">
        <w:rPr>
          <w:rFonts w:ascii="Times New Roman" w:eastAsia="Calibri" w:hAnsi="Times New Roman"/>
          <w:i/>
          <w:iCs/>
          <w:sz w:val="27"/>
          <w:szCs w:val="27"/>
        </w:rPr>
        <w:t>Research in Sports Medicine</w:t>
      </w:r>
      <w:r w:rsidRPr="005F3020">
        <w:rPr>
          <w:rFonts w:ascii="Times New Roman" w:eastAsia="Calibri" w:hAnsi="Times New Roman"/>
          <w:sz w:val="27"/>
          <w:szCs w:val="27"/>
        </w:rPr>
        <w:t xml:space="preserve">, 23(3), pp.289–301.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://doi.org/10.1080/15438627.2015.1040917</w:t>
      </w:r>
      <w:proofErr w:type="gramEnd"/>
      <w:r w:rsidRPr="005F3020">
        <w:rPr>
          <w:rFonts w:ascii="Times New Roman" w:eastAsia="Calibri" w:hAnsi="Times New Roman"/>
          <w:sz w:val="27"/>
          <w:szCs w:val="27"/>
        </w:rPr>
        <w:t>.</w:t>
      </w:r>
    </w:p>
    <w:p w14:paraId="77B410A0"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Segoe UI" w:hAnsi="Times New Roman"/>
          <w:sz w:val="24"/>
          <w:szCs w:val="24"/>
        </w:rPr>
        <w:t xml:space="preserve">Singh P, Mansingh A, Palmer W, Williams EW. Injuries in elite Jamaican netballers. </w:t>
      </w:r>
      <w:r w:rsidRPr="005F3020">
        <w:rPr>
          <w:rFonts w:ascii="Times New Roman" w:eastAsia="Segoe UI" w:hAnsi="Times New Roman"/>
          <w:i/>
          <w:iCs/>
          <w:sz w:val="24"/>
          <w:szCs w:val="24"/>
        </w:rPr>
        <w:t>West Indian Med J.</w:t>
      </w:r>
      <w:r w:rsidRPr="005F3020">
        <w:rPr>
          <w:rFonts w:ascii="Times New Roman" w:eastAsia="Segoe UI" w:hAnsi="Times New Roman"/>
          <w:sz w:val="24"/>
          <w:szCs w:val="24"/>
        </w:rPr>
        <w:t xml:space="preserve"> 2013 Feb;62(2):118-21. PMID: 24564060.</w:t>
      </w:r>
    </w:p>
    <w:p w14:paraId="51EEB319"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Smyth, E., Toohey, L., Antcliff, A., </w:t>
      </w:r>
      <w:proofErr w:type="spellStart"/>
      <w:r w:rsidRPr="005F3020">
        <w:rPr>
          <w:rFonts w:ascii="Times New Roman" w:eastAsia="Calibri" w:hAnsi="Times New Roman"/>
          <w:sz w:val="27"/>
          <w:szCs w:val="27"/>
        </w:rPr>
        <w:t>Piromalli</w:t>
      </w:r>
      <w:proofErr w:type="spellEnd"/>
      <w:r w:rsidRPr="005F3020">
        <w:rPr>
          <w:rFonts w:ascii="Times New Roman" w:eastAsia="Calibri" w:hAnsi="Times New Roman"/>
          <w:sz w:val="27"/>
          <w:szCs w:val="27"/>
        </w:rPr>
        <w:t xml:space="preserve">, L., Waddington, G., Newman, P., </w:t>
      </w:r>
      <w:proofErr w:type="spellStart"/>
      <w:r w:rsidRPr="005F3020">
        <w:rPr>
          <w:rFonts w:ascii="Times New Roman" w:eastAsia="Calibri" w:hAnsi="Times New Roman"/>
          <w:sz w:val="27"/>
          <w:szCs w:val="27"/>
        </w:rPr>
        <w:t>Weissensteiner</w:t>
      </w:r>
      <w:proofErr w:type="spellEnd"/>
      <w:r w:rsidRPr="005F3020">
        <w:rPr>
          <w:rFonts w:ascii="Times New Roman" w:eastAsia="Calibri" w:hAnsi="Times New Roman"/>
          <w:sz w:val="27"/>
          <w:szCs w:val="27"/>
        </w:rPr>
        <w:t xml:space="preserve">, J., </w:t>
      </w:r>
      <w:proofErr w:type="spellStart"/>
      <w:r w:rsidRPr="005F3020">
        <w:rPr>
          <w:rFonts w:ascii="Times New Roman" w:eastAsia="Calibri" w:hAnsi="Times New Roman"/>
          <w:sz w:val="27"/>
          <w:szCs w:val="27"/>
        </w:rPr>
        <w:t>Niyonsenga</w:t>
      </w:r>
      <w:proofErr w:type="spellEnd"/>
      <w:r w:rsidRPr="005F3020">
        <w:rPr>
          <w:rFonts w:ascii="Times New Roman" w:eastAsia="Calibri" w:hAnsi="Times New Roman"/>
          <w:sz w:val="27"/>
          <w:szCs w:val="27"/>
        </w:rPr>
        <w:t xml:space="preserve">, T. and Drew, M. (2022). Health problem surveillance at the 17/U &amp; 19/U Australian national netball championships. </w:t>
      </w:r>
      <w:r w:rsidRPr="005F3020">
        <w:rPr>
          <w:rFonts w:ascii="Times New Roman" w:eastAsia="Calibri" w:hAnsi="Times New Roman"/>
          <w:i/>
          <w:iCs/>
          <w:sz w:val="27"/>
          <w:szCs w:val="27"/>
        </w:rPr>
        <w:t>JSAMS Plus</w:t>
      </w:r>
      <w:r w:rsidRPr="005F3020">
        <w:rPr>
          <w:rFonts w:ascii="Times New Roman" w:eastAsia="Calibri" w:hAnsi="Times New Roman"/>
          <w:sz w:val="27"/>
          <w:szCs w:val="27"/>
        </w:rPr>
        <w:t xml:space="preserve">, 1, p.100003.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://doi.org/10.1016/j.jsampl.2022.100003</w:t>
      </w:r>
      <w:proofErr w:type="gramEnd"/>
      <w:r w:rsidRPr="005F3020">
        <w:rPr>
          <w:rFonts w:ascii="Times New Roman" w:eastAsia="Calibri" w:hAnsi="Times New Roman"/>
          <w:sz w:val="27"/>
          <w:szCs w:val="27"/>
        </w:rPr>
        <w:t>.</w:t>
      </w:r>
    </w:p>
    <w:p w14:paraId="4D59B25A"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Steele, J.R. and Milburn, P.D. (1988). Effect of Different Synthetic Sport Surfaces on Ground Reaction Forces at Landing in Netball. </w:t>
      </w:r>
      <w:r w:rsidRPr="005F3020">
        <w:rPr>
          <w:rFonts w:ascii="Times New Roman" w:eastAsia="Calibri" w:hAnsi="Times New Roman"/>
          <w:i/>
          <w:iCs/>
          <w:sz w:val="27"/>
          <w:szCs w:val="27"/>
        </w:rPr>
        <w:t>International Journal of Sport Biomechanics</w:t>
      </w:r>
      <w:r w:rsidRPr="005F3020">
        <w:rPr>
          <w:rFonts w:ascii="Times New Roman" w:eastAsia="Calibri" w:hAnsi="Times New Roman"/>
          <w:sz w:val="27"/>
          <w:szCs w:val="27"/>
        </w:rPr>
        <w:t xml:space="preserve">, 4(2), pp.130–145.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://doi.org/10.1123/ijsb.4.2.130</w:t>
      </w:r>
      <w:proofErr w:type="gramEnd"/>
      <w:r w:rsidRPr="005F3020">
        <w:rPr>
          <w:rFonts w:ascii="Times New Roman" w:eastAsia="Calibri" w:hAnsi="Times New Roman"/>
          <w:sz w:val="27"/>
          <w:szCs w:val="27"/>
        </w:rPr>
        <w:t>.</w:t>
      </w:r>
    </w:p>
    <w:p w14:paraId="051C1299"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lastRenderedPageBreak/>
        <w:t xml:space="preserve">Steele, J.R. (1990). Biomechanical Factors Affecting Performance in Netball. </w:t>
      </w:r>
      <w:r w:rsidRPr="005F3020">
        <w:rPr>
          <w:rFonts w:ascii="Times New Roman" w:eastAsia="Calibri" w:hAnsi="Times New Roman"/>
          <w:i/>
          <w:iCs/>
          <w:sz w:val="27"/>
          <w:szCs w:val="27"/>
        </w:rPr>
        <w:t>Sports Medicine</w:t>
      </w:r>
      <w:r w:rsidRPr="005F3020">
        <w:rPr>
          <w:rFonts w:ascii="Times New Roman" w:eastAsia="Calibri" w:hAnsi="Times New Roman"/>
          <w:sz w:val="27"/>
          <w:szCs w:val="27"/>
        </w:rPr>
        <w:t xml:space="preserve">, [online] 10(2), pp.88–102.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://doi.org/10.2165/00007256-199010020-00003</w:t>
      </w:r>
      <w:proofErr w:type="gramEnd"/>
      <w:r w:rsidRPr="005F3020">
        <w:rPr>
          <w:rFonts w:ascii="Times New Roman" w:eastAsia="Calibri" w:hAnsi="Times New Roman"/>
          <w:sz w:val="27"/>
          <w:szCs w:val="27"/>
        </w:rPr>
        <w:t>.</w:t>
      </w:r>
    </w:p>
    <w:p w14:paraId="21021A47"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 thesportsreviewer.com. (2024). </w:t>
      </w:r>
      <w:r w:rsidRPr="005F3020">
        <w:rPr>
          <w:rFonts w:ascii="Times New Roman" w:eastAsia="Calibri" w:hAnsi="Times New Roman"/>
          <w:i/>
          <w:iCs/>
          <w:sz w:val="27"/>
          <w:szCs w:val="27"/>
        </w:rPr>
        <w:t>The Evolution of Netball: From Its Origins to Modern Times | TheSportsReviewer.com</w:t>
      </w:r>
      <w:r w:rsidRPr="005F3020">
        <w:rPr>
          <w:rFonts w:ascii="Times New Roman" w:eastAsia="Calibri" w:hAnsi="Times New Roman"/>
          <w:sz w:val="27"/>
          <w:szCs w:val="27"/>
        </w:rPr>
        <w:t xml:space="preserve">. [online] Available at: </w:t>
      </w:r>
      <w:hyperlink r:id="rId10" w:history="1">
        <w:r w:rsidRPr="005F3020">
          <w:rPr>
            <w:rStyle w:val="Hyperlink"/>
            <w:rFonts w:ascii="Times New Roman" w:eastAsia="Calibri" w:hAnsi="Times New Roman"/>
            <w:color w:val="auto"/>
            <w:sz w:val="27"/>
            <w:szCs w:val="27"/>
          </w:rPr>
          <w:t>https://thesportsreviewer.com/the-evolution-of-netball-from-its-origins-to-modern-times/</w:t>
        </w:r>
      </w:hyperlink>
      <w:r w:rsidRPr="005F3020">
        <w:rPr>
          <w:rFonts w:ascii="Times New Roman" w:eastAsia="Calibri" w:hAnsi="Times New Roman"/>
          <w:sz w:val="27"/>
          <w:szCs w:val="27"/>
        </w:rPr>
        <w:t>.</w:t>
      </w:r>
    </w:p>
    <w:p w14:paraId="68B6CD17"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World Netball (2023). </w:t>
      </w:r>
      <w:r w:rsidRPr="005F3020">
        <w:rPr>
          <w:rFonts w:ascii="Times New Roman" w:eastAsia="Calibri" w:hAnsi="Times New Roman"/>
          <w:i/>
          <w:iCs/>
          <w:sz w:val="27"/>
          <w:szCs w:val="27"/>
        </w:rPr>
        <w:t>The Rules of Netball</w:t>
      </w:r>
      <w:r w:rsidRPr="005F3020">
        <w:rPr>
          <w:rFonts w:ascii="Times New Roman" w:eastAsia="Calibri" w:hAnsi="Times New Roman"/>
          <w:sz w:val="27"/>
          <w:szCs w:val="27"/>
        </w:rPr>
        <w:t xml:space="preserve">. [online] World Netball. Available at: </w:t>
      </w:r>
      <w:hyperlink r:id="rId11" w:history="1">
        <w:r w:rsidRPr="005F3020">
          <w:rPr>
            <w:rStyle w:val="Hyperlink"/>
            <w:rFonts w:ascii="Times New Roman" w:eastAsia="Calibri" w:hAnsi="Times New Roman"/>
            <w:color w:val="auto"/>
            <w:sz w:val="27"/>
            <w:szCs w:val="27"/>
          </w:rPr>
          <w:t>https://netball.sport/game/the-rules-of-netball/</w:t>
        </w:r>
      </w:hyperlink>
      <w:r w:rsidRPr="005F3020">
        <w:rPr>
          <w:rFonts w:ascii="Times New Roman" w:eastAsia="Calibri" w:hAnsi="Times New Roman"/>
          <w:sz w:val="27"/>
          <w:szCs w:val="27"/>
        </w:rPr>
        <w:t>.</w:t>
      </w:r>
    </w:p>
    <w:p w14:paraId="47E6C724"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sz w:val="27"/>
          <w:szCs w:val="27"/>
        </w:rPr>
        <w:t xml:space="preserve">Whittle, M.W. (1999). Generation and attenuation of transient impulsive forces beneath the foot: a review. </w:t>
      </w:r>
      <w:r w:rsidRPr="005F3020">
        <w:rPr>
          <w:rFonts w:ascii="Times New Roman" w:eastAsia="Calibri" w:hAnsi="Times New Roman"/>
          <w:i/>
          <w:iCs/>
          <w:sz w:val="27"/>
          <w:szCs w:val="27"/>
        </w:rPr>
        <w:t>Gait &amp; Posture</w:t>
      </w:r>
      <w:r w:rsidRPr="005F3020">
        <w:rPr>
          <w:rFonts w:ascii="Times New Roman" w:eastAsia="Calibri" w:hAnsi="Times New Roman"/>
          <w:sz w:val="27"/>
          <w:szCs w:val="27"/>
        </w:rPr>
        <w:t xml:space="preserve">, 10(3), pp.264–275. </w:t>
      </w:r>
      <w:proofErr w:type="spellStart"/>
      <w:proofErr w:type="gramStart"/>
      <w:r w:rsidRPr="005F3020">
        <w:rPr>
          <w:rFonts w:ascii="Times New Roman" w:eastAsia="Calibri" w:hAnsi="Times New Roman"/>
          <w:sz w:val="27"/>
          <w:szCs w:val="27"/>
        </w:rPr>
        <w:t>doi:https</w:t>
      </w:r>
      <w:proofErr w:type="spellEnd"/>
      <w:r w:rsidRPr="005F3020">
        <w:rPr>
          <w:rFonts w:ascii="Times New Roman" w:eastAsia="Calibri" w:hAnsi="Times New Roman"/>
          <w:sz w:val="27"/>
          <w:szCs w:val="27"/>
        </w:rPr>
        <w:t>://doi.org/10.1016/s0966-6362(99)00041-7</w:t>
      </w:r>
      <w:proofErr w:type="gramEnd"/>
      <w:r w:rsidRPr="005F3020">
        <w:rPr>
          <w:rFonts w:ascii="Times New Roman" w:eastAsia="Calibri" w:hAnsi="Times New Roman"/>
          <w:sz w:val="27"/>
          <w:szCs w:val="27"/>
        </w:rPr>
        <w:t>.</w:t>
      </w:r>
    </w:p>
    <w:p w14:paraId="7B729D78" w14:textId="77777777" w:rsidR="0045647E" w:rsidRPr="005F3020" w:rsidRDefault="00B82765" w:rsidP="005F3020">
      <w:pPr>
        <w:pStyle w:val="ListParagraph"/>
        <w:numPr>
          <w:ilvl w:val="0"/>
          <w:numId w:val="1"/>
        </w:numPr>
        <w:shd w:val="clear" w:color="auto" w:fill="FFFFFF"/>
        <w:spacing w:after="0" w:line="360" w:lineRule="auto"/>
        <w:rPr>
          <w:rFonts w:ascii="Times New Roman" w:hAnsi="Times New Roman"/>
        </w:rPr>
      </w:pPr>
      <w:r w:rsidRPr="005F3020">
        <w:rPr>
          <w:rFonts w:ascii="Times New Roman" w:eastAsia="Calibri" w:hAnsi="Times New Roman"/>
          <w:i/>
          <w:iCs/>
          <w:sz w:val="27"/>
          <w:szCs w:val="27"/>
        </w:rPr>
        <w:t>Why Is Netball a Female-Dominated Sport?</w:t>
      </w:r>
      <w:r w:rsidRPr="005F3020">
        <w:rPr>
          <w:rFonts w:ascii="Times New Roman" w:eastAsia="Calibri" w:hAnsi="Times New Roman"/>
          <w:sz w:val="27"/>
          <w:szCs w:val="27"/>
        </w:rPr>
        <w:t xml:space="preserve"> [online] Unwrapped - Australia’s No.1 Blog for the Unexpected. Available at: </w:t>
      </w:r>
      <w:hyperlink r:id="rId12" w:history="1">
        <w:r w:rsidRPr="005F3020">
          <w:rPr>
            <w:rStyle w:val="Hyperlink"/>
            <w:rFonts w:ascii="Times New Roman" w:eastAsia="Calibri" w:hAnsi="Times New Roman"/>
            <w:color w:val="auto"/>
            <w:sz w:val="27"/>
            <w:szCs w:val="27"/>
          </w:rPr>
          <w:t>https://australiaunwrapped.com/why-is-netball-a-female-dominated-sport/</w:t>
        </w:r>
      </w:hyperlink>
      <w:r w:rsidRPr="005F3020">
        <w:rPr>
          <w:rFonts w:ascii="Times New Roman" w:eastAsia="Calibri" w:hAnsi="Times New Roman"/>
          <w:sz w:val="27"/>
          <w:szCs w:val="27"/>
        </w:rPr>
        <w:t>.</w:t>
      </w:r>
    </w:p>
    <w:p w14:paraId="77100C49" w14:textId="77777777" w:rsidR="0045647E" w:rsidRPr="005F3020" w:rsidRDefault="0045647E" w:rsidP="005F3020">
      <w:pPr>
        <w:pStyle w:val="ListParagraph"/>
        <w:spacing w:line="360" w:lineRule="auto"/>
        <w:rPr>
          <w:rFonts w:ascii="Times New Roman" w:hAnsi="Times New Roman"/>
          <w:sz w:val="24"/>
          <w:szCs w:val="24"/>
        </w:rPr>
      </w:pPr>
    </w:p>
    <w:p w14:paraId="3DB44AED" w14:textId="77777777" w:rsidR="0045647E" w:rsidRPr="005F3020" w:rsidRDefault="0045647E" w:rsidP="005F3020">
      <w:pPr>
        <w:pStyle w:val="ListParagraph"/>
        <w:spacing w:line="360" w:lineRule="auto"/>
        <w:rPr>
          <w:rFonts w:ascii="Times New Roman" w:hAnsi="Times New Roman"/>
          <w:sz w:val="24"/>
          <w:szCs w:val="24"/>
        </w:rPr>
      </w:pPr>
    </w:p>
    <w:p w14:paraId="48AB2A0F" w14:textId="77777777" w:rsidR="0045647E" w:rsidRPr="005F3020" w:rsidRDefault="0045647E" w:rsidP="005F3020">
      <w:pPr>
        <w:pStyle w:val="ListParagraph"/>
        <w:spacing w:line="360" w:lineRule="auto"/>
        <w:rPr>
          <w:rFonts w:ascii="Times New Roman" w:hAnsi="Times New Roman"/>
          <w:sz w:val="24"/>
          <w:szCs w:val="24"/>
        </w:rPr>
      </w:pPr>
    </w:p>
    <w:p w14:paraId="6979519F" w14:textId="77777777" w:rsidR="0045647E" w:rsidRPr="005F3020" w:rsidRDefault="0045647E" w:rsidP="005F3020">
      <w:pPr>
        <w:pStyle w:val="ListParagraph"/>
        <w:spacing w:line="360" w:lineRule="auto"/>
        <w:rPr>
          <w:rFonts w:ascii="Times New Roman" w:hAnsi="Times New Roman"/>
          <w:sz w:val="24"/>
          <w:szCs w:val="24"/>
        </w:rPr>
      </w:pPr>
    </w:p>
    <w:p w14:paraId="6E3D283C" w14:textId="77777777" w:rsidR="0045647E" w:rsidRPr="005F3020" w:rsidRDefault="0045647E" w:rsidP="005F3020">
      <w:pPr>
        <w:pStyle w:val="ListParagraph"/>
        <w:spacing w:line="360" w:lineRule="auto"/>
        <w:rPr>
          <w:rFonts w:ascii="Times New Roman" w:hAnsi="Times New Roman"/>
          <w:sz w:val="24"/>
          <w:szCs w:val="24"/>
        </w:rPr>
      </w:pPr>
    </w:p>
    <w:p w14:paraId="3B3D8015" w14:textId="77777777" w:rsidR="0045647E" w:rsidRPr="005F3020" w:rsidRDefault="0045647E" w:rsidP="005F3020">
      <w:pPr>
        <w:pStyle w:val="ListParagraph"/>
        <w:spacing w:line="360" w:lineRule="auto"/>
        <w:rPr>
          <w:rFonts w:ascii="Times New Roman" w:hAnsi="Times New Roman"/>
          <w:sz w:val="24"/>
          <w:szCs w:val="24"/>
        </w:rPr>
      </w:pPr>
    </w:p>
    <w:p w14:paraId="416769E4" w14:textId="77777777" w:rsidR="0045647E" w:rsidRDefault="0045647E">
      <w:pPr>
        <w:pStyle w:val="ListParagraph"/>
        <w:rPr>
          <w:rFonts w:ascii="Times New Roman" w:hAnsi="Times New Roman"/>
          <w:sz w:val="24"/>
          <w:szCs w:val="24"/>
        </w:rPr>
      </w:pPr>
    </w:p>
    <w:p w14:paraId="37561583" w14:textId="77777777" w:rsidR="0045647E" w:rsidRDefault="0045647E">
      <w:pPr>
        <w:pStyle w:val="ListParagraph"/>
        <w:rPr>
          <w:rFonts w:ascii="Times New Roman" w:hAnsi="Times New Roman"/>
          <w:sz w:val="24"/>
          <w:szCs w:val="24"/>
        </w:rPr>
      </w:pPr>
    </w:p>
    <w:p w14:paraId="7C841994" w14:textId="77777777" w:rsidR="0045647E" w:rsidRDefault="0045647E">
      <w:pPr>
        <w:pStyle w:val="ListParagraph"/>
        <w:rPr>
          <w:rFonts w:ascii="Times New Roman" w:hAnsi="Times New Roman"/>
          <w:sz w:val="24"/>
          <w:szCs w:val="24"/>
        </w:rPr>
      </w:pPr>
    </w:p>
    <w:p w14:paraId="72D63E8B" w14:textId="77777777" w:rsidR="0045647E" w:rsidRDefault="0045647E">
      <w:pPr>
        <w:pStyle w:val="ListParagraph"/>
        <w:rPr>
          <w:rFonts w:ascii="Times New Roman" w:hAnsi="Times New Roman"/>
          <w:sz w:val="24"/>
          <w:szCs w:val="24"/>
        </w:rPr>
      </w:pPr>
    </w:p>
    <w:p w14:paraId="202A5D66" w14:textId="77777777" w:rsidR="0045647E" w:rsidRDefault="0045647E">
      <w:pPr>
        <w:pStyle w:val="ListParagraph"/>
        <w:rPr>
          <w:rFonts w:ascii="Times New Roman" w:hAnsi="Times New Roman"/>
          <w:sz w:val="24"/>
          <w:szCs w:val="24"/>
        </w:rPr>
      </w:pPr>
    </w:p>
    <w:p w14:paraId="144DD21F" w14:textId="77777777" w:rsidR="0045647E" w:rsidRDefault="0045647E">
      <w:pPr>
        <w:pStyle w:val="ListParagraph"/>
        <w:rPr>
          <w:rFonts w:ascii="Times New Roman" w:hAnsi="Times New Roman"/>
          <w:sz w:val="24"/>
          <w:szCs w:val="24"/>
        </w:rPr>
      </w:pPr>
    </w:p>
    <w:p w14:paraId="6295EEBA" w14:textId="77777777" w:rsidR="005F3020" w:rsidRDefault="005F3020">
      <w:pPr>
        <w:pStyle w:val="ListParagraph"/>
        <w:rPr>
          <w:rFonts w:ascii="Times New Roman" w:hAnsi="Times New Roman"/>
          <w:sz w:val="24"/>
          <w:szCs w:val="24"/>
        </w:rPr>
      </w:pPr>
    </w:p>
    <w:p w14:paraId="0882AE5B" w14:textId="2E5E69AA" w:rsidR="0045647E" w:rsidRDefault="005F3020">
      <w:pPr>
        <w:rPr>
          <w:rFonts w:ascii="Times New Roman" w:hAnsi="Times New Roman"/>
          <w:sz w:val="24"/>
          <w:szCs w:val="24"/>
        </w:rPr>
      </w:pPr>
      <w:r>
        <w:rPr>
          <w:rFonts w:ascii="Times New Roman" w:hAnsi="Times New Roman"/>
          <w:sz w:val="24"/>
          <w:szCs w:val="24"/>
        </w:rPr>
        <w:lastRenderedPageBreak/>
        <w:t>Appendices</w:t>
      </w:r>
    </w:p>
    <w:p w14:paraId="18678A4A" w14:textId="77777777" w:rsidR="0045647E" w:rsidRDefault="0045647E">
      <w:pPr>
        <w:pStyle w:val="ListParagraph"/>
        <w:rPr>
          <w:rFonts w:ascii="Times New Roman" w:hAnsi="Times New Roman"/>
          <w:sz w:val="24"/>
          <w:szCs w:val="24"/>
        </w:rPr>
      </w:pPr>
    </w:p>
    <w:p w14:paraId="5730F952" w14:textId="77777777" w:rsidR="0045647E" w:rsidRDefault="00B82765">
      <w:pPr>
        <w:pStyle w:val="ListParagraph"/>
        <w:spacing w:line="360" w:lineRule="auto"/>
      </w:pPr>
      <w:r>
        <w:rPr>
          <w:rFonts w:ascii="Times New Roman" w:hAnsi="Times New Roman"/>
          <w:sz w:val="24"/>
          <w:szCs w:val="24"/>
        </w:rPr>
        <w:t xml:space="preserve">Method - Figure 1: </w:t>
      </w:r>
      <w:r>
        <w:rPr>
          <w:rFonts w:ascii="Times New Roman" w:eastAsia="Times New Roman" w:hAnsi="Times New Roman"/>
          <w:sz w:val="24"/>
          <w:szCs w:val="24"/>
        </w:rPr>
        <w:t>Figure 1:  Flow diagram illustrating literature search and selection.</w:t>
      </w:r>
    </w:p>
    <w:p w14:paraId="0CD9A0B9" w14:textId="77777777" w:rsidR="0045647E" w:rsidRDefault="0045647E">
      <w:pPr>
        <w:pStyle w:val="ListParagraph"/>
        <w:rPr>
          <w:rFonts w:ascii="Times New Roman" w:hAnsi="Times New Roman"/>
          <w:sz w:val="24"/>
          <w:szCs w:val="24"/>
        </w:rPr>
      </w:pPr>
    </w:p>
    <w:p w14:paraId="13F79C32" w14:textId="77777777" w:rsidR="0045647E" w:rsidRDefault="00B82765">
      <w:pPr>
        <w:pStyle w:val="ListParagraph"/>
      </w:pPr>
      <w:r>
        <w:rPr>
          <w:rFonts w:ascii="Times New Roman" w:hAnsi="Times New Roman"/>
          <w:sz w:val="24"/>
          <w:szCs w:val="24"/>
        </w:rPr>
        <w:t>Results - Table 1:</w:t>
      </w:r>
      <w:r>
        <w:rPr>
          <w:rFonts w:ascii="Times New Roman" w:eastAsia="Times New Roman" w:hAnsi="Times New Roman"/>
          <w:sz w:val="24"/>
          <w:szCs w:val="24"/>
        </w:rPr>
        <w:t xml:space="preserve"> A selection of findings from studies included in the final 13 selected and included studies.</w:t>
      </w:r>
    </w:p>
    <w:p w14:paraId="1D2FEC7A" w14:textId="77777777" w:rsidR="0045647E" w:rsidRDefault="0045647E">
      <w:pPr>
        <w:pStyle w:val="ListParagraph"/>
        <w:rPr>
          <w:rFonts w:ascii="Times New Roman" w:hAnsi="Times New Roman"/>
          <w:sz w:val="24"/>
          <w:szCs w:val="24"/>
        </w:rPr>
      </w:pPr>
    </w:p>
    <w:sectPr w:rsidR="0045647E">
      <w:headerReference w:type="default" r:id="rId13"/>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0D23B" w14:textId="77777777" w:rsidR="00B82765" w:rsidRDefault="00B82765">
      <w:pPr>
        <w:spacing w:after="0" w:line="240" w:lineRule="auto"/>
      </w:pPr>
      <w:r>
        <w:separator/>
      </w:r>
    </w:p>
  </w:endnote>
  <w:endnote w:type="continuationSeparator" w:id="0">
    <w:p w14:paraId="2A823488" w14:textId="77777777" w:rsidR="00B82765" w:rsidRDefault="00B82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ayout w:type="fixed"/>
      <w:tblCellMar>
        <w:left w:w="10" w:type="dxa"/>
        <w:right w:w="10" w:type="dxa"/>
      </w:tblCellMar>
      <w:tblLook w:val="04A0" w:firstRow="1" w:lastRow="0" w:firstColumn="1" w:lastColumn="0" w:noHBand="0" w:noVBand="1"/>
    </w:tblPr>
    <w:tblGrid>
      <w:gridCol w:w="3005"/>
      <w:gridCol w:w="3005"/>
      <w:gridCol w:w="3005"/>
    </w:tblGrid>
    <w:tr w:rsidR="001A5242" w14:paraId="6AC036B5" w14:textId="77777777">
      <w:tblPrEx>
        <w:tblCellMar>
          <w:top w:w="0" w:type="dxa"/>
          <w:bottom w:w="0" w:type="dxa"/>
        </w:tblCellMar>
      </w:tblPrEx>
      <w:trPr>
        <w:trHeight w:val="300"/>
      </w:trPr>
      <w:tc>
        <w:tcPr>
          <w:tcW w:w="3005" w:type="dxa"/>
          <w:shd w:val="clear" w:color="auto" w:fill="auto"/>
          <w:tcMar>
            <w:top w:w="0" w:type="dxa"/>
            <w:left w:w="108" w:type="dxa"/>
            <w:bottom w:w="0" w:type="dxa"/>
            <w:right w:w="108" w:type="dxa"/>
          </w:tcMar>
        </w:tcPr>
        <w:p w14:paraId="02B51AEE" w14:textId="77777777" w:rsidR="00B82765" w:rsidRDefault="00B82765">
          <w:pPr>
            <w:pStyle w:val="Header"/>
            <w:ind w:left="-115"/>
          </w:pPr>
        </w:p>
      </w:tc>
      <w:tc>
        <w:tcPr>
          <w:tcW w:w="3005" w:type="dxa"/>
          <w:shd w:val="clear" w:color="auto" w:fill="auto"/>
          <w:tcMar>
            <w:top w:w="0" w:type="dxa"/>
            <w:left w:w="108" w:type="dxa"/>
            <w:bottom w:w="0" w:type="dxa"/>
            <w:right w:w="108" w:type="dxa"/>
          </w:tcMar>
        </w:tcPr>
        <w:p w14:paraId="78D6D734" w14:textId="77777777" w:rsidR="00B82765" w:rsidRDefault="00B82765">
          <w:pPr>
            <w:pStyle w:val="Header"/>
            <w:jc w:val="center"/>
          </w:pPr>
          <w:r>
            <w:fldChar w:fldCharType="begin"/>
          </w:r>
          <w:r>
            <w:instrText xml:space="preserve"> PAGE </w:instrText>
          </w:r>
          <w:r>
            <w:fldChar w:fldCharType="separate"/>
          </w:r>
          <w:r w:rsidR="000012BE">
            <w:rPr>
              <w:noProof/>
            </w:rPr>
            <w:t>1</w:t>
          </w:r>
          <w:r>
            <w:fldChar w:fldCharType="end"/>
          </w:r>
        </w:p>
      </w:tc>
      <w:tc>
        <w:tcPr>
          <w:tcW w:w="3005" w:type="dxa"/>
          <w:shd w:val="clear" w:color="auto" w:fill="auto"/>
          <w:tcMar>
            <w:top w:w="0" w:type="dxa"/>
            <w:left w:w="108" w:type="dxa"/>
            <w:bottom w:w="0" w:type="dxa"/>
            <w:right w:w="108" w:type="dxa"/>
          </w:tcMar>
        </w:tcPr>
        <w:p w14:paraId="650ACF51" w14:textId="77777777" w:rsidR="00B82765" w:rsidRDefault="00B82765">
          <w:pPr>
            <w:pStyle w:val="Header"/>
            <w:ind w:right="-115"/>
            <w:jc w:val="right"/>
          </w:pPr>
        </w:p>
      </w:tc>
    </w:tr>
  </w:tbl>
  <w:p w14:paraId="6AFFA740" w14:textId="77777777" w:rsidR="00B82765" w:rsidRDefault="00B82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6F345" w14:textId="77777777" w:rsidR="00B82765" w:rsidRDefault="00B82765">
      <w:pPr>
        <w:spacing w:after="0" w:line="240" w:lineRule="auto"/>
      </w:pPr>
      <w:r>
        <w:rPr>
          <w:color w:val="000000"/>
        </w:rPr>
        <w:separator/>
      </w:r>
    </w:p>
  </w:footnote>
  <w:footnote w:type="continuationSeparator" w:id="0">
    <w:p w14:paraId="61E836C6" w14:textId="77777777" w:rsidR="00B82765" w:rsidRDefault="00B82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15" w:type="dxa"/>
      <w:tblLayout w:type="fixed"/>
      <w:tblCellMar>
        <w:left w:w="10" w:type="dxa"/>
        <w:right w:w="10" w:type="dxa"/>
      </w:tblCellMar>
      <w:tblLook w:val="04A0" w:firstRow="1" w:lastRow="0" w:firstColumn="1" w:lastColumn="0" w:noHBand="0" w:noVBand="1"/>
    </w:tblPr>
    <w:tblGrid>
      <w:gridCol w:w="3005"/>
      <w:gridCol w:w="3005"/>
      <w:gridCol w:w="3005"/>
    </w:tblGrid>
    <w:tr w:rsidR="001A5242" w14:paraId="69F6FD82" w14:textId="77777777">
      <w:tblPrEx>
        <w:tblCellMar>
          <w:top w:w="0" w:type="dxa"/>
          <w:bottom w:w="0" w:type="dxa"/>
        </w:tblCellMar>
      </w:tblPrEx>
      <w:trPr>
        <w:trHeight w:val="300"/>
      </w:trPr>
      <w:tc>
        <w:tcPr>
          <w:tcW w:w="3005" w:type="dxa"/>
          <w:shd w:val="clear" w:color="auto" w:fill="auto"/>
          <w:tcMar>
            <w:top w:w="0" w:type="dxa"/>
            <w:left w:w="108" w:type="dxa"/>
            <w:bottom w:w="0" w:type="dxa"/>
            <w:right w:w="108" w:type="dxa"/>
          </w:tcMar>
        </w:tcPr>
        <w:p w14:paraId="31C302F9" w14:textId="344513FC" w:rsidR="00B82765" w:rsidRDefault="00B82765">
          <w:pPr>
            <w:pStyle w:val="Header"/>
            <w:ind w:left="-115"/>
          </w:pPr>
          <w:r>
            <w:t xml:space="preserve">BMST6003 </w:t>
          </w:r>
          <w:r w:rsidR="005F3020">
            <w:t>Independent</w:t>
          </w:r>
          <w:r>
            <w:t xml:space="preserve"> Research Project</w:t>
          </w:r>
        </w:p>
      </w:tc>
      <w:tc>
        <w:tcPr>
          <w:tcW w:w="3005" w:type="dxa"/>
          <w:shd w:val="clear" w:color="auto" w:fill="auto"/>
          <w:tcMar>
            <w:top w:w="0" w:type="dxa"/>
            <w:left w:w="108" w:type="dxa"/>
            <w:bottom w:w="0" w:type="dxa"/>
            <w:right w:w="108" w:type="dxa"/>
          </w:tcMar>
        </w:tcPr>
        <w:p w14:paraId="2155DE27" w14:textId="77777777" w:rsidR="00B82765" w:rsidRDefault="00B82765">
          <w:pPr>
            <w:pStyle w:val="Header"/>
            <w:jc w:val="center"/>
          </w:pPr>
        </w:p>
      </w:tc>
      <w:tc>
        <w:tcPr>
          <w:tcW w:w="3005" w:type="dxa"/>
          <w:shd w:val="clear" w:color="auto" w:fill="auto"/>
          <w:tcMar>
            <w:top w:w="0" w:type="dxa"/>
            <w:left w:w="108" w:type="dxa"/>
            <w:bottom w:w="0" w:type="dxa"/>
            <w:right w:w="108" w:type="dxa"/>
          </w:tcMar>
        </w:tcPr>
        <w:p w14:paraId="763853E2" w14:textId="77777777" w:rsidR="00B82765" w:rsidRDefault="00B82765">
          <w:pPr>
            <w:pStyle w:val="Header"/>
            <w:ind w:right="-115"/>
            <w:jc w:val="right"/>
          </w:pPr>
          <w:r>
            <w:t>1803025 Taya-George Gibbons</w:t>
          </w:r>
        </w:p>
      </w:tc>
    </w:tr>
  </w:tbl>
  <w:p w14:paraId="43686088" w14:textId="77777777" w:rsidR="00B82765" w:rsidRDefault="00B827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D3FFF"/>
    <w:multiLevelType w:val="multilevel"/>
    <w:tmpl w:val="BC6AACD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994674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45647E"/>
    <w:rsid w:val="000012BE"/>
    <w:rsid w:val="0045647E"/>
    <w:rsid w:val="005F3020"/>
    <w:rsid w:val="0088055F"/>
    <w:rsid w:val="00B75D0C"/>
    <w:rsid w:val="00B82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657AD"/>
  <w15:docId w15:val="{079D396E-96E2-4178-AD1A-6D26DAF9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customStyle="1" w:styleId="ls4">
    <w:name w:val="ls4"/>
    <w:basedOn w:val="DefaultParagraphFont"/>
  </w:style>
  <w:style w:type="character" w:customStyle="1" w:styleId="fc1">
    <w:name w:val="fc1"/>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Header">
    <w:name w:val="header"/>
    <w:basedOn w:val="Normal"/>
    <w:pPr>
      <w:tabs>
        <w:tab w:val="center" w:pos="4680"/>
        <w:tab w:val="right" w:pos="9360"/>
      </w:tabs>
      <w:spacing w:after="0" w:line="240" w:lineRule="auto"/>
    </w:pPr>
  </w:style>
  <w:style w:type="paragraph" w:styleId="Footer">
    <w:name w:val="footer"/>
    <w:basedOn w:val="Normal"/>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ustraliaunwrapped.com/why-is-netball-a-female-dominated-spor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tball.sport/game/the-rules-of-netbal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thesportsreviewer.com/the-evolution-of-netball-from-its-origins-to-modern-time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8920</Words>
  <Characters>53075</Characters>
  <Application>Microsoft Office Word</Application>
  <DocSecurity>0</DocSecurity>
  <Lines>1020</Lines>
  <Paragraphs>194</Paragraphs>
  <ScaleCrop>false</ScaleCrop>
  <Company/>
  <LinksUpToDate>false</LinksUpToDate>
  <CharactersWithSpaces>61801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Taya Gibbons (1803025)</dc:creator>
  <dc:description/>
  <cp:lastModifiedBy>Taya Gibbons (1803025)</cp:lastModifiedBy>
  <cp:revision>2</cp:revision>
  <dcterms:created xsi:type="dcterms:W3CDTF">2025-05-28T01:15:00Z</dcterms:created>
  <dcterms:modified xsi:type="dcterms:W3CDTF">2025-05-28T01:15:00Z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38b8a811-ca20-4f50-84ca-91a71a828fd2</vt:lpwstr>
  </property>
</Properties>
</file>